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9B" w:rsidRDefault="00466FEA" w:rsidP="008E7389">
      <w:pPr>
        <w:tabs>
          <w:tab w:val="left" w:pos="567"/>
        </w:tabs>
        <w:spacing w:after="0"/>
        <w:ind w:left="567" w:hanging="567"/>
        <w:outlineLvl w:val="0"/>
        <w:rPr>
          <w:rFonts w:ascii="Arial" w:hAnsi="Arial" w:cs="Arial"/>
          <w:b/>
          <w:color w:val="244061" w:themeColor="accent1" w:themeShade="80"/>
        </w:rPr>
      </w:pPr>
      <w:bookmarkStart w:id="0" w:name="_GoBack"/>
      <w:bookmarkEnd w:id="0"/>
      <w:r w:rsidRPr="00466FEA">
        <w:rPr>
          <w:rFonts w:ascii="Arial" w:hAnsi="Arial" w:cs="Arial"/>
          <w:b/>
          <w:color w:val="244061" w:themeColor="accent1" w:themeShade="80"/>
        </w:rPr>
        <w:t>FINANCIJSKI REZULTATI POSLOVANJA PODUZ</w:t>
      </w:r>
      <w:r w:rsidR="00AD359B">
        <w:rPr>
          <w:rFonts w:ascii="Arial" w:hAnsi="Arial" w:cs="Arial"/>
          <w:b/>
          <w:color w:val="244061" w:themeColor="accent1" w:themeShade="80"/>
        </w:rPr>
        <w:t>ETNIKA SA SJEDIŠTEM NA PODRUČJU</w:t>
      </w:r>
    </w:p>
    <w:p w:rsidR="00466FEA" w:rsidRPr="00466FEA" w:rsidRDefault="00466FEA" w:rsidP="008E7389">
      <w:pPr>
        <w:tabs>
          <w:tab w:val="left" w:pos="567"/>
        </w:tabs>
        <w:spacing w:after="0"/>
        <w:ind w:left="567" w:hanging="567"/>
        <w:outlineLvl w:val="0"/>
        <w:rPr>
          <w:rFonts w:ascii="Arial" w:hAnsi="Arial" w:cs="Arial"/>
          <w:b/>
          <w:color w:val="244061" w:themeColor="accent1" w:themeShade="80"/>
        </w:rPr>
      </w:pPr>
      <w:r w:rsidRPr="00466FEA">
        <w:rPr>
          <w:rFonts w:ascii="Arial" w:hAnsi="Arial" w:cs="Arial"/>
          <w:b/>
          <w:color w:val="244061" w:themeColor="accent1" w:themeShade="80"/>
        </w:rPr>
        <w:t>URBANE AGLOMERACIJE RIJEKE</w:t>
      </w:r>
    </w:p>
    <w:p w:rsidR="00CB4F88" w:rsidRDefault="00466FEA" w:rsidP="008E7389">
      <w:pPr>
        <w:spacing w:before="120" w:after="0"/>
        <w:jc w:val="both"/>
        <w:rPr>
          <w:rFonts w:ascii="Arial" w:hAnsi="Arial" w:cs="Arial"/>
          <w:color w:val="244061" w:themeColor="accent1" w:themeShade="80"/>
          <w:sz w:val="20"/>
          <w:szCs w:val="20"/>
        </w:rPr>
      </w:pPr>
      <w:r w:rsidRPr="00466FEA">
        <w:rPr>
          <w:rFonts w:ascii="Arial" w:hAnsi="Arial" w:cs="Arial"/>
          <w:color w:val="244061" w:themeColor="accent1" w:themeShade="80"/>
          <w:sz w:val="20"/>
          <w:szCs w:val="20"/>
        </w:rPr>
        <w:t>Usvajanjem novog Zakona o regionalnom razvoju</w:t>
      </w:r>
      <w:r>
        <w:rPr>
          <w:rFonts w:ascii="Arial" w:hAnsi="Arial" w:cs="Arial"/>
          <w:color w:val="244061" w:themeColor="accent1" w:themeShade="80"/>
          <w:sz w:val="20"/>
          <w:szCs w:val="20"/>
        </w:rPr>
        <w:t xml:space="preserve"> (NN, </w:t>
      </w:r>
      <w:r w:rsidR="00364A39">
        <w:rPr>
          <w:rFonts w:ascii="Arial" w:hAnsi="Arial" w:cs="Arial"/>
          <w:color w:val="244061" w:themeColor="accent1" w:themeShade="80"/>
          <w:sz w:val="20"/>
          <w:szCs w:val="20"/>
        </w:rPr>
        <w:t>147/14</w:t>
      </w:r>
      <w:r>
        <w:rPr>
          <w:rFonts w:ascii="Arial" w:hAnsi="Arial" w:cs="Arial"/>
          <w:color w:val="244061" w:themeColor="accent1" w:themeShade="80"/>
          <w:sz w:val="20"/>
          <w:szCs w:val="20"/>
        </w:rPr>
        <w:t>)</w:t>
      </w:r>
      <w:r w:rsidRPr="00466FEA">
        <w:rPr>
          <w:rFonts w:ascii="Arial" w:hAnsi="Arial" w:cs="Arial"/>
          <w:color w:val="244061" w:themeColor="accent1" w:themeShade="80"/>
          <w:sz w:val="20"/>
          <w:szCs w:val="20"/>
        </w:rPr>
        <w:t xml:space="preserve">, koji je </w:t>
      </w:r>
      <w:r>
        <w:rPr>
          <w:rFonts w:ascii="Arial" w:hAnsi="Arial" w:cs="Arial"/>
          <w:color w:val="244061" w:themeColor="accent1" w:themeShade="80"/>
          <w:sz w:val="20"/>
          <w:szCs w:val="20"/>
        </w:rPr>
        <w:t xml:space="preserve">u primjeni od </w:t>
      </w:r>
      <w:r w:rsidR="00364A39">
        <w:rPr>
          <w:rFonts w:ascii="Arial" w:hAnsi="Arial" w:cs="Arial"/>
          <w:color w:val="244061" w:themeColor="accent1" w:themeShade="80"/>
          <w:sz w:val="20"/>
          <w:szCs w:val="20"/>
        </w:rPr>
        <w:t xml:space="preserve">1. siječnja 2015. </w:t>
      </w:r>
      <w:r w:rsidRPr="00466FEA">
        <w:rPr>
          <w:rFonts w:ascii="Arial" w:hAnsi="Arial" w:cs="Arial"/>
          <w:color w:val="244061" w:themeColor="accent1" w:themeShade="80"/>
          <w:sz w:val="20"/>
          <w:szCs w:val="20"/>
        </w:rPr>
        <w:t>godine, uvedena je mogućnost stvaranja urbanih aglomeracija oko četiri najveća hrvatska grada</w:t>
      </w:r>
      <w:r w:rsidR="008E7389">
        <w:rPr>
          <w:rFonts w:ascii="Arial" w:hAnsi="Arial" w:cs="Arial"/>
          <w:color w:val="244061" w:themeColor="accent1" w:themeShade="80"/>
          <w:sz w:val="20"/>
          <w:szCs w:val="20"/>
        </w:rPr>
        <w:t xml:space="preserve">: </w:t>
      </w:r>
      <w:r w:rsidRPr="00466FEA">
        <w:rPr>
          <w:rFonts w:ascii="Arial" w:hAnsi="Arial" w:cs="Arial"/>
          <w:color w:val="244061" w:themeColor="accent1" w:themeShade="80"/>
          <w:sz w:val="20"/>
          <w:szCs w:val="20"/>
        </w:rPr>
        <w:t>Zagreba, Splita, Rijeke i Osijeka</w:t>
      </w:r>
      <w:r w:rsidR="008E7389">
        <w:rPr>
          <w:rFonts w:ascii="Arial" w:hAnsi="Arial" w:cs="Arial"/>
          <w:color w:val="244061" w:themeColor="accent1" w:themeShade="80"/>
          <w:sz w:val="20"/>
          <w:szCs w:val="20"/>
        </w:rPr>
        <w:t>,</w:t>
      </w:r>
      <w:r w:rsidRPr="00466FEA">
        <w:rPr>
          <w:rFonts w:ascii="Arial" w:hAnsi="Arial" w:cs="Arial"/>
          <w:color w:val="244061" w:themeColor="accent1" w:themeShade="80"/>
          <w:sz w:val="20"/>
          <w:szCs w:val="20"/>
        </w:rPr>
        <w:t xml:space="preserve"> uz mogućnost širenja i na druge veće gradove, s ciljem ostvarenja strategije Europske unije do 2020. godine. Strategijom se posebna važnost daje urbanim sredinama, kojima se kroz urbane aglomeracije nastoji povećati konkurentnost na globalnom tržištu te kroz mehanizam Integriranih teritorijalnih ulaganja (ITU)</w:t>
      </w:r>
      <w:r>
        <w:rPr>
          <w:rFonts w:ascii="Arial" w:hAnsi="Arial" w:cs="Arial"/>
          <w:color w:val="244061" w:themeColor="accent1" w:themeShade="80"/>
          <w:sz w:val="20"/>
          <w:szCs w:val="20"/>
        </w:rPr>
        <w:t xml:space="preserve"> </w:t>
      </w:r>
      <w:r w:rsidRPr="00466FEA">
        <w:rPr>
          <w:rFonts w:ascii="Arial" w:hAnsi="Arial" w:cs="Arial"/>
          <w:color w:val="244061" w:themeColor="accent1" w:themeShade="80"/>
          <w:sz w:val="20"/>
          <w:szCs w:val="20"/>
        </w:rPr>
        <w:t>osigurati dodatna sredstva iz europskih fondova.</w:t>
      </w:r>
      <w:r w:rsidRPr="00466FEA">
        <w:rPr>
          <w:rFonts w:ascii="Arial" w:hAnsi="Arial" w:cs="Arial"/>
          <w:sz w:val="20"/>
          <w:szCs w:val="20"/>
        </w:rPr>
        <w:t xml:space="preserve"> </w:t>
      </w:r>
      <w:r w:rsidRPr="00466FEA">
        <w:rPr>
          <w:rFonts w:ascii="Arial" w:hAnsi="Arial" w:cs="Arial"/>
          <w:color w:val="244061" w:themeColor="accent1" w:themeShade="80"/>
          <w:sz w:val="20"/>
          <w:szCs w:val="20"/>
        </w:rPr>
        <w:t>Putem ITU-mehanizma urbanim aglomeracijama na području Hrvatske bit će na raspolaganju čak 345 milijuna eura</w:t>
      </w:r>
      <w:r>
        <w:rPr>
          <w:rFonts w:ascii="Arial" w:hAnsi="Arial" w:cs="Arial"/>
          <w:color w:val="244061" w:themeColor="accent1" w:themeShade="80"/>
          <w:sz w:val="20"/>
          <w:szCs w:val="20"/>
        </w:rPr>
        <w:t>.</w:t>
      </w:r>
      <w:r w:rsidR="008E7389" w:rsidRPr="00EA5567">
        <w:rPr>
          <w:rFonts w:ascii="Arial" w:hAnsi="Arial" w:cs="Arial"/>
          <w:sz w:val="20"/>
          <w:szCs w:val="20"/>
        </w:rPr>
        <w:t xml:space="preserve"> </w:t>
      </w:r>
      <w:r w:rsidR="008E7389" w:rsidRPr="008E7389">
        <w:rPr>
          <w:rFonts w:ascii="Arial" w:hAnsi="Arial" w:cs="Arial"/>
          <w:color w:val="244061" w:themeColor="accent1" w:themeShade="80"/>
          <w:sz w:val="20"/>
          <w:szCs w:val="20"/>
        </w:rPr>
        <w:t>Podaci pokazuju da oko 70% stanovništva EU živi u urbanim područjima</w:t>
      </w:r>
      <w:r w:rsidR="008E7389">
        <w:rPr>
          <w:rFonts w:ascii="Arial" w:hAnsi="Arial" w:cs="Arial"/>
          <w:color w:val="244061" w:themeColor="accent1" w:themeShade="80"/>
          <w:sz w:val="20"/>
          <w:szCs w:val="20"/>
        </w:rPr>
        <w:t>.</w:t>
      </w:r>
      <w:r w:rsidR="008E7389">
        <w:rPr>
          <w:rStyle w:val="FootnoteReference"/>
          <w:rFonts w:ascii="Arial" w:hAnsi="Arial" w:cs="Arial"/>
          <w:color w:val="244061" w:themeColor="accent1" w:themeShade="80"/>
          <w:sz w:val="20"/>
          <w:szCs w:val="20"/>
        </w:rPr>
        <w:footnoteReference w:id="1"/>
      </w:r>
    </w:p>
    <w:p w:rsidR="00466FEA" w:rsidRPr="00F44AA0" w:rsidRDefault="00466FEA" w:rsidP="00415348">
      <w:pPr>
        <w:tabs>
          <w:tab w:val="left" w:pos="567"/>
        </w:tabs>
        <w:spacing w:before="180" w:after="120"/>
        <w:jc w:val="both"/>
        <w:outlineLvl w:val="1"/>
        <w:rPr>
          <w:rFonts w:ascii="Arial" w:hAnsi="Arial" w:cs="Arial"/>
          <w:b/>
          <w:color w:val="244061" w:themeColor="accent1" w:themeShade="80"/>
          <w:sz w:val="21"/>
          <w:szCs w:val="21"/>
        </w:rPr>
      </w:pPr>
      <w:r w:rsidRPr="00F44AA0">
        <w:rPr>
          <w:rFonts w:ascii="Arial" w:hAnsi="Arial" w:cs="Arial"/>
          <w:b/>
          <w:color w:val="244061" w:themeColor="accent1" w:themeShade="80"/>
          <w:sz w:val="21"/>
          <w:szCs w:val="21"/>
        </w:rPr>
        <w:t>Ustrojavanje Urbane aglomeracije Rijeka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0"/>
      </w:tblGrid>
      <w:tr w:rsidR="008E7389" w:rsidTr="00D755C7">
        <w:trPr>
          <w:trHeight w:val="340"/>
        </w:trPr>
        <w:tc>
          <w:tcPr>
            <w:tcW w:w="4361" w:type="dxa"/>
            <w:vAlign w:val="center"/>
          </w:tcPr>
          <w:p w:rsidR="008E7389" w:rsidRPr="008E7389" w:rsidRDefault="008E7389" w:rsidP="00AD359B">
            <w:pPr>
              <w:rPr>
                <w:rFonts w:ascii="Arial" w:eastAsia="Times New Roman" w:hAnsi="Arial" w:cs="Arial"/>
                <w:noProof/>
                <w:color w:val="0000FF"/>
                <w:sz w:val="19"/>
                <w:szCs w:val="19"/>
                <w:lang w:eastAsia="hr-HR"/>
              </w:rPr>
            </w:pPr>
            <w:r w:rsidRPr="008E7389">
              <w:rPr>
                <w:rFonts w:ascii="Arial" w:hAnsi="Arial" w:cs="Arial"/>
                <w:b/>
                <w:color w:val="244061" w:themeColor="accent1" w:themeShade="80"/>
                <w:sz w:val="19"/>
                <w:szCs w:val="19"/>
              </w:rPr>
              <w:t xml:space="preserve">Shema </w:t>
            </w:r>
            <w:r w:rsidR="00AD359B">
              <w:rPr>
                <w:rFonts w:ascii="Arial" w:hAnsi="Arial" w:cs="Arial"/>
                <w:b/>
                <w:color w:val="244061" w:themeColor="accent1" w:themeShade="80"/>
                <w:sz w:val="19"/>
                <w:szCs w:val="19"/>
              </w:rPr>
              <w:t>1</w:t>
            </w:r>
            <w:r w:rsidRPr="008E7389">
              <w:rPr>
                <w:rFonts w:ascii="Arial" w:hAnsi="Arial" w:cs="Arial"/>
                <w:color w:val="244061" w:themeColor="accent1" w:themeShade="80"/>
                <w:sz w:val="19"/>
                <w:szCs w:val="19"/>
              </w:rPr>
              <w:t>.   Područje Urbane aglomeracije Rijeka</w:t>
            </w:r>
          </w:p>
        </w:tc>
        <w:tc>
          <w:tcPr>
            <w:tcW w:w="5380" w:type="dxa"/>
            <w:vMerge w:val="restart"/>
          </w:tcPr>
          <w:p w:rsidR="008E7389" w:rsidRPr="00466FEA" w:rsidRDefault="00415348" w:rsidP="0001331D">
            <w:pPr>
              <w:tabs>
                <w:tab w:val="left" w:pos="567"/>
              </w:tabs>
              <w:spacing w:before="120" w:line="276" w:lineRule="auto"/>
              <w:jc w:val="both"/>
              <w:rPr>
                <w:rFonts w:ascii="Arial" w:hAnsi="Arial" w:cs="Arial"/>
                <w:color w:val="244061" w:themeColor="accent1" w:themeShade="80"/>
                <w:sz w:val="20"/>
                <w:szCs w:val="20"/>
              </w:rPr>
            </w:pPr>
            <w:r w:rsidRPr="00466FEA">
              <w:rPr>
                <w:rFonts w:ascii="Arial" w:hAnsi="Arial" w:cs="Arial"/>
                <w:color w:val="244061" w:themeColor="accent1" w:themeShade="80"/>
                <w:sz w:val="20"/>
                <w:szCs w:val="20"/>
              </w:rPr>
              <w:t xml:space="preserve">Uvažavajući kriterije Ministarstva regionalnog razvoja o tome kako bi urbana aglomeracija trebala obuhvaćati područje s kojeg se ostvaruje više od 30% dnevnih migracija prema centru urbanog područja, poštujući pritom prostorni kontinuitet, Urbana aglomeracija Rijeka </w:t>
            </w:r>
            <w:r w:rsidRPr="00EA5567">
              <w:rPr>
                <w:rFonts w:ascii="Arial" w:hAnsi="Arial" w:cs="Arial"/>
                <w:color w:val="244061" w:themeColor="accent1" w:themeShade="80"/>
                <w:sz w:val="20"/>
                <w:szCs w:val="20"/>
              </w:rPr>
              <w:t xml:space="preserve">ustrojena je u rujnu </w:t>
            </w:r>
            <w:r w:rsidR="0001331D">
              <w:rPr>
                <w:rFonts w:ascii="Arial" w:hAnsi="Arial" w:cs="Arial"/>
                <w:color w:val="244061" w:themeColor="accent1" w:themeShade="80"/>
                <w:sz w:val="20"/>
                <w:szCs w:val="20"/>
              </w:rPr>
              <w:t xml:space="preserve">2015. godine </w:t>
            </w:r>
            <w:r w:rsidRPr="00EA5567">
              <w:rPr>
                <w:rFonts w:ascii="Arial" w:hAnsi="Arial" w:cs="Arial"/>
                <w:color w:val="244061" w:themeColor="accent1" w:themeShade="80"/>
                <w:sz w:val="20"/>
                <w:szCs w:val="20"/>
              </w:rPr>
              <w:t>odlukom ministra regionalnog razvoja i fondova Europske unije. Gradonačelnici i načelnici gradova i općina – članica Urbane aglomeracije Rijeka, 27. studenoga 2015. godine, u Općini Klana, potpisali su Sporazum o suradnji na izradi i provedbi Strategije razvoja Urbane aglomeracije Rijeka</w:t>
            </w:r>
            <w:r>
              <w:rPr>
                <w:rFonts w:ascii="Arial" w:hAnsi="Arial" w:cs="Arial"/>
                <w:color w:val="244061" w:themeColor="accent1" w:themeShade="80"/>
                <w:sz w:val="20"/>
                <w:szCs w:val="20"/>
              </w:rPr>
              <w:t>.</w:t>
            </w:r>
          </w:p>
        </w:tc>
      </w:tr>
      <w:tr w:rsidR="008E7389" w:rsidTr="00D755C7">
        <w:tc>
          <w:tcPr>
            <w:tcW w:w="4361" w:type="dxa"/>
            <w:vAlign w:val="center"/>
          </w:tcPr>
          <w:p w:rsidR="008E7389" w:rsidRDefault="008E7389" w:rsidP="00F44AA0">
            <w:pPr>
              <w:jc w:val="center"/>
              <w:rPr>
                <w:rFonts w:ascii="Arial" w:hAnsi="Arial" w:cs="Arial"/>
                <w:color w:val="244061" w:themeColor="accent1" w:themeShade="80"/>
                <w:sz w:val="20"/>
                <w:szCs w:val="20"/>
              </w:rPr>
            </w:pPr>
            <w:r w:rsidRPr="00F44AA0">
              <w:rPr>
                <w:rFonts w:ascii="Arial" w:eastAsia="Times New Roman" w:hAnsi="Arial" w:cs="Arial"/>
                <w:noProof/>
                <w:color w:val="0000FF"/>
                <w:sz w:val="27"/>
                <w:szCs w:val="27"/>
                <w:lang w:eastAsia="hr-HR"/>
              </w:rPr>
              <w:drawing>
                <wp:inline distT="0" distB="0" distL="0" distR="0" wp14:anchorId="121948F2" wp14:editId="6F103903">
                  <wp:extent cx="2408945" cy="1661823"/>
                  <wp:effectExtent l="0" t="0" r="0" b="0"/>
                  <wp:docPr id="3" name="Picture 3" descr="https://encrypted-tbn0.gstatic.com/images?q=tbn:ANd9GcSiviqwS8kJoCX75ywQrGW_KyrHYIkiB7m_OFMTn-6bD5ubbJCMx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iviqwS8kJoCX75ywQrGW_KyrHYIkiB7m_OFMTn-6bD5ubbJCMxw">
                            <a:hlinkClick r:id="rId7"/>
                          </pic:cNvPr>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b="12552"/>
                          <a:stretch/>
                        </pic:blipFill>
                        <pic:spPr bwMode="auto">
                          <a:xfrm>
                            <a:off x="0" y="0"/>
                            <a:ext cx="2409190" cy="16619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0" w:type="dxa"/>
            <w:vMerge/>
          </w:tcPr>
          <w:p w:rsidR="008E7389" w:rsidRDefault="008E7389" w:rsidP="00F44AA0">
            <w:pPr>
              <w:tabs>
                <w:tab w:val="left" w:pos="567"/>
              </w:tabs>
              <w:spacing w:line="276" w:lineRule="auto"/>
              <w:jc w:val="both"/>
              <w:rPr>
                <w:rFonts w:ascii="Arial" w:hAnsi="Arial" w:cs="Arial"/>
                <w:color w:val="244061" w:themeColor="accent1" w:themeShade="80"/>
                <w:sz w:val="20"/>
                <w:szCs w:val="20"/>
              </w:rPr>
            </w:pPr>
          </w:p>
        </w:tc>
      </w:tr>
    </w:tbl>
    <w:p w:rsidR="008E7389" w:rsidRDefault="008E7389" w:rsidP="008E7389">
      <w:pPr>
        <w:tabs>
          <w:tab w:val="left" w:pos="567"/>
        </w:tabs>
        <w:spacing w:before="240" w:after="0"/>
        <w:jc w:val="both"/>
        <w:rPr>
          <w:rFonts w:ascii="Arial" w:hAnsi="Arial" w:cs="Arial"/>
          <w:b/>
          <w:color w:val="244061" w:themeColor="accent1" w:themeShade="80"/>
          <w:sz w:val="21"/>
          <w:szCs w:val="21"/>
        </w:rPr>
      </w:pPr>
      <w:r>
        <w:rPr>
          <w:rFonts w:ascii="Arial" w:hAnsi="Arial" w:cs="Arial"/>
          <w:b/>
          <w:color w:val="244061" w:themeColor="accent1" w:themeShade="80"/>
          <w:sz w:val="21"/>
          <w:szCs w:val="21"/>
        </w:rPr>
        <w:t xml:space="preserve">Financijski rezultati poslovanja poduzetnika na području Urbane aglomeracije Rijeka </w:t>
      </w:r>
    </w:p>
    <w:p w:rsidR="00793E44" w:rsidRDefault="00B205FA" w:rsidP="008E7389">
      <w:pPr>
        <w:tabs>
          <w:tab w:val="left" w:pos="567"/>
        </w:tabs>
        <w:spacing w:before="120" w:after="0"/>
        <w:jc w:val="both"/>
        <w:rPr>
          <w:rFonts w:ascii="Arial" w:hAnsi="Arial" w:cs="Arial"/>
          <w:color w:val="244061" w:themeColor="accent1" w:themeShade="80"/>
          <w:sz w:val="20"/>
          <w:szCs w:val="20"/>
        </w:rPr>
      </w:pPr>
      <w:r>
        <w:rPr>
          <w:rFonts w:ascii="Arial" w:hAnsi="Arial" w:cs="Arial"/>
          <w:color w:val="244061" w:themeColor="accent1" w:themeShade="80"/>
          <w:sz w:val="20"/>
          <w:szCs w:val="20"/>
        </w:rPr>
        <w:t>Na području 10 gradova i općina koje su obuhvaćene</w:t>
      </w:r>
      <w:r w:rsidR="00EA5567">
        <w:rPr>
          <w:rFonts w:ascii="Arial" w:hAnsi="Arial" w:cs="Arial"/>
          <w:color w:val="244061" w:themeColor="accent1" w:themeShade="80"/>
          <w:sz w:val="20"/>
          <w:szCs w:val="20"/>
        </w:rPr>
        <w:t xml:space="preserve"> </w:t>
      </w:r>
      <w:r w:rsidRPr="00B205FA">
        <w:rPr>
          <w:rFonts w:ascii="Arial" w:hAnsi="Arial" w:cs="Arial"/>
          <w:color w:val="244061" w:themeColor="accent1" w:themeShade="80"/>
          <w:sz w:val="20"/>
          <w:szCs w:val="20"/>
        </w:rPr>
        <w:t>Urban</w:t>
      </w:r>
      <w:r w:rsidR="00EA5567">
        <w:rPr>
          <w:rFonts w:ascii="Arial" w:hAnsi="Arial" w:cs="Arial"/>
          <w:color w:val="244061" w:themeColor="accent1" w:themeShade="80"/>
          <w:sz w:val="20"/>
          <w:szCs w:val="20"/>
        </w:rPr>
        <w:t>om</w:t>
      </w:r>
      <w:r w:rsidRPr="00B205FA">
        <w:rPr>
          <w:rFonts w:ascii="Arial" w:hAnsi="Arial" w:cs="Arial"/>
          <w:color w:val="244061" w:themeColor="accent1" w:themeShade="80"/>
          <w:sz w:val="20"/>
          <w:szCs w:val="20"/>
        </w:rPr>
        <w:t xml:space="preserve"> aglomeracij</w:t>
      </w:r>
      <w:r w:rsidR="00EA5567">
        <w:rPr>
          <w:rFonts w:ascii="Arial" w:hAnsi="Arial" w:cs="Arial"/>
          <w:color w:val="244061" w:themeColor="accent1" w:themeShade="80"/>
          <w:sz w:val="20"/>
          <w:szCs w:val="20"/>
        </w:rPr>
        <w:t>om</w:t>
      </w:r>
      <w:r w:rsidRPr="00B205FA">
        <w:rPr>
          <w:rFonts w:ascii="Arial" w:hAnsi="Arial" w:cs="Arial"/>
          <w:color w:val="244061" w:themeColor="accent1" w:themeShade="80"/>
          <w:sz w:val="20"/>
          <w:szCs w:val="20"/>
        </w:rPr>
        <w:t xml:space="preserve"> Rijeka</w:t>
      </w:r>
      <w:r>
        <w:rPr>
          <w:rFonts w:ascii="Arial" w:hAnsi="Arial" w:cs="Arial"/>
          <w:color w:val="244061" w:themeColor="accent1" w:themeShade="80"/>
          <w:sz w:val="20"/>
          <w:szCs w:val="20"/>
        </w:rPr>
        <w:t xml:space="preserve">, u 2014. godini bilo je </w:t>
      </w:r>
      <w:r w:rsidR="00C8410D">
        <w:rPr>
          <w:rFonts w:ascii="Arial" w:hAnsi="Arial" w:cs="Arial"/>
          <w:color w:val="244061" w:themeColor="accent1" w:themeShade="80"/>
          <w:sz w:val="20"/>
          <w:szCs w:val="20"/>
        </w:rPr>
        <w:t>6.365</w:t>
      </w:r>
      <w:r>
        <w:rPr>
          <w:rFonts w:ascii="Arial" w:hAnsi="Arial" w:cs="Arial"/>
          <w:color w:val="244061" w:themeColor="accent1" w:themeShade="80"/>
          <w:sz w:val="20"/>
          <w:szCs w:val="20"/>
        </w:rPr>
        <w:t xml:space="preserve"> poduzetnika čije je sjedište u jednom od spomenutih gradova i općina. Riječ je o poduzetnicima koji su sastavili i u Registar godišnjih financijskih izvještaja podnijeli točan i potpun godišnji financijski izvještaj za 2014. godinu.</w:t>
      </w:r>
      <w:r w:rsidR="00EA5567">
        <w:rPr>
          <w:rFonts w:ascii="Arial" w:hAnsi="Arial" w:cs="Arial"/>
          <w:color w:val="244061" w:themeColor="accent1" w:themeShade="80"/>
          <w:sz w:val="20"/>
          <w:szCs w:val="20"/>
        </w:rPr>
        <w:t xml:space="preserve"> </w:t>
      </w:r>
      <w:r w:rsidR="00793E44">
        <w:rPr>
          <w:rFonts w:ascii="Arial" w:hAnsi="Arial" w:cs="Arial"/>
          <w:color w:val="244061" w:themeColor="accent1" w:themeShade="80"/>
          <w:sz w:val="20"/>
          <w:szCs w:val="20"/>
        </w:rPr>
        <w:t xml:space="preserve">Od navedenoga broja, najviše je poduzetnika sa područja grada Rijeke (4.291), a najmanji je broj poduzetnika u općini Klana (32). </w:t>
      </w:r>
      <w:r>
        <w:rPr>
          <w:rFonts w:ascii="Arial" w:hAnsi="Arial" w:cs="Arial"/>
          <w:color w:val="244061" w:themeColor="accent1" w:themeShade="80"/>
          <w:sz w:val="20"/>
          <w:szCs w:val="20"/>
        </w:rPr>
        <w:t xml:space="preserve">Kod </w:t>
      </w:r>
      <w:r w:rsidR="00793E44">
        <w:rPr>
          <w:rFonts w:ascii="Arial" w:hAnsi="Arial" w:cs="Arial"/>
          <w:color w:val="244061" w:themeColor="accent1" w:themeShade="80"/>
          <w:sz w:val="20"/>
          <w:szCs w:val="20"/>
        </w:rPr>
        <w:t>6.365</w:t>
      </w:r>
      <w:r>
        <w:rPr>
          <w:rFonts w:ascii="Arial" w:hAnsi="Arial" w:cs="Arial"/>
          <w:color w:val="244061" w:themeColor="accent1" w:themeShade="80"/>
          <w:sz w:val="20"/>
          <w:szCs w:val="20"/>
        </w:rPr>
        <w:t xml:space="preserve"> poduzetnika bilo je </w:t>
      </w:r>
      <w:r w:rsidR="00C8410D">
        <w:rPr>
          <w:rFonts w:ascii="Arial" w:hAnsi="Arial" w:cs="Arial"/>
          <w:color w:val="244061" w:themeColor="accent1" w:themeShade="80"/>
          <w:sz w:val="20"/>
          <w:szCs w:val="20"/>
        </w:rPr>
        <w:t>40.000</w:t>
      </w:r>
      <w:r>
        <w:rPr>
          <w:rFonts w:ascii="Arial" w:hAnsi="Arial" w:cs="Arial"/>
          <w:color w:val="244061" w:themeColor="accent1" w:themeShade="80"/>
          <w:sz w:val="20"/>
          <w:szCs w:val="20"/>
        </w:rPr>
        <w:t xml:space="preserve"> zaposlenih, što je prosječno </w:t>
      </w:r>
      <w:r w:rsidR="00C8410D">
        <w:rPr>
          <w:rFonts w:ascii="Arial" w:hAnsi="Arial" w:cs="Arial"/>
          <w:color w:val="244061" w:themeColor="accent1" w:themeShade="80"/>
          <w:sz w:val="20"/>
          <w:szCs w:val="20"/>
        </w:rPr>
        <w:t>6,3</w:t>
      </w:r>
      <w:r>
        <w:rPr>
          <w:rFonts w:ascii="Arial" w:hAnsi="Arial" w:cs="Arial"/>
          <w:color w:val="244061" w:themeColor="accent1" w:themeShade="80"/>
          <w:sz w:val="20"/>
          <w:szCs w:val="20"/>
        </w:rPr>
        <w:t xml:space="preserve"> </w:t>
      </w:r>
      <w:r w:rsidR="00C8410D">
        <w:rPr>
          <w:rFonts w:ascii="Arial" w:hAnsi="Arial" w:cs="Arial"/>
          <w:color w:val="244061" w:themeColor="accent1" w:themeShade="80"/>
          <w:sz w:val="20"/>
          <w:szCs w:val="20"/>
        </w:rPr>
        <w:t>zaposlenih</w:t>
      </w:r>
      <w:r>
        <w:rPr>
          <w:rFonts w:ascii="Arial" w:hAnsi="Arial" w:cs="Arial"/>
          <w:color w:val="244061" w:themeColor="accent1" w:themeShade="80"/>
          <w:sz w:val="20"/>
          <w:szCs w:val="20"/>
        </w:rPr>
        <w:t xml:space="preserve"> po poduzetniku. </w:t>
      </w:r>
    </w:p>
    <w:p w:rsidR="00B205FA" w:rsidRDefault="00C8410D" w:rsidP="00EA5567">
      <w:pPr>
        <w:widowControl w:val="0"/>
        <w:tabs>
          <w:tab w:val="left" w:pos="567"/>
        </w:tabs>
        <w:spacing w:before="120" w:after="0"/>
        <w:jc w:val="both"/>
        <w:rPr>
          <w:rFonts w:ascii="Arial" w:hAnsi="Arial" w:cs="Arial"/>
          <w:color w:val="244061" w:themeColor="accent1" w:themeShade="80"/>
          <w:sz w:val="20"/>
          <w:szCs w:val="20"/>
        </w:rPr>
      </w:pPr>
      <w:r>
        <w:rPr>
          <w:rFonts w:ascii="Arial" w:hAnsi="Arial" w:cs="Arial"/>
          <w:color w:val="244061" w:themeColor="accent1" w:themeShade="80"/>
          <w:sz w:val="20"/>
          <w:szCs w:val="20"/>
        </w:rPr>
        <w:t>U 2014. godini poduzetnici čije je sjedište u jednom od gradova i općina obuhvaćenih prijedlogom obuhvata Urbane aglomeracije Rijeka, ostvarili su ukupan prihod u iznosu od 22,5 milijardi kuna.</w:t>
      </w:r>
    </w:p>
    <w:p w:rsidR="00415348" w:rsidRDefault="003C0074" w:rsidP="00415348">
      <w:pPr>
        <w:widowControl w:val="0"/>
        <w:tabs>
          <w:tab w:val="left" w:pos="567"/>
        </w:tabs>
        <w:spacing w:before="180" w:after="0"/>
        <w:ind w:left="1134" w:hanging="1134"/>
        <w:rPr>
          <w:rFonts w:ascii="Arial" w:hAnsi="Arial" w:cs="Arial"/>
          <w:color w:val="244061" w:themeColor="accent1" w:themeShade="80"/>
          <w:sz w:val="18"/>
          <w:szCs w:val="18"/>
        </w:rPr>
      </w:pPr>
      <w:r w:rsidRPr="003C0074">
        <w:rPr>
          <w:rFonts w:ascii="Arial" w:hAnsi="Arial" w:cs="Arial"/>
          <w:b/>
          <w:color w:val="244061" w:themeColor="accent1" w:themeShade="80"/>
          <w:sz w:val="19"/>
          <w:szCs w:val="19"/>
        </w:rPr>
        <w:t>Tablica 1.</w:t>
      </w:r>
      <w:r>
        <w:rPr>
          <w:rFonts w:ascii="Arial" w:hAnsi="Arial" w:cs="Arial"/>
          <w:b/>
          <w:color w:val="244061" w:themeColor="accent1" w:themeShade="80"/>
          <w:sz w:val="19"/>
          <w:szCs w:val="19"/>
        </w:rPr>
        <w:tab/>
      </w:r>
      <w:r w:rsidRPr="00D1505F">
        <w:rPr>
          <w:rFonts w:ascii="Arial" w:hAnsi="Arial" w:cs="Arial"/>
          <w:color w:val="244061" w:themeColor="accent1" w:themeShade="80"/>
          <w:sz w:val="18"/>
          <w:szCs w:val="18"/>
        </w:rPr>
        <w:t>Osnovni financijski podaci poslovanja poduzetnika u gradovima</w:t>
      </w:r>
      <w:r w:rsidR="00AD359B">
        <w:rPr>
          <w:rFonts w:ascii="Arial" w:hAnsi="Arial" w:cs="Arial"/>
          <w:color w:val="244061" w:themeColor="accent1" w:themeShade="80"/>
          <w:sz w:val="18"/>
          <w:szCs w:val="18"/>
        </w:rPr>
        <w:t>/</w:t>
      </w:r>
      <w:r w:rsidRPr="00D1505F">
        <w:rPr>
          <w:rFonts w:ascii="Arial" w:hAnsi="Arial" w:cs="Arial"/>
          <w:color w:val="244061" w:themeColor="accent1" w:themeShade="80"/>
          <w:sz w:val="18"/>
          <w:szCs w:val="18"/>
        </w:rPr>
        <w:t>općinama U</w:t>
      </w:r>
      <w:r w:rsidR="005826B8">
        <w:rPr>
          <w:rFonts w:ascii="Arial" w:hAnsi="Arial" w:cs="Arial"/>
          <w:color w:val="244061" w:themeColor="accent1" w:themeShade="80"/>
          <w:sz w:val="18"/>
          <w:szCs w:val="18"/>
        </w:rPr>
        <w:t>rbane aglom. Rijeka</w:t>
      </w:r>
      <w:r w:rsidRPr="00D1505F">
        <w:rPr>
          <w:rFonts w:ascii="Arial" w:hAnsi="Arial" w:cs="Arial"/>
          <w:color w:val="244061" w:themeColor="accent1" w:themeShade="80"/>
          <w:sz w:val="18"/>
          <w:szCs w:val="18"/>
        </w:rPr>
        <w:t xml:space="preserve"> u 2014. g</w:t>
      </w:r>
      <w:r w:rsidR="005826B8">
        <w:rPr>
          <w:rFonts w:ascii="Arial" w:hAnsi="Arial" w:cs="Arial"/>
          <w:color w:val="244061" w:themeColor="accent1" w:themeShade="80"/>
          <w:sz w:val="18"/>
          <w:szCs w:val="18"/>
        </w:rPr>
        <w:t>.</w:t>
      </w:r>
    </w:p>
    <w:p w:rsidR="003C0074" w:rsidRPr="003C0074" w:rsidRDefault="003C0074" w:rsidP="00415348">
      <w:pPr>
        <w:widowControl w:val="0"/>
        <w:tabs>
          <w:tab w:val="left" w:pos="567"/>
        </w:tabs>
        <w:spacing w:after="40"/>
        <w:ind w:left="1134" w:hanging="1134"/>
        <w:jc w:val="right"/>
        <w:rPr>
          <w:rFonts w:ascii="Arial" w:hAnsi="Arial" w:cs="Arial"/>
          <w:b/>
          <w:color w:val="244061" w:themeColor="accent1" w:themeShade="80"/>
          <w:sz w:val="19"/>
          <w:szCs w:val="19"/>
        </w:rPr>
      </w:pPr>
      <w:r w:rsidRPr="004946AC">
        <w:rPr>
          <w:rFonts w:ascii="Arial" w:eastAsia="Calibri" w:hAnsi="Arial" w:cs="Arial"/>
          <w:color w:val="17365D"/>
          <w:sz w:val="16"/>
          <w:szCs w:val="18"/>
        </w:rPr>
        <w:t>(iznosi u tisućama kuna</w:t>
      </w:r>
      <w:r>
        <w:rPr>
          <w:rFonts w:ascii="Arial" w:eastAsia="Calibri" w:hAnsi="Arial" w:cs="Arial"/>
          <w:color w:val="17365D"/>
          <w:sz w:val="16"/>
          <w:szCs w:val="18"/>
        </w:rPr>
        <w:t>)</w:t>
      </w:r>
    </w:p>
    <w:tbl>
      <w:tblPr>
        <w:tblW w:w="9744" w:type="dxa"/>
        <w:jc w:val="center"/>
        <w:tblLayout w:type="fixed"/>
        <w:tblLook w:val="04A0" w:firstRow="1" w:lastRow="0" w:firstColumn="1" w:lastColumn="0" w:noHBand="0" w:noVBand="1"/>
      </w:tblPr>
      <w:tblGrid>
        <w:gridCol w:w="2721"/>
        <w:gridCol w:w="1281"/>
        <w:gridCol w:w="1171"/>
        <w:gridCol w:w="1226"/>
        <w:gridCol w:w="1115"/>
        <w:gridCol w:w="1115"/>
        <w:gridCol w:w="1115"/>
      </w:tblGrid>
      <w:tr w:rsidR="003C0074" w:rsidRPr="00EA5567" w:rsidTr="00D755C7">
        <w:trPr>
          <w:trHeight w:val="454"/>
          <w:jc w:val="center"/>
        </w:trPr>
        <w:tc>
          <w:tcPr>
            <w:tcW w:w="2721" w:type="dxa"/>
            <w:tcBorders>
              <w:top w:val="single" w:sz="8" w:space="0" w:color="auto"/>
              <w:left w:val="single" w:sz="8" w:space="0" w:color="auto"/>
              <w:bottom w:val="nil"/>
              <w:right w:val="single" w:sz="8" w:space="0" w:color="C0C0C0"/>
            </w:tcBorders>
            <w:shd w:val="clear" w:color="000000" w:fill="003366"/>
            <w:vAlign w:val="center"/>
            <w:hideMark/>
          </w:tcPr>
          <w:p w:rsidR="003C0074" w:rsidRPr="003C116E" w:rsidRDefault="003C0074" w:rsidP="003C0074">
            <w:pPr>
              <w:spacing w:after="0" w:line="240" w:lineRule="auto"/>
              <w:jc w:val="center"/>
              <w:rPr>
                <w:rFonts w:ascii="Arial" w:eastAsia="Times New Roman" w:hAnsi="Arial" w:cs="Arial"/>
                <w:b/>
                <w:bCs/>
                <w:color w:val="FFFFFF"/>
                <w:sz w:val="16"/>
                <w:szCs w:val="16"/>
                <w:lang w:eastAsia="hr-HR"/>
              </w:rPr>
            </w:pPr>
            <w:r w:rsidRPr="003C116E">
              <w:rPr>
                <w:rFonts w:ascii="Arial" w:eastAsia="Times New Roman" w:hAnsi="Arial" w:cs="Arial"/>
                <w:b/>
                <w:bCs/>
                <w:color w:val="FFFFFF" w:themeColor="background1"/>
                <w:sz w:val="16"/>
                <w:szCs w:val="16"/>
                <w:lang w:eastAsia="hr-HR"/>
              </w:rPr>
              <w:t>Naziv grada/općine</w:t>
            </w:r>
          </w:p>
        </w:tc>
        <w:tc>
          <w:tcPr>
            <w:tcW w:w="1281" w:type="dxa"/>
            <w:tcBorders>
              <w:top w:val="single" w:sz="8" w:space="0" w:color="auto"/>
              <w:left w:val="nil"/>
              <w:bottom w:val="nil"/>
              <w:right w:val="nil"/>
            </w:tcBorders>
            <w:shd w:val="clear" w:color="000000" w:fill="003366"/>
            <w:vAlign w:val="center"/>
            <w:hideMark/>
          </w:tcPr>
          <w:p w:rsidR="003C0074" w:rsidRPr="003C116E" w:rsidRDefault="003C0074" w:rsidP="003C0074">
            <w:pPr>
              <w:spacing w:after="0" w:line="240" w:lineRule="auto"/>
              <w:jc w:val="center"/>
              <w:rPr>
                <w:rFonts w:ascii="Arial" w:eastAsia="Times New Roman" w:hAnsi="Arial" w:cs="Arial"/>
                <w:b/>
                <w:bCs/>
                <w:color w:val="FFFFFF"/>
                <w:sz w:val="16"/>
                <w:szCs w:val="16"/>
                <w:lang w:eastAsia="hr-HR"/>
              </w:rPr>
            </w:pPr>
            <w:r w:rsidRPr="003C116E">
              <w:rPr>
                <w:rFonts w:ascii="Arial" w:eastAsia="Times New Roman" w:hAnsi="Arial" w:cs="Arial"/>
                <w:b/>
                <w:bCs/>
                <w:color w:val="FFFFFF" w:themeColor="background1"/>
                <w:sz w:val="16"/>
                <w:szCs w:val="16"/>
                <w:lang w:eastAsia="hr-HR"/>
              </w:rPr>
              <w:t>Broj poduzetnika</w:t>
            </w:r>
          </w:p>
        </w:tc>
        <w:tc>
          <w:tcPr>
            <w:tcW w:w="1171" w:type="dxa"/>
            <w:tcBorders>
              <w:top w:val="single" w:sz="8" w:space="0" w:color="C0C0C0"/>
              <w:left w:val="single" w:sz="8" w:space="0" w:color="C0C0C0"/>
              <w:bottom w:val="nil"/>
              <w:right w:val="nil"/>
            </w:tcBorders>
            <w:shd w:val="clear" w:color="000000" w:fill="003366"/>
            <w:vAlign w:val="center"/>
            <w:hideMark/>
          </w:tcPr>
          <w:p w:rsidR="003C0074" w:rsidRPr="003C116E" w:rsidRDefault="003C0074" w:rsidP="003C0074">
            <w:pPr>
              <w:spacing w:after="0" w:line="240" w:lineRule="auto"/>
              <w:jc w:val="center"/>
              <w:rPr>
                <w:rFonts w:ascii="Arial" w:eastAsia="Times New Roman" w:hAnsi="Arial" w:cs="Arial"/>
                <w:b/>
                <w:bCs/>
                <w:color w:val="FFFFFF"/>
                <w:sz w:val="16"/>
                <w:szCs w:val="16"/>
                <w:lang w:eastAsia="hr-HR"/>
              </w:rPr>
            </w:pPr>
            <w:r w:rsidRPr="003C116E">
              <w:rPr>
                <w:rFonts w:ascii="Arial" w:eastAsia="Times New Roman" w:hAnsi="Arial" w:cs="Arial"/>
                <w:b/>
                <w:bCs/>
                <w:color w:val="FFFFFF" w:themeColor="background1"/>
                <w:sz w:val="16"/>
                <w:szCs w:val="16"/>
                <w:lang w:eastAsia="hr-HR"/>
              </w:rPr>
              <w:t>Broj zaposlenih</w:t>
            </w:r>
          </w:p>
        </w:tc>
        <w:tc>
          <w:tcPr>
            <w:tcW w:w="1226" w:type="dxa"/>
            <w:tcBorders>
              <w:top w:val="single" w:sz="8" w:space="0" w:color="C0C0C0"/>
              <w:left w:val="single" w:sz="8" w:space="0" w:color="C0C0C0"/>
              <w:bottom w:val="nil"/>
              <w:right w:val="nil"/>
            </w:tcBorders>
            <w:shd w:val="clear" w:color="000000" w:fill="003366"/>
            <w:vAlign w:val="center"/>
            <w:hideMark/>
          </w:tcPr>
          <w:p w:rsidR="003C0074" w:rsidRPr="003C116E" w:rsidRDefault="003C0074" w:rsidP="003C0074">
            <w:pPr>
              <w:spacing w:after="0" w:line="240" w:lineRule="auto"/>
              <w:jc w:val="center"/>
              <w:rPr>
                <w:rFonts w:ascii="Arial" w:eastAsia="Times New Roman" w:hAnsi="Arial" w:cs="Arial"/>
                <w:b/>
                <w:bCs/>
                <w:color w:val="FFFFFF"/>
                <w:sz w:val="16"/>
                <w:szCs w:val="16"/>
                <w:lang w:eastAsia="hr-HR"/>
              </w:rPr>
            </w:pPr>
            <w:r w:rsidRPr="003C116E">
              <w:rPr>
                <w:rFonts w:ascii="Arial" w:eastAsia="Times New Roman" w:hAnsi="Arial" w:cs="Arial"/>
                <w:b/>
                <w:bCs/>
                <w:color w:val="FFFFFF" w:themeColor="background1"/>
                <w:sz w:val="16"/>
                <w:szCs w:val="16"/>
                <w:lang w:eastAsia="hr-HR"/>
              </w:rPr>
              <w:t>Ukupni prihod</w:t>
            </w:r>
          </w:p>
        </w:tc>
        <w:tc>
          <w:tcPr>
            <w:tcW w:w="1115" w:type="dxa"/>
            <w:tcBorders>
              <w:top w:val="single" w:sz="8" w:space="0" w:color="auto"/>
              <w:left w:val="single" w:sz="8" w:space="0" w:color="C0C0C0"/>
              <w:bottom w:val="nil"/>
              <w:right w:val="nil"/>
            </w:tcBorders>
            <w:shd w:val="clear" w:color="000000" w:fill="003366"/>
            <w:vAlign w:val="center"/>
            <w:hideMark/>
          </w:tcPr>
          <w:p w:rsidR="003C0074" w:rsidRPr="003C116E" w:rsidRDefault="003C0074" w:rsidP="003C0074">
            <w:pPr>
              <w:spacing w:after="0" w:line="240" w:lineRule="auto"/>
              <w:jc w:val="center"/>
              <w:rPr>
                <w:rFonts w:ascii="Arial" w:eastAsia="Times New Roman" w:hAnsi="Arial" w:cs="Arial"/>
                <w:b/>
                <w:bCs/>
                <w:color w:val="FFFFFF"/>
                <w:sz w:val="16"/>
                <w:szCs w:val="16"/>
                <w:lang w:eastAsia="hr-HR"/>
              </w:rPr>
            </w:pPr>
            <w:r w:rsidRPr="003C116E">
              <w:rPr>
                <w:rFonts w:ascii="Arial" w:eastAsia="Times New Roman" w:hAnsi="Arial" w:cs="Arial"/>
                <w:b/>
                <w:bCs/>
                <w:color w:val="FFFFFF" w:themeColor="background1"/>
                <w:sz w:val="16"/>
                <w:szCs w:val="16"/>
                <w:lang w:eastAsia="hr-HR"/>
              </w:rPr>
              <w:t>Dobit razdoblja</w:t>
            </w:r>
          </w:p>
        </w:tc>
        <w:tc>
          <w:tcPr>
            <w:tcW w:w="1115" w:type="dxa"/>
            <w:tcBorders>
              <w:top w:val="single" w:sz="8" w:space="0" w:color="auto"/>
              <w:left w:val="single" w:sz="8" w:space="0" w:color="C0C0C0"/>
              <w:bottom w:val="nil"/>
              <w:right w:val="nil"/>
            </w:tcBorders>
            <w:shd w:val="clear" w:color="000000" w:fill="003366"/>
            <w:vAlign w:val="center"/>
            <w:hideMark/>
          </w:tcPr>
          <w:p w:rsidR="003C0074" w:rsidRPr="003C116E" w:rsidRDefault="003C0074" w:rsidP="003C0074">
            <w:pPr>
              <w:spacing w:after="0" w:line="240" w:lineRule="auto"/>
              <w:jc w:val="center"/>
              <w:rPr>
                <w:rFonts w:ascii="Arial" w:eastAsia="Times New Roman" w:hAnsi="Arial" w:cs="Arial"/>
                <w:b/>
                <w:bCs/>
                <w:color w:val="FFFFFF"/>
                <w:sz w:val="16"/>
                <w:szCs w:val="16"/>
                <w:lang w:eastAsia="hr-HR"/>
              </w:rPr>
            </w:pPr>
            <w:r w:rsidRPr="003C116E">
              <w:rPr>
                <w:rFonts w:ascii="Arial" w:eastAsia="Times New Roman" w:hAnsi="Arial" w:cs="Arial"/>
                <w:b/>
                <w:bCs/>
                <w:color w:val="FFFFFF" w:themeColor="background1"/>
                <w:sz w:val="16"/>
                <w:szCs w:val="16"/>
                <w:lang w:eastAsia="hr-HR"/>
              </w:rPr>
              <w:t>Gubitak razdoblja</w:t>
            </w:r>
          </w:p>
        </w:tc>
        <w:tc>
          <w:tcPr>
            <w:tcW w:w="1115" w:type="dxa"/>
            <w:tcBorders>
              <w:top w:val="single" w:sz="8" w:space="0" w:color="auto"/>
              <w:left w:val="single" w:sz="8" w:space="0" w:color="C0C0C0"/>
              <w:bottom w:val="nil"/>
              <w:right w:val="nil"/>
            </w:tcBorders>
            <w:shd w:val="clear" w:color="000000" w:fill="003366"/>
            <w:vAlign w:val="center"/>
            <w:hideMark/>
          </w:tcPr>
          <w:p w:rsidR="003C0074" w:rsidRPr="003C116E" w:rsidRDefault="003C0074" w:rsidP="003C0074">
            <w:pPr>
              <w:spacing w:after="0" w:line="240" w:lineRule="auto"/>
              <w:jc w:val="center"/>
              <w:rPr>
                <w:rFonts w:ascii="Arial" w:eastAsia="Times New Roman" w:hAnsi="Arial" w:cs="Arial"/>
                <w:b/>
                <w:bCs/>
                <w:color w:val="FFFFFF"/>
                <w:sz w:val="16"/>
                <w:szCs w:val="16"/>
                <w:lang w:eastAsia="hr-HR"/>
              </w:rPr>
            </w:pPr>
            <w:r w:rsidRPr="003C116E">
              <w:rPr>
                <w:rFonts w:ascii="Arial" w:eastAsia="Times New Roman" w:hAnsi="Arial" w:cs="Arial"/>
                <w:b/>
                <w:bCs/>
                <w:color w:val="FFFFFF" w:themeColor="background1"/>
                <w:sz w:val="16"/>
                <w:szCs w:val="16"/>
                <w:lang w:eastAsia="hr-HR"/>
              </w:rPr>
              <w:t>Neto dobit</w:t>
            </w:r>
          </w:p>
        </w:tc>
      </w:tr>
      <w:tr w:rsidR="003C0074" w:rsidRPr="00EA5567" w:rsidTr="00D755C7">
        <w:trPr>
          <w:trHeight w:val="283"/>
          <w:jc w:val="center"/>
        </w:trPr>
        <w:tc>
          <w:tcPr>
            <w:tcW w:w="2721" w:type="dxa"/>
            <w:tcBorders>
              <w:top w:val="single" w:sz="4" w:space="0" w:color="FFFFFF"/>
              <w:left w:val="single" w:sz="4" w:space="0" w:color="FFFFFF"/>
              <w:bottom w:val="single" w:sz="4" w:space="0" w:color="FFFFFF"/>
              <w:right w:val="single" w:sz="4" w:space="0" w:color="FFFFFF"/>
            </w:tcBorders>
            <w:shd w:val="clear" w:color="000000" w:fill="C5D9F1"/>
            <w:noWrap/>
            <w:vAlign w:val="center"/>
            <w:hideMark/>
          </w:tcPr>
          <w:p w:rsidR="003C0074" w:rsidRPr="004F7B3C" w:rsidRDefault="003C0074" w:rsidP="004F7B3C">
            <w:pPr>
              <w:spacing w:after="0" w:line="240" w:lineRule="auto"/>
              <w:rPr>
                <w:rFonts w:ascii="Arial" w:eastAsia="Times New Roman" w:hAnsi="Arial" w:cs="Arial"/>
                <w:bCs/>
                <w:color w:val="003366"/>
                <w:sz w:val="18"/>
                <w:szCs w:val="18"/>
                <w:lang w:eastAsia="hr-HR"/>
              </w:rPr>
            </w:pPr>
            <w:r w:rsidRPr="004F7B3C">
              <w:rPr>
                <w:rFonts w:ascii="Arial" w:eastAsia="Times New Roman" w:hAnsi="Arial" w:cs="Arial"/>
                <w:bCs/>
                <w:color w:val="003366"/>
                <w:sz w:val="18"/>
                <w:szCs w:val="18"/>
                <w:lang w:eastAsia="hr-HR"/>
              </w:rPr>
              <w:t>Kastav</w:t>
            </w:r>
            <w:r w:rsidR="004F7B3C">
              <w:rPr>
                <w:rFonts w:ascii="Arial" w:eastAsia="Times New Roman" w:hAnsi="Arial" w:cs="Arial"/>
                <w:bCs/>
                <w:color w:val="003366"/>
                <w:sz w:val="18"/>
                <w:szCs w:val="18"/>
                <w:lang w:eastAsia="hr-HR"/>
              </w:rPr>
              <w:t>/</w:t>
            </w:r>
            <w:r w:rsidR="007575DE" w:rsidRPr="004F7B3C">
              <w:rPr>
                <w:rFonts w:ascii="Arial" w:eastAsia="Times New Roman" w:hAnsi="Arial" w:cs="Arial"/>
                <w:bCs/>
                <w:color w:val="003366"/>
                <w:sz w:val="18"/>
                <w:szCs w:val="18"/>
                <w:lang w:eastAsia="hr-HR"/>
              </w:rPr>
              <w:t>grad</w:t>
            </w:r>
          </w:p>
        </w:tc>
        <w:tc>
          <w:tcPr>
            <w:tcW w:w="1281" w:type="dxa"/>
            <w:tcBorders>
              <w:top w:val="single" w:sz="4" w:space="0" w:color="FFFFFF"/>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354</w:t>
            </w:r>
          </w:p>
        </w:tc>
        <w:tc>
          <w:tcPr>
            <w:tcW w:w="1171" w:type="dxa"/>
            <w:tcBorders>
              <w:top w:val="single" w:sz="4" w:space="0" w:color="FFFFFF"/>
              <w:left w:val="nil"/>
              <w:bottom w:val="single" w:sz="4" w:space="0" w:color="FFFFFF"/>
              <w:right w:val="single" w:sz="4" w:space="0" w:color="FFFFFF"/>
            </w:tcBorders>
            <w:shd w:val="clear" w:color="000000" w:fill="C5D9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1.906</w:t>
            </w:r>
          </w:p>
        </w:tc>
        <w:tc>
          <w:tcPr>
            <w:tcW w:w="1226" w:type="dxa"/>
            <w:tcBorders>
              <w:top w:val="single" w:sz="4" w:space="0" w:color="FFFFFF"/>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1.632.079</w:t>
            </w:r>
          </w:p>
        </w:tc>
        <w:tc>
          <w:tcPr>
            <w:tcW w:w="1115" w:type="dxa"/>
            <w:tcBorders>
              <w:top w:val="single" w:sz="4" w:space="0" w:color="FFFFFF"/>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57.252</w:t>
            </w:r>
          </w:p>
        </w:tc>
        <w:tc>
          <w:tcPr>
            <w:tcW w:w="1115" w:type="dxa"/>
            <w:tcBorders>
              <w:top w:val="single" w:sz="4" w:space="0" w:color="FFFFFF"/>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17.700</w:t>
            </w:r>
          </w:p>
        </w:tc>
        <w:tc>
          <w:tcPr>
            <w:tcW w:w="1115" w:type="dxa"/>
            <w:tcBorders>
              <w:top w:val="single" w:sz="4" w:space="0" w:color="FFFFFF"/>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39.552</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C5D9F1"/>
            <w:noWrap/>
            <w:vAlign w:val="center"/>
            <w:hideMark/>
          </w:tcPr>
          <w:p w:rsidR="003C0074" w:rsidRPr="004F7B3C" w:rsidRDefault="003C0074" w:rsidP="004F7B3C">
            <w:pPr>
              <w:spacing w:after="0" w:line="240" w:lineRule="auto"/>
              <w:rPr>
                <w:rFonts w:ascii="Arial" w:eastAsia="Times New Roman" w:hAnsi="Arial" w:cs="Arial"/>
                <w:bCs/>
                <w:color w:val="003366"/>
                <w:sz w:val="18"/>
                <w:szCs w:val="18"/>
                <w:lang w:eastAsia="hr-HR"/>
              </w:rPr>
            </w:pPr>
            <w:r w:rsidRPr="004F7B3C">
              <w:rPr>
                <w:rFonts w:ascii="Arial" w:eastAsia="Times New Roman" w:hAnsi="Arial" w:cs="Arial"/>
                <w:bCs/>
                <w:color w:val="003366"/>
                <w:sz w:val="18"/>
                <w:szCs w:val="18"/>
                <w:lang w:eastAsia="hr-HR"/>
              </w:rPr>
              <w:t>Kraljevica</w:t>
            </w:r>
            <w:r w:rsidR="004F7B3C">
              <w:rPr>
                <w:rFonts w:ascii="Arial" w:eastAsia="Times New Roman" w:hAnsi="Arial" w:cs="Arial"/>
                <w:bCs/>
                <w:color w:val="003366"/>
                <w:sz w:val="18"/>
                <w:szCs w:val="18"/>
                <w:lang w:eastAsia="hr-HR"/>
              </w:rPr>
              <w:t>/</w:t>
            </w:r>
            <w:r w:rsidR="007575DE" w:rsidRPr="004F7B3C">
              <w:rPr>
                <w:rFonts w:ascii="Arial" w:eastAsia="Times New Roman" w:hAnsi="Arial" w:cs="Arial"/>
                <w:bCs/>
                <w:color w:val="003366"/>
                <w:sz w:val="18"/>
                <w:szCs w:val="18"/>
                <w:lang w:eastAsia="hr-HR"/>
              </w:rPr>
              <w:t>grad</w:t>
            </w:r>
          </w:p>
        </w:tc>
        <w:tc>
          <w:tcPr>
            <w:tcW w:w="1281"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69</w:t>
            </w:r>
          </w:p>
        </w:tc>
        <w:tc>
          <w:tcPr>
            <w:tcW w:w="1171" w:type="dxa"/>
            <w:tcBorders>
              <w:top w:val="nil"/>
              <w:left w:val="nil"/>
              <w:bottom w:val="single" w:sz="4" w:space="0" w:color="FFFFFF"/>
              <w:right w:val="single" w:sz="4" w:space="0" w:color="FFFFFF"/>
            </w:tcBorders>
            <w:shd w:val="clear" w:color="000000" w:fill="C5D9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359</w:t>
            </w:r>
          </w:p>
        </w:tc>
        <w:tc>
          <w:tcPr>
            <w:tcW w:w="1226"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115.738</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11.676</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6.911</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4.764</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C5D9F1"/>
            <w:noWrap/>
            <w:vAlign w:val="center"/>
            <w:hideMark/>
          </w:tcPr>
          <w:p w:rsidR="003C0074" w:rsidRPr="004F7B3C" w:rsidRDefault="003C0074" w:rsidP="004F7B3C">
            <w:pPr>
              <w:spacing w:after="0" w:line="240" w:lineRule="auto"/>
              <w:rPr>
                <w:rFonts w:ascii="Arial" w:eastAsia="Times New Roman" w:hAnsi="Arial" w:cs="Arial"/>
                <w:bCs/>
                <w:color w:val="003366"/>
                <w:sz w:val="18"/>
                <w:szCs w:val="18"/>
                <w:lang w:eastAsia="hr-HR"/>
              </w:rPr>
            </w:pPr>
            <w:r w:rsidRPr="004F7B3C">
              <w:rPr>
                <w:rFonts w:ascii="Arial" w:eastAsia="Times New Roman" w:hAnsi="Arial" w:cs="Arial"/>
                <w:bCs/>
                <w:color w:val="003366"/>
                <w:sz w:val="18"/>
                <w:szCs w:val="18"/>
                <w:lang w:eastAsia="hr-HR"/>
              </w:rPr>
              <w:t>Opatija</w:t>
            </w:r>
            <w:r w:rsidR="004F7B3C">
              <w:rPr>
                <w:rFonts w:ascii="Arial" w:eastAsia="Times New Roman" w:hAnsi="Arial" w:cs="Arial"/>
                <w:bCs/>
                <w:color w:val="003366"/>
                <w:sz w:val="18"/>
                <w:szCs w:val="18"/>
                <w:lang w:eastAsia="hr-HR"/>
              </w:rPr>
              <w:t>/</w:t>
            </w:r>
            <w:r w:rsidR="007575DE" w:rsidRPr="004F7B3C">
              <w:rPr>
                <w:rFonts w:ascii="Arial" w:eastAsia="Times New Roman" w:hAnsi="Arial" w:cs="Arial"/>
                <w:bCs/>
                <w:color w:val="003366"/>
                <w:sz w:val="18"/>
                <w:szCs w:val="18"/>
                <w:lang w:eastAsia="hr-HR"/>
              </w:rPr>
              <w:t>grad</w:t>
            </w:r>
          </w:p>
        </w:tc>
        <w:tc>
          <w:tcPr>
            <w:tcW w:w="1281"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621</w:t>
            </w:r>
          </w:p>
        </w:tc>
        <w:tc>
          <w:tcPr>
            <w:tcW w:w="1171" w:type="dxa"/>
            <w:tcBorders>
              <w:top w:val="nil"/>
              <w:left w:val="nil"/>
              <w:bottom w:val="single" w:sz="4" w:space="0" w:color="FFFFFF"/>
              <w:right w:val="single" w:sz="4" w:space="0" w:color="FFFFFF"/>
            </w:tcBorders>
            <w:shd w:val="clear" w:color="000000" w:fill="C5D9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3.408</w:t>
            </w:r>
          </w:p>
        </w:tc>
        <w:tc>
          <w:tcPr>
            <w:tcW w:w="1226"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1.774.712</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156.988</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71.737</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85.251</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C5D9F1"/>
            <w:noWrap/>
            <w:vAlign w:val="center"/>
            <w:hideMark/>
          </w:tcPr>
          <w:p w:rsidR="003C0074" w:rsidRPr="004F7B3C" w:rsidRDefault="003C0074" w:rsidP="004F7B3C">
            <w:pPr>
              <w:spacing w:after="0" w:line="240" w:lineRule="auto"/>
              <w:rPr>
                <w:rFonts w:ascii="Arial" w:eastAsia="Times New Roman" w:hAnsi="Arial" w:cs="Arial"/>
                <w:bCs/>
                <w:color w:val="003366"/>
                <w:sz w:val="18"/>
                <w:szCs w:val="18"/>
                <w:lang w:eastAsia="hr-HR"/>
              </w:rPr>
            </w:pPr>
            <w:r w:rsidRPr="004F7B3C">
              <w:rPr>
                <w:rFonts w:ascii="Arial" w:eastAsia="Times New Roman" w:hAnsi="Arial" w:cs="Arial"/>
                <w:bCs/>
                <w:color w:val="003366"/>
                <w:sz w:val="18"/>
                <w:szCs w:val="18"/>
                <w:lang w:eastAsia="hr-HR"/>
              </w:rPr>
              <w:t>Rijeka</w:t>
            </w:r>
            <w:r w:rsidR="004F7B3C">
              <w:rPr>
                <w:rFonts w:ascii="Arial" w:eastAsia="Times New Roman" w:hAnsi="Arial" w:cs="Arial"/>
                <w:bCs/>
                <w:color w:val="003366"/>
                <w:sz w:val="18"/>
                <w:szCs w:val="18"/>
                <w:lang w:eastAsia="hr-HR"/>
              </w:rPr>
              <w:t>/</w:t>
            </w:r>
            <w:r w:rsidR="007575DE" w:rsidRPr="004F7B3C">
              <w:rPr>
                <w:rFonts w:ascii="Arial" w:eastAsia="Times New Roman" w:hAnsi="Arial" w:cs="Arial"/>
                <w:bCs/>
                <w:color w:val="003366"/>
                <w:sz w:val="18"/>
                <w:szCs w:val="18"/>
                <w:lang w:eastAsia="hr-HR"/>
              </w:rPr>
              <w:t>grad</w:t>
            </w:r>
          </w:p>
        </w:tc>
        <w:tc>
          <w:tcPr>
            <w:tcW w:w="1281"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4.291</w:t>
            </w:r>
          </w:p>
        </w:tc>
        <w:tc>
          <w:tcPr>
            <w:tcW w:w="1171" w:type="dxa"/>
            <w:tcBorders>
              <w:top w:val="nil"/>
              <w:left w:val="nil"/>
              <w:bottom w:val="single" w:sz="4" w:space="0" w:color="FFFFFF"/>
              <w:right w:val="single" w:sz="4" w:space="0" w:color="FFFFFF"/>
            </w:tcBorders>
            <w:shd w:val="clear" w:color="000000" w:fill="C5D9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29.905</w:t>
            </w:r>
          </w:p>
        </w:tc>
        <w:tc>
          <w:tcPr>
            <w:tcW w:w="1226"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16.892.590</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852.863</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724.271</w:t>
            </w:r>
          </w:p>
        </w:tc>
        <w:tc>
          <w:tcPr>
            <w:tcW w:w="1115" w:type="dxa"/>
            <w:tcBorders>
              <w:top w:val="nil"/>
              <w:left w:val="nil"/>
              <w:bottom w:val="single" w:sz="4" w:space="0" w:color="FFFFFF"/>
              <w:right w:val="single" w:sz="4" w:space="0" w:color="FFFFFF"/>
            </w:tcBorders>
            <w:shd w:val="clear" w:color="000000" w:fill="C5D9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128.592</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DCE6F1"/>
            <w:noWrap/>
            <w:vAlign w:val="center"/>
            <w:hideMark/>
          </w:tcPr>
          <w:p w:rsidR="003C0074" w:rsidRPr="004F7B3C" w:rsidRDefault="003C0074" w:rsidP="004F7B3C">
            <w:pPr>
              <w:spacing w:after="0" w:line="240" w:lineRule="auto"/>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Čavle</w:t>
            </w:r>
            <w:r w:rsidR="004F7B3C">
              <w:rPr>
                <w:rFonts w:ascii="Arial" w:eastAsia="Times New Roman" w:hAnsi="Arial" w:cs="Arial"/>
                <w:color w:val="003366"/>
                <w:sz w:val="18"/>
                <w:szCs w:val="18"/>
                <w:lang w:eastAsia="hr-HR"/>
              </w:rPr>
              <w:t>/općina</w:t>
            </w:r>
          </w:p>
        </w:tc>
        <w:tc>
          <w:tcPr>
            <w:tcW w:w="1281"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184</w:t>
            </w:r>
          </w:p>
        </w:tc>
        <w:tc>
          <w:tcPr>
            <w:tcW w:w="1171" w:type="dxa"/>
            <w:tcBorders>
              <w:top w:val="nil"/>
              <w:left w:val="nil"/>
              <w:bottom w:val="single" w:sz="4" w:space="0" w:color="FFFFFF"/>
              <w:right w:val="single" w:sz="4" w:space="0" w:color="FFFFFF"/>
            </w:tcBorders>
            <w:shd w:val="clear" w:color="000000" w:fill="DCE6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697</w:t>
            </w:r>
          </w:p>
        </w:tc>
        <w:tc>
          <w:tcPr>
            <w:tcW w:w="1226"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247.791</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13.959</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6.747</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7.213</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DCE6F1"/>
            <w:noWrap/>
            <w:vAlign w:val="center"/>
            <w:hideMark/>
          </w:tcPr>
          <w:p w:rsidR="003C0074" w:rsidRPr="004F7B3C" w:rsidRDefault="003C0074" w:rsidP="004F7B3C">
            <w:pPr>
              <w:spacing w:after="0" w:line="240" w:lineRule="auto"/>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Klana</w:t>
            </w:r>
            <w:r w:rsidR="004F7B3C">
              <w:rPr>
                <w:rFonts w:ascii="Arial" w:eastAsia="Times New Roman" w:hAnsi="Arial" w:cs="Arial"/>
                <w:color w:val="003366"/>
                <w:sz w:val="18"/>
                <w:szCs w:val="18"/>
                <w:lang w:eastAsia="hr-HR"/>
              </w:rPr>
              <w:t>/općina</w:t>
            </w:r>
          </w:p>
        </w:tc>
        <w:tc>
          <w:tcPr>
            <w:tcW w:w="1281"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32</w:t>
            </w:r>
          </w:p>
        </w:tc>
        <w:tc>
          <w:tcPr>
            <w:tcW w:w="1171" w:type="dxa"/>
            <w:tcBorders>
              <w:top w:val="nil"/>
              <w:left w:val="nil"/>
              <w:bottom w:val="single" w:sz="4" w:space="0" w:color="FFFFFF"/>
              <w:right w:val="single" w:sz="4" w:space="0" w:color="FFFFFF"/>
            </w:tcBorders>
            <w:shd w:val="clear" w:color="000000" w:fill="DCE6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602</w:t>
            </w:r>
          </w:p>
        </w:tc>
        <w:tc>
          <w:tcPr>
            <w:tcW w:w="1226"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304.690</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11.147</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483</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10.664</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DCE6F1"/>
            <w:noWrap/>
            <w:vAlign w:val="center"/>
            <w:hideMark/>
          </w:tcPr>
          <w:p w:rsidR="003C0074" w:rsidRPr="004F7B3C" w:rsidRDefault="003C0074" w:rsidP="004F7B3C">
            <w:pPr>
              <w:spacing w:after="0" w:line="240" w:lineRule="auto"/>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Kostrena</w:t>
            </w:r>
            <w:r w:rsidR="004F7B3C">
              <w:rPr>
                <w:rFonts w:ascii="Arial" w:eastAsia="Times New Roman" w:hAnsi="Arial" w:cs="Arial"/>
                <w:color w:val="003366"/>
                <w:sz w:val="18"/>
                <w:szCs w:val="18"/>
                <w:lang w:eastAsia="hr-HR"/>
              </w:rPr>
              <w:t>/općina</w:t>
            </w:r>
          </w:p>
        </w:tc>
        <w:tc>
          <w:tcPr>
            <w:tcW w:w="1281"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123</w:t>
            </w:r>
          </w:p>
        </w:tc>
        <w:tc>
          <w:tcPr>
            <w:tcW w:w="1171" w:type="dxa"/>
            <w:tcBorders>
              <w:top w:val="nil"/>
              <w:left w:val="nil"/>
              <w:bottom w:val="single" w:sz="4" w:space="0" w:color="FFFFFF"/>
              <w:right w:val="single" w:sz="4" w:space="0" w:color="FFFFFF"/>
            </w:tcBorders>
            <w:shd w:val="clear" w:color="000000" w:fill="DCE6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330</w:t>
            </w:r>
          </w:p>
        </w:tc>
        <w:tc>
          <w:tcPr>
            <w:tcW w:w="1226"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162.226</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12.101</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3.606</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8.495</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DCE6F1"/>
            <w:noWrap/>
            <w:vAlign w:val="center"/>
            <w:hideMark/>
          </w:tcPr>
          <w:p w:rsidR="003C0074" w:rsidRPr="004F7B3C" w:rsidRDefault="003C0074" w:rsidP="004F7B3C">
            <w:pPr>
              <w:spacing w:after="0" w:line="240" w:lineRule="auto"/>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Lovran</w:t>
            </w:r>
            <w:r w:rsidR="004F7B3C">
              <w:rPr>
                <w:rFonts w:ascii="Arial" w:eastAsia="Times New Roman" w:hAnsi="Arial" w:cs="Arial"/>
                <w:color w:val="003366"/>
                <w:sz w:val="18"/>
                <w:szCs w:val="18"/>
                <w:lang w:eastAsia="hr-HR"/>
              </w:rPr>
              <w:t>/</w:t>
            </w:r>
            <w:r w:rsidR="007575DE" w:rsidRPr="004F7B3C">
              <w:rPr>
                <w:rFonts w:ascii="Arial" w:eastAsia="Times New Roman" w:hAnsi="Arial" w:cs="Arial"/>
                <w:color w:val="003366"/>
                <w:sz w:val="18"/>
                <w:szCs w:val="18"/>
                <w:lang w:eastAsia="hr-HR"/>
              </w:rPr>
              <w:t>općina</w:t>
            </w:r>
          </w:p>
        </w:tc>
        <w:tc>
          <w:tcPr>
            <w:tcW w:w="1281"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139</w:t>
            </w:r>
          </w:p>
        </w:tc>
        <w:tc>
          <w:tcPr>
            <w:tcW w:w="1171" w:type="dxa"/>
            <w:tcBorders>
              <w:top w:val="nil"/>
              <w:left w:val="nil"/>
              <w:bottom w:val="single" w:sz="4" w:space="0" w:color="FFFFFF"/>
              <w:right w:val="single" w:sz="4" w:space="0" w:color="FFFFFF"/>
            </w:tcBorders>
            <w:shd w:val="clear" w:color="000000" w:fill="DCE6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660</w:t>
            </w:r>
          </w:p>
        </w:tc>
        <w:tc>
          <w:tcPr>
            <w:tcW w:w="1226"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226.383</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6.509</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7.615</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FF0000"/>
                <w:sz w:val="18"/>
                <w:szCs w:val="18"/>
                <w:lang w:eastAsia="hr-HR"/>
              </w:rPr>
            </w:pPr>
            <w:r w:rsidRPr="004F7B3C">
              <w:rPr>
                <w:rFonts w:ascii="Arial" w:eastAsia="Times New Roman" w:hAnsi="Arial" w:cs="Arial"/>
                <w:color w:val="FF0000"/>
                <w:sz w:val="18"/>
                <w:szCs w:val="18"/>
                <w:lang w:eastAsia="hr-HR"/>
              </w:rPr>
              <w:t>-1.106</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DCE6F1"/>
            <w:noWrap/>
            <w:vAlign w:val="center"/>
            <w:hideMark/>
          </w:tcPr>
          <w:p w:rsidR="003C0074" w:rsidRPr="004F7B3C" w:rsidRDefault="003C0074" w:rsidP="004F7B3C">
            <w:pPr>
              <w:spacing w:after="0" w:line="240" w:lineRule="auto"/>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Mošćenička Draga</w:t>
            </w:r>
            <w:r w:rsidR="004F7B3C">
              <w:rPr>
                <w:rFonts w:ascii="Arial" w:eastAsia="Times New Roman" w:hAnsi="Arial" w:cs="Arial"/>
                <w:color w:val="003366"/>
                <w:sz w:val="18"/>
                <w:szCs w:val="18"/>
                <w:lang w:eastAsia="hr-HR"/>
              </w:rPr>
              <w:t>/</w:t>
            </w:r>
            <w:r w:rsidR="007575DE" w:rsidRPr="004F7B3C">
              <w:rPr>
                <w:rFonts w:ascii="Arial" w:eastAsia="Times New Roman" w:hAnsi="Arial" w:cs="Arial"/>
                <w:color w:val="003366"/>
                <w:sz w:val="18"/>
                <w:szCs w:val="18"/>
                <w:lang w:eastAsia="hr-HR"/>
              </w:rPr>
              <w:t>općina</w:t>
            </w:r>
          </w:p>
        </w:tc>
        <w:tc>
          <w:tcPr>
            <w:tcW w:w="1281"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62</w:t>
            </w:r>
          </w:p>
        </w:tc>
        <w:tc>
          <w:tcPr>
            <w:tcW w:w="1171" w:type="dxa"/>
            <w:tcBorders>
              <w:top w:val="nil"/>
              <w:left w:val="nil"/>
              <w:bottom w:val="single" w:sz="4" w:space="0" w:color="FFFFFF"/>
              <w:right w:val="single" w:sz="4" w:space="0" w:color="FFFFFF"/>
            </w:tcBorders>
            <w:shd w:val="clear" w:color="000000" w:fill="DCE6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134</w:t>
            </w:r>
          </w:p>
        </w:tc>
        <w:tc>
          <w:tcPr>
            <w:tcW w:w="1226"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28.579</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1.915</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3.029</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FF0000"/>
                <w:sz w:val="18"/>
                <w:szCs w:val="18"/>
                <w:lang w:eastAsia="hr-HR"/>
              </w:rPr>
            </w:pPr>
            <w:r w:rsidRPr="004F7B3C">
              <w:rPr>
                <w:rFonts w:ascii="Arial" w:eastAsia="Times New Roman" w:hAnsi="Arial" w:cs="Arial"/>
                <w:color w:val="FF0000"/>
                <w:sz w:val="18"/>
                <w:szCs w:val="18"/>
                <w:lang w:eastAsia="hr-HR"/>
              </w:rPr>
              <w:t>-1.113</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DCE6F1"/>
            <w:noWrap/>
            <w:vAlign w:val="center"/>
            <w:hideMark/>
          </w:tcPr>
          <w:p w:rsidR="003C0074" w:rsidRPr="004F7B3C" w:rsidRDefault="003C0074" w:rsidP="004F7B3C">
            <w:pPr>
              <w:spacing w:after="0" w:line="240" w:lineRule="auto"/>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Viškovo</w:t>
            </w:r>
            <w:r w:rsidR="004F7B3C">
              <w:rPr>
                <w:rFonts w:ascii="Arial" w:eastAsia="Times New Roman" w:hAnsi="Arial" w:cs="Arial"/>
                <w:color w:val="003366"/>
                <w:sz w:val="18"/>
                <w:szCs w:val="18"/>
                <w:lang w:eastAsia="hr-HR"/>
              </w:rPr>
              <w:t>/</w:t>
            </w:r>
            <w:r w:rsidR="007575DE" w:rsidRPr="004F7B3C">
              <w:rPr>
                <w:rFonts w:ascii="Arial" w:eastAsia="Times New Roman" w:hAnsi="Arial" w:cs="Arial"/>
                <w:color w:val="003366"/>
                <w:sz w:val="18"/>
                <w:szCs w:val="18"/>
                <w:lang w:eastAsia="hr-HR"/>
              </w:rPr>
              <w:t>općina</w:t>
            </w:r>
          </w:p>
        </w:tc>
        <w:tc>
          <w:tcPr>
            <w:tcW w:w="1281"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490</w:t>
            </w:r>
          </w:p>
        </w:tc>
        <w:tc>
          <w:tcPr>
            <w:tcW w:w="1171" w:type="dxa"/>
            <w:tcBorders>
              <w:top w:val="nil"/>
              <w:left w:val="nil"/>
              <w:bottom w:val="single" w:sz="4" w:space="0" w:color="FFFFFF"/>
              <w:right w:val="single" w:sz="4" w:space="0" w:color="FFFFFF"/>
            </w:tcBorders>
            <w:shd w:val="clear" w:color="000000" w:fill="DCE6F1"/>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1.999</w:t>
            </w:r>
          </w:p>
        </w:tc>
        <w:tc>
          <w:tcPr>
            <w:tcW w:w="1226"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1.159.361</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68.595</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30.408</w:t>
            </w:r>
          </w:p>
        </w:tc>
        <w:tc>
          <w:tcPr>
            <w:tcW w:w="1115" w:type="dxa"/>
            <w:tcBorders>
              <w:top w:val="nil"/>
              <w:left w:val="nil"/>
              <w:bottom w:val="single" w:sz="4" w:space="0" w:color="FFFFFF"/>
              <w:right w:val="single" w:sz="4" w:space="0" w:color="FFFFFF"/>
            </w:tcBorders>
            <w:shd w:val="clear" w:color="000000" w:fill="DCE6F1"/>
            <w:noWrap/>
            <w:vAlign w:val="center"/>
            <w:hideMark/>
          </w:tcPr>
          <w:p w:rsidR="003C0074" w:rsidRPr="004F7B3C" w:rsidRDefault="003C0074" w:rsidP="003C116E">
            <w:pPr>
              <w:spacing w:after="0" w:line="240" w:lineRule="auto"/>
              <w:jc w:val="right"/>
              <w:rPr>
                <w:rFonts w:ascii="Arial" w:eastAsia="Times New Roman" w:hAnsi="Arial" w:cs="Arial"/>
                <w:color w:val="003366"/>
                <w:sz w:val="18"/>
                <w:szCs w:val="18"/>
                <w:lang w:eastAsia="hr-HR"/>
              </w:rPr>
            </w:pPr>
            <w:r w:rsidRPr="004F7B3C">
              <w:rPr>
                <w:rFonts w:ascii="Arial" w:eastAsia="Times New Roman" w:hAnsi="Arial" w:cs="Arial"/>
                <w:color w:val="003366"/>
                <w:sz w:val="18"/>
                <w:szCs w:val="18"/>
                <w:lang w:eastAsia="hr-HR"/>
              </w:rPr>
              <w:t>38.187</w:t>
            </w:r>
          </w:p>
        </w:tc>
      </w:tr>
      <w:tr w:rsidR="003C0074" w:rsidRPr="00EA5567" w:rsidTr="00D755C7">
        <w:trPr>
          <w:trHeight w:val="283"/>
          <w:jc w:val="center"/>
        </w:trPr>
        <w:tc>
          <w:tcPr>
            <w:tcW w:w="2721" w:type="dxa"/>
            <w:tcBorders>
              <w:top w:val="nil"/>
              <w:left w:val="single" w:sz="4" w:space="0" w:color="FFFFFF"/>
              <w:bottom w:val="single" w:sz="4" w:space="0" w:color="FFFFFF"/>
              <w:right w:val="single" w:sz="4" w:space="0" w:color="FFFFFF"/>
            </w:tcBorders>
            <w:shd w:val="clear" w:color="000000" w:fill="BFBFBF"/>
            <w:vAlign w:val="center"/>
            <w:hideMark/>
          </w:tcPr>
          <w:p w:rsidR="003C0074" w:rsidRPr="004F7B3C" w:rsidRDefault="003C0074" w:rsidP="00D755C7">
            <w:pPr>
              <w:spacing w:after="0" w:line="240" w:lineRule="auto"/>
              <w:rPr>
                <w:rFonts w:ascii="Arial" w:eastAsia="Times New Roman" w:hAnsi="Arial" w:cs="Arial"/>
                <w:b/>
                <w:bCs/>
                <w:color w:val="003366"/>
                <w:sz w:val="18"/>
                <w:szCs w:val="18"/>
                <w:lang w:eastAsia="hr-HR"/>
              </w:rPr>
            </w:pPr>
            <w:r w:rsidRPr="004F7B3C">
              <w:rPr>
                <w:rFonts w:ascii="Arial" w:eastAsia="Times New Roman" w:hAnsi="Arial" w:cs="Arial"/>
                <w:b/>
                <w:bCs/>
                <w:color w:val="003366"/>
                <w:sz w:val="18"/>
                <w:szCs w:val="18"/>
                <w:lang w:eastAsia="hr-HR"/>
              </w:rPr>
              <w:t xml:space="preserve">Ukupno </w:t>
            </w:r>
            <w:r w:rsidR="00415348">
              <w:rPr>
                <w:rFonts w:ascii="Arial" w:eastAsia="Times New Roman" w:hAnsi="Arial" w:cs="Arial"/>
                <w:b/>
                <w:bCs/>
                <w:color w:val="003366"/>
                <w:sz w:val="18"/>
                <w:szCs w:val="18"/>
                <w:lang w:eastAsia="hr-HR"/>
              </w:rPr>
              <w:t>U</w:t>
            </w:r>
            <w:r w:rsidRPr="004F7B3C">
              <w:rPr>
                <w:rFonts w:ascii="Arial" w:eastAsia="Times New Roman" w:hAnsi="Arial" w:cs="Arial"/>
                <w:b/>
                <w:bCs/>
                <w:color w:val="003366"/>
                <w:sz w:val="18"/>
                <w:szCs w:val="18"/>
                <w:lang w:eastAsia="hr-HR"/>
              </w:rPr>
              <w:t>rbana agl</w:t>
            </w:r>
            <w:r w:rsidR="00D755C7">
              <w:rPr>
                <w:rFonts w:ascii="Arial" w:eastAsia="Times New Roman" w:hAnsi="Arial" w:cs="Arial"/>
                <w:b/>
                <w:bCs/>
                <w:color w:val="003366"/>
                <w:sz w:val="18"/>
                <w:szCs w:val="18"/>
                <w:lang w:eastAsia="hr-HR"/>
              </w:rPr>
              <w:t>.</w:t>
            </w:r>
            <w:r w:rsidRPr="004F7B3C">
              <w:rPr>
                <w:rFonts w:ascii="Arial" w:eastAsia="Times New Roman" w:hAnsi="Arial" w:cs="Arial"/>
                <w:b/>
                <w:bCs/>
                <w:color w:val="003366"/>
                <w:sz w:val="18"/>
                <w:szCs w:val="18"/>
                <w:lang w:eastAsia="hr-HR"/>
              </w:rPr>
              <w:t xml:space="preserve"> Rijeka</w:t>
            </w:r>
          </w:p>
        </w:tc>
        <w:tc>
          <w:tcPr>
            <w:tcW w:w="1281" w:type="dxa"/>
            <w:tcBorders>
              <w:top w:val="nil"/>
              <w:left w:val="nil"/>
              <w:bottom w:val="single" w:sz="4" w:space="0" w:color="FFFFFF"/>
              <w:right w:val="single" w:sz="4" w:space="0" w:color="FFFFFF"/>
            </w:tcBorders>
            <w:shd w:val="clear" w:color="000000" w:fill="BFBFBF"/>
            <w:noWrap/>
            <w:vAlign w:val="center"/>
            <w:hideMark/>
          </w:tcPr>
          <w:p w:rsidR="003C0074" w:rsidRPr="004F7B3C" w:rsidRDefault="003C0074" w:rsidP="003C116E">
            <w:pPr>
              <w:spacing w:after="0" w:line="240" w:lineRule="auto"/>
              <w:jc w:val="right"/>
              <w:rPr>
                <w:rFonts w:ascii="Arial" w:eastAsia="Times New Roman" w:hAnsi="Arial" w:cs="Arial"/>
                <w:b/>
                <w:bCs/>
                <w:color w:val="244061" w:themeColor="accent1" w:themeShade="80"/>
                <w:sz w:val="18"/>
                <w:szCs w:val="18"/>
                <w:lang w:eastAsia="hr-HR"/>
              </w:rPr>
            </w:pPr>
            <w:r w:rsidRPr="004F7B3C">
              <w:rPr>
                <w:rFonts w:ascii="Arial" w:eastAsia="Times New Roman" w:hAnsi="Arial" w:cs="Arial"/>
                <w:b/>
                <w:bCs/>
                <w:color w:val="244061" w:themeColor="accent1" w:themeShade="80"/>
                <w:sz w:val="18"/>
                <w:szCs w:val="18"/>
                <w:lang w:eastAsia="hr-HR"/>
              </w:rPr>
              <w:t>6.365</w:t>
            </w:r>
          </w:p>
        </w:tc>
        <w:tc>
          <w:tcPr>
            <w:tcW w:w="1171" w:type="dxa"/>
            <w:tcBorders>
              <w:top w:val="nil"/>
              <w:left w:val="nil"/>
              <w:bottom w:val="single" w:sz="4" w:space="0" w:color="FFFFFF"/>
              <w:right w:val="single" w:sz="4" w:space="0" w:color="FFFFFF"/>
            </w:tcBorders>
            <w:shd w:val="clear" w:color="000000" w:fill="BFBFBF"/>
            <w:noWrap/>
            <w:vAlign w:val="center"/>
            <w:hideMark/>
          </w:tcPr>
          <w:p w:rsidR="003C0074" w:rsidRPr="004F7B3C" w:rsidRDefault="003C0074" w:rsidP="003C116E">
            <w:pPr>
              <w:spacing w:after="0" w:line="240" w:lineRule="auto"/>
              <w:jc w:val="right"/>
              <w:rPr>
                <w:rFonts w:ascii="Arial" w:eastAsia="Times New Roman" w:hAnsi="Arial" w:cs="Arial"/>
                <w:b/>
                <w:bCs/>
                <w:color w:val="244061" w:themeColor="accent1" w:themeShade="80"/>
                <w:sz w:val="18"/>
                <w:szCs w:val="18"/>
                <w:lang w:eastAsia="hr-HR"/>
              </w:rPr>
            </w:pPr>
            <w:r w:rsidRPr="004F7B3C">
              <w:rPr>
                <w:rFonts w:ascii="Arial" w:eastAsia="Times New Roman" w:hAnsi="Arial" w:cs="Arial"/>
                <w:b/>
                <w:bCs/>
                <w:color w:val="244061" w:themeColor="accent1" w:themeShade="80"/>
                <w:sz w:val="18"/>
                <w:szCs w:val="18"/>
                <w:lang w:eastAsia="hr-HR"/>
              </w:rPr>
              <w:t>40.000</w:t>
            </w:r>
          </w:p>
        </w:tc>
        <w:tc>
          <w:tcPr>
            <w:tcW w:w="1226" w:type="dxa"/>
            <w:tcBorders>
              <w:top w:val="nil"/>
              <w:left w:val="nil"/>
              <w:bottom w:val="single" w:sz="4" w:space="0" w:color="FFFFFF"/>
              <w:right w:val="single" w:sz="4" w:space="0" w:color="FFFFFF"/>
            </w:tcBorders>
            <w:shd w:val="clear" w:color="000000" w:fill="BFBFBF"/>
            <w:noWrap/>
            <w:vAlign w:val="center"/>
            <w:hideMark/>
          </w:tcPr>
          <w:p w:rsidR="003C0074" w:rsidRPr="004F7B3C" w:rsidRDefault="003C0074" w:rsidP="003C116E">
            <w:pPr>
              <w:spacing w:after="0" w:line="240" w:lineRule="auto"/>
              <w:jc w:val="right"/>
              <w:rPr>
                <w:rFonts w:ascii="Arial" w:eastAsia="Times New Roman" w:hAnsi="Arial" w:cs="Arial"/>
                <w:b/>
                <w:bCs/>
                <w:color w:val="244061" w:themeColor="accent1" w:themeShade="80"/>
                <w:sz w:val="18"/>
                <w:szCs w:val="18"/>
                <w:lang w:eastAsia="hr-HR"/>
              </w:rPr>
            </w:pPr>
            <w:r w:rsidRPr="004F7B3C">
              <w:rPr>
                <w:rFonts w:ascii="Arial" w:eastAsia="Times New Roman" w:hAnsi="Arial" w:cs="Arial"/>
                <w:b/>
                <w:bCs/>
                <w:color w:val="244061" w:themeColor="accent1" w:themeShade="80"/>
                <w:sz w:val="18"/>
                <w:szCs w:val="18"/>
                <w:lang w:eastAsia="hr-HR"/>
              </w:rPr>
              <w:t>22.544.149</w:t>
            </w:r>
          </w:p>
        </w:tc>
        <w:tc>
          <w:tcPr>
            <w:tcW w:w="1115" w:type="dxa"/>
            <w:tcBorders>
              <w:top w:val="nil"/>
              <w:left w:val="nil"/>
              <w:bottom w:val="single" w:sz="4" w:space="0" w:color="FFFFFF"/>
              <w:right w:val="single" w:sz="4" w:space="0" w:color="FFFFFF"/>
            </w:tcBorders>
            <w:shd w:val="clear" w:color="000000" w:fill="BFBFBF"/>
            <w:noWrap/>
            <w:vAlign w:val="center"/>
            <w:hideMark/>
          </w:tcPr>
          <w:p w:rsidR="003C0074" w:rsidRPr="004F7B3C" w:rsidRDefault="003C0074" w:rsidP="003C116E">
            <w:pPr>
              <w:spacing w:after="0" w:line="240" w:lineRule="auto"/>
              <w:jc w:val="right"/>
              <w:rPr>
                <w:rFonts w:ascii="Arial" w:eastAsia="Times New Roman" w:hAnsi="Arial" w:cs="Arial"/>
                <w:b/>
                <w:bCs/>
                <w:color w:val="244061" w:themeColor="accent1" w:themeShade="80"/>
                <w:sz w:val="18"/>
                <w:szCs w:val="18"/>
                <w:lang w:eastAsia="hr-HR"/>
              </w:rPr>
            </w:pPr>
            <w:r w:rsidRPr="004F7B3C">
              <w:rPr>
                <w:rFonts w:ascii="Arial" w:eastAsia="Times New Roman" w:hAnsi="Arial" w:cs="Arial"/>
                <w:b/>
                <w:bCs/>
                <w:color w:val="244061" w:themeColor="accent1" w:themeShade="80"/>
                <w:sz w:val="18"/>
                <w:szCs w:val="18"/>
                <w:lang w:eastAsia="hr-HR"/>
              </w:rPr>
              <w:t>1.193.005</w:t>
            </w:r>
          </w:p>
        </w:tc>
        <w:tc>
          <w:tcPr>
            <w:tcW w:w="1115" w:type="dxa"/>
            <w:tcBorders>
              <w:top w:val="nil"/>
              <w:left w:val="nil"/>
              <w:bottom w:val="single" w:sz="4" w:space="0" w:color="FFFFFF"/>
              <w:right w:val="single" w:sz="4" w:space="0" w:color="FFFFFF"/>
            </w:tcBorders>
            <w:shd w:val="clear" w:color="000000" w:fill="BFBFBF"/>
            <w:noWrap/>
            <w:vAlign w:val="center"/>
            <w:hideMark/>
          </w:tcPr>
          <w:p w:rsidR="003C0074" w:rsidRPr="004F7B3C" w:rsidRDefault="003C0074" w:rsidP="003C116E">
            <w:pPr>
              <w:spacing w:after="0" w:line="240" w:lineRule="auto"/>
              <w:jc w:val="right"/>
              <w:rPr>
                <w:rFonts w:ascii="Arial" w:eastAsia="Times New Roman" w:hAnsi="Arial" w:cs="Arial"/>
                <w:b/>
                <w:bCs/>
                <w:color w:val="244061" w:themeColor="accent1" w:themeShade="80"/>
                <w:sz w:val="18"/>
                <w:szCs w:val="18"/>
                <w:lang w:eastAsia="hr-HR"/>
              </w:rPr>
            </w:pPr>
            <w:r w:rsidRPr="004F7B3C">
              <w:rPr>
                <w:rFonts w:ascii="Arial" w:eastAsia="Times New Roman" w:hAnsi="Arial" w:cs="Arial"/>
                <w:b/>
                <w:bCs/>
                <w:color w:val="244061" w:themeColor="accent1" w:themeShade="80"/>
                <w:sz w:val="18"/>
                <w:szCs w:val="18"/>
                <w:lang w:eastAsia="hr-HR"/>
              </w:rPr>
              <w:t>872.507</w:t>
            </w:r>
          </w:p>
        </w:tc>
        <w:tc>
          <w:tcPr>
            <w:tcW w:w="1115" w:type="dxa"/>
            <w:tcBorders>
              <w:top w:val="nil"/>
              <w:left w:val="nil"/>
              <w:bottom w:val="single" w:sz="4" w:space="0" w:color="FFFFFF"/>
              <w:right w:val="single" w:sz="4" w:space="0" w:color="FFFFFF"/>
            </w:tcBorders>
            <w:shd w:val="clear" w:color="000000" w:fill="BFBFBF"/>
            <w:noWrap/>
            <w:vAlign w:val="center"/>
            <w:hideMark/>
          </w:tcPr>
          <w:p w:rsidR="003C0074" w:rsidRPr="004F7B3C" w:rsidRDefault="003C0074" w:rsidP="003C116E">
            <w:pPr>
              <w:spacing w:after="0" w:line="240" w:lineRule="auto"/>
              <w:jc w:val="right"/>
              <w:rPr>
                <w:rFonts w:ascii="Arial" w:eastAsia="Times New Roman" w:hAnsi="Arial" w:cs="Arial"/>
                <w:b/>
                <w:bCs/>
                <w:color w:val="244061" w:themeColor="accent1" w:themeShade="80"/>
                <w:sz w:val="18"/>
                <w:szCs w:val="18"/>
                <w:lang w:eastAsia="hr-HR"/>
              </w:rPr>
            </w:pPr>
            <w:r w:rsidRPr="004F7B3C">
              <w:rPr>
                <w:rFonts w:ascii="Arial" w:eastAsia="Times New Roman" w:hAnsi="Arial" w:cs="Arial"/>
                <w:b/>
                <w:bCs/>
                <w:color w:val="244061" w:themeColor="accent1" w:themeShade="80"/>
                <w:sz w:val="18"/>
                <w:szCs w:val="18"/>
                <w:lang w:eastAsia="hr-HR"/>
              </w:rPr>
              <w:t>320.499</w:t>
            </w:r>
          </w:p>
        </w:tc>
      </w:tr>
    </w:tbl>
    <w:p w:rsidR="003C0074" w:rsidRPr="004946AC" w:rsidRDefault="003C0074" w:rsidP="005826B8">
      <w:pPr>
        <w:spacing w:before="60" w:after="0" w:line="240" w:lineRule="auto"/>
        <w:jc w:val="both"/>
        <w:rPr>
          <w:rFonts w:ascii="Arial" w:eastAsia="Times New Roman" w:hAnsi="Arial" w:cs="Times New Roman"/>
          <w:bCs/>
          <w:i/>
          <w:color w:val="17365D"/>
          <w:sz w:val="16"/>
          <w:szCs w:val="18"/>
          <w:lang w:eastAsia="hr-HR"/>
        </w:rPr>
      </w:pPr>
      <w:r w:rsidRPr="004946AC">
        <w:rPr>
          <w:rFonts w:ascii="Arial" w:eastAsia="Times New Roman" w:hAnsi="Arial" w:cs="Times New Roman"/>
          <w:bCs/>
          <w:i/>
          <w:color w:val="17365D"/>
          <w:sz w:val="16"/>
          <w:szCs w:val="18"/>
          <w:lang w:eastAsia="hr-HR"/>
        </w:rPr>
        <w:t>Izvor: Fina, Registar godišnjih financijskih izvještaja, obrada GFI-a za 2014. godinu</w:t>
      </w:r>
    </w:p>
    <w:p w:rsidR="000462BD" w:rsidRPr="003C116E" w:rsidRDefault="000462BD" w:rsidP="005826B8">
      <w:pPr>
        <w:pageBreakBefore/>
        <w:widowControl w:val="0"/>
        <w:spacing w:before="60" w:after="0"/>
        <w:jc w:val="both"/>
        <w:rPr>
          <w:rFonts w:ascii="Arial" w:hAnsi="Arial" w:cs="Arial"/>
          <w:color w:val="244061" w:themeColor="accent1" w:themeShade="80"/>
          <w:sz w:val="20"/>
          <w:szCs w:val="20"/>
        </w:rPr>
      </w:pPr>
      <w:r w:rsidRPr="003C116E">
        <w:rPr>
          <w:rFonts w:ascii="Arial" w:eastAsia="Times New Roman" w:hAnsi="Arial" w:cs="Arial"/>
          <w:color w:val="244061" w:themeColor="accent1" w:themeShade="80"/>
          <w:sz w:val="20"/>
          <w:szCs w:val="20"/>
          <w:lang w:eastAsia="hr-HR"/>
        </w:rPr>
        <w:lastRenderedPageBreak/>
        <w:t xml:space="preserve">U 2014. godini poduzetnici </w:t>
      </w:r>
      <w:r w:rsidR="00D1505F">
        <w:rPr>
          <w:rFonts w:ascii="Arial" w:eastAsia="Times New Roman" w:hAnsi="Arial" w:cs="Arial"/>
          <w:color w:val="244061" w:themeColor="accent1" w:themeShade="80"/>
          <w:sz w:val="20"/>
          <w:szCs w:val="20"/>
          <w:lang w:eastAsia="hr-HR"/>
        </w:rPr>
        <w:t>U</w:t>
      </w:r>
      <w:r w:rsidRPr="003C116E">
        <w:rPr>
          <w:rFonts w:ascii="Arial" w:eastAsia="Times New Roman" w:hAnsi="Arial" w:cs="Arial"/>
          <w:color w:val="244061" w:themeColor="accent1" w:themeShade="80"/>
          <w:sz w:val="20"/>
          <w:szCs w:val="20"/>
          <w:lang w:eastAsia="hr-HR"/>
        </w:rPr>
        <w:t>rbane aglomeracije Rijeke iskazali su pozitivan konsolidirani financijski rezultat (</w:t>
      </w:r>
      <w:r w:rsidR="004F3E69" w:rsidRPr="003C116E">
        <w:rPr>
          <w:rFonts w:ascii="Arial" w:eastAsia="Times New Roman" w:hAnsi="Arial" w:cs="Arial"/>
          <w:color w:val="244061" w:themeColor="accent1" w:themeShade="80"/>
          <w:sz w:val="20"/>
          <w:szCs w:val="20"/>
          <w:lang w:eastAsia="hr-HR"/>
        </w:rPr>
        <w:t>320,5</w:t>
      </w:r>
      <w:r w:rsidRPr="003C116E">
        <w:rPr>
          <w:rFonts w:ascii="Arial" w:eastAsia="Times New Roman" w:hAnsi="Arial" w:cs="Arial"/>
          <w:color w:val="244061" w:themeColor="accent1" w:themeShade="80"/>
          <w:sz w:val="20"/>
          <w:szCs w:val="20"/>
          <w:lang w:eastAsia="hr-HR"/>
        </w:rPr>
        <w:t xml:space="preserve"> milijuna kuna). Od ukupnog broja poduzetnika promatranog područja s dobitkom je poslovalo njih </w:t>
      </w:r>
      <w:r w:rsidR="004F3E69" w:rsidRPr="003C116E">
        <w:rPr>
          <w:rFonts w:ascii="Arial" w:eastAsia="Times New Roman" w:hAnsi="Arial" w:cs="Arial"/>
          <w:color w:val="244061" w:themeColor="accent1" w:themeShade="80"/>
          <w:sz w:val="20"/>
          <w:szCs w:val="20"/>
          <w:lang w:eastAsia="hr-HR"/>
        </w:rPr>
        <w:t>80,0</w:t>
      </w:r>
      <w:r w:rsidRPr="003C116E">
        <w:rPr>
          <w:rFonts w:ascii="Arial" w:eastAsia="Times New Roman" w:hAnsi="Arial" w:cs="Arial"/>
          <w:color w:val="244061" w:themeColor="accent1" w:themeShade="80"/>
          <w:sz w:val="20"/>
          <w:szCs w:val="20"/>
          <w:lang w:eastAsia="hr-HR"/>
        </w:rPr>
        <w:t xml:space="preserve">%. Ukupan prihod navedene skupine poduzetnika koji je ostvaren u 2014. godini iznosio je </w:t>
      </w:r>
      <w:r w:rsidR="004F3E69" w:rsidRPr="003C116E">
        <w:rPr>
          <w:rFonts w:ascii="Arial" w:eastAsia="Times New Roman" w:hAnsi="Arial" w:cs="Arial"/>
          <w:color w:val="244061" w:themeColor="accent1" w:themeShade="80"/>
          <w:sz w:val="20"/>
          <w:szCs w:val="20"/>
          <w:lang w:eastAsia="hr-HR"/>
        </w:rPr>
        <w:t>22,5</w:t>
      </w:r>
      <w:r w:rsidRPr="003C116E">
        <w:rPr>
          <w:rFonts w:ascii="Arial" w:eastAsia="Times New Roman" w:hAnsi="Arial" w:cs="Arial"/>
          <w:color w:val="244061" w:themeColor="accent1" w:themeShade="80"/>
          <w:sz w:val="20"/>
          <w:szCs w:val="20"/>
          <w:lang w:eastAsia="hr-HR"/>
        </w:rPr>
        <w:t xml:space="preserve"> milijardi kuna, što je povećanje od </w:t>
      </w:r>
      <w:r w:rsidR="004F3E69" w:rsidRPr="003C116E">
        <w:rPr>
          <w:rFonts w:ascii="Arial" w:eastAsia="Times New Roman" w:hAnsi="Arial" w:cs="Arial"/>
          <w:color w:val="244061" w:themeColor="accent1" w:themeShade="80"/>
          <w:sz w:val="20"/>
          <w:szCs w:val="20"/>
          <w:lang w:eastAsia="hr-HR"/>
        </w:rPr>
        <w:t>4,6</w:t>
      </w:r>
      <w:r w:rsidRPr="003C116E">
        <w:rPr>
          <w:rFonts w:ascii="Arial" w:eastAsia="Times New Roman" w:hAnsi="Arial" w:cs="Arial"/>
          <w:color w:val="244061" w:themeColor="accent1" w:themeShade="80"/>
          <w:sz w:val="20"/>
          <w:szCs w:val="20"/>
          <w:lang w:eastAsia="hr-HR"/>
        </w:rPr>
        <w:t xml:space="preserve">% u odnosu na prethodnu poslovnu godinu. Ovom su rezultatu najviše pridonijeli poduzetnici grada </w:t>
      </w:r>
      <w:r w:rsidR="004F3E69" w:rsidRPr="003C116E">
        <w:rPr>
          <w:rFonts w:ascii="Arial" w:eastAsia="Times New Roman" w:hAnsi="Arial" w:cs="Arial"/>
          <w:color w:val="244061" w:themeColor="accent1" w:themeShade="80"/>
          <w:sz w:val="20"/>
          <w:szCs w:val="20"/>
          <w:lang w:eastAsia="hr-HR"/>
        </w:rPr>
        <w:t xml:space="preserve">Rijeke </w:t>
      </w:r>
      <w:r w:rsidRPr="003C116E">
        <w:rPr>
          <w:rFonts w:ascii="Arial" w:eastAsia="Times New Roman" w:hAnsi="Arial" w:cs="Arial"/>
          <w:color w:val="244061" w:themeColor="accent1" w:themeShade="80"/>
          <w:sz w:val="20"/>
          <w:szCs w:val="20"/>
          <w:lang w:eastAsia="hr-HR"/>
        </w:rPr>
        <w:t xml:space="preserve">sa </w:t>
      </w:r>
      <w:r w:rsidR="008A15B9" w:rsidRPr="003C116E">
        <w:rPr>
          <w:rFonts w:ascii="Arial" w:eastAsia="Times New Roman" w:hAnsi="Arial" w:cs="Arial"/>
          <w:color w:val="244061" w:themeColor="accent1" w:themeShade="80"/>
          <w:sz w:val="20"/>
          <w:szCs w:val="20"/>
          <w:lang w:eastAsia="hr-HR"/>
        </w:rPr>
        <w:t>74,9</w:t>
      </w:r>
      <w:r w:rsidRPr="003C116E">
        <w:rPr>
          <w:rFonts w:ascii="Arial" w:eastAsia="Times New Roman" w:hAnsi="Arial" w:cs="Arial"/>
          <w:color w:val="244061" w:themeColor="accent1" w:themeShade="80"/>
          <w:sz w:val="20"/>
          <w:szCs w:val="20"/>
          <w:lang w:eastAsia="hr-HR"/>
        </w:rPr>
        <w:t>% (</w:t>
      </w:r>
      <w:r w:rsidR="004F3E69" w:rsidRPr="003C116E">
        <w:rPr>
          <w:rFonts w:ascii="Arial" w:eastAsia="Times New Roman" w:hAnsi="Arial" w:cs="Arial"/>
          <w:color w:val="244061" w:themeColor="accent1" w:themeShade="80"/>
          <w:sz w:val="20"/>
          <w:szCs w:val="20"/>
          <w:lang w:eastAsia="hr-HR"/>
        </w:rPr>
        <w:t>16,9</w:t>
      </w:r>
      <w:r w:rsidRPr="003C116E">
        <w:rPr>
          <w:rFonts w:ascii="Arial" w:eastAsia="Times New Roman" w:hAnsi="Arial" w:cs="Arial"/>
          <w:color w:val="244061" w:themeColor="accent1" w:themeShade="80"/>
          <w:sz w:val="20"/>
          <w:szCs w:val="20"/>
          <w:lang w:eastAsia="hr-HR"/>
        </w:rPr>
        <w:t xml:space="preserve"> milijarda kuna) udjela u ukupnim prihodima </w:t>
      </w:r>
      <w:r w:rsidR="004F3E69" w:rsidRPr="003C116E">
        <w:rPr>
          <w:rFonts w:ascii="Arial" w:eastAsia="Times New Roman" w:hAnsi="Arial" w:cs="Arial"/>
          <w:color w:val="244061" w:themeColor="accent1" w:themeShade="80"/>
          <w:sz w:val="20"/>
          <w:szCs w:val="20"/>
          <w:lang w:eastAsia="hr-HR"/>
        </w:rPr>
        <w:t>urbane aglomeracije Rijeke</w:t>
      </w:r>
      <w:r w:rsidRPr="003C116E">
        <w:rPr>
          <w:rFonts w:ascii="Arial" w:eastAsia="Times New Roman" w:hAnsi="Arial" w:cs="Arial"/>
          <w:color w:val="244061" w:themeColor="accent1" w:themeShade="80"/>
          <w:sz w:val="20"/>
          <w:szCs w:val="20"/>
          <w:lang w:eastAsia="hr-HR"/>
        </w:rPr>
        <w:t xml:space="preserve"> te poduzetnici gradova </w:t>
      </w:r>
      <w:r w:rsidR="008A15B9" w:rsidRPr="003C116E">
        <w:rPr>
          <w:rFonts w:ascii="Arial" w:eastAsia="Times New Roman" w:hAnsi="Arial" w:cs="Arial"/>
          <w:color w:val="244061" w:themeColor="accent1" w:themeShade="80"/>
          <w:sz w:val="20"/>
          <w:szCs w:val="20"/>
          <w:lang w:eastAsia="hr-HR"/>
        </w:rPr>
        <w:t xml:space="preserve">Opatije </w:t>
      </w:r>
      <w:r w:rsidRPr="003C116E">
        <w:rPr>
          <w:rFonts w:ascii="Arial" w:eastAsia="Times New Roman" w:hAnsi="Arial" w:cs="Arial"/>
          <w:color w:val="244061" w:themeColor="accent1" w:themeShade="80"/>
          <w:sz w:val="20"/>
          <w:szCs w:val="20"/>
          <w:lang w:eastAsia="hr-HR"/>
        </w:rPr>
        <w:t>(</w:t>
      </w:r>
      <w:r w:rsidR="008A15B9" w:rsidRPr="003C116E">
        <w:rPr>
          <w:rFonts w:ascii="Arial" w:eastAsia="Times New Roman" w:hAnsi="Arial" w:cs="Arial"/>
          <w:color w:val="244061" w:themeColor="accent1" w:themeShade="80"/>
          <w:sz w:val="20"/>
          <w:szCs w:val="20"/>
          <w:lang w:eastAsia="hr-HR"/>
        </w:rPr>
        <w:t>7,9</w:t>
      </w:r>
      <w:r w:rsidRPr="003C116E">
        <w:rPr>
          <w:rFonts w:ascii="Arial" w:eastAsia="Times New Roman" w:hAnsi="Arial" w:cs="Arial"/>
          <w:color w:val="244061" w:themeColor="accent1" w:themeShade="80"/>
          <w:sz w:val="20"/>
          <w:szCs w:val="20"/>
          <w:lang w:eastAsia="hr-HR"/>
        </w:rPr>
        <w:t xml:space="preserve">%) i </w:t>
      </w:r>
      <w:r w:rsidR="008A15B9" w:rsidRPr="003C116E">
        <w:rPr>
          <w:rFonts w:ascii="Arial" w:eastAsia="Times New Roman" w:hAnsi="Arial" w:cs="Arial"/>
          <w:color w:val="244061" w:themeColor="accent1" w:themeShade="80"/>
          <w:sz w:val="20"/>
          <w:szCs w:val="20"/>
          <w:lang w:eastAsia="hr-HR"/>
        </w:rPr>
        <w:t xml:space="preserve">Kastva </w:t>
      </w:r>
      <w:r w:rsidRPr="003C116E">
        <w:rPr>
          <w:rFonts w:ascii="Arial" w:eastAsia="Times New Roman" w:hAnsi="Arial" w:cs="Arial"/>
          <w:color w:val="244061" w:themeColor="accent1" w:themeShade="80"/>
          <w:sz w:val="20"/>
          <w:szCs w:val="20"/>
          <w:lang w:eastAsia="hr-HR"/>
        </w:rPr>
        <w:t>(</w:t>
      </w:r>
      <w:r w:rsidR="008A15B9" w:rsidRPr="003C116E">
        <w:rPr>
          <w:rFonts w:ascii="Arial" w:eastAsia="Times New Roman" w:hAnsi="Arial" w:cs="Arial"/>
          <w:color w:val="244061" w:themeColor="accent1" w:themeShade="80"/>
          <w:sz w:val="20"/>
          <w:szCs w:val="20"/>
          <w:lang w:eastAsia="hr-HR"/>
        </w:rPr>
        <w:t>7,2</w:t>
      </w:r>
      <w:r w:rsidR="00D755C7">
        <w:rPr>
          <w:rFonts w:ascii="Arial" w:eastAsia="Times New Roman" w:hAnsi="Arial" w:cs="Arial"/>
          <w:color w:val="244061" w:themeColor="accent1" w:themeShade="80"/>
          <w:sz w:val="20"/>
          <w:szCs w:val="20"/>
          <w:lang w:eastAsia="hr-HR"/>
        </w:rPr>
        <w:t>%).</w:t>
      </w:r>
    </w:p>
    <w:p w:rsidR="004946AC" w:rsidRPr="003C116E" w:rsidRDefault="004946AC" w:rsidP="003C0074">
      <w:pPr>
        <w:spacing w:before="240" w:after="40"/>
        <w:ind w:left="1134" w:hanging="1134"/>
        <w:rPr>
          <w:rFonts w:ascii="Arial" w:eastAsia="Calibri" w:hAnsi="Arial" w:cs="Arial"/>
          <w:color w:val="244061" w:themeColor="accent1" w:themeShade="80"/>
          <w:sz w:val="16"/>
          <w:szCs w:val="18"/>
        </w:rPr>
      </w:pPr>
      <w:r w:rsidRPr="004946AC">
        <w:rPr>
          <w:rFonts w:ascii="Arial" w:eastAsia="Calibri" w:hAnsi="Arial" w:cs="Arial"/>
          <w:b/>
          <w:color w:val="17365D"/>
          <w:sz w:val="18"/>
          <w:szCs w:val="18"/>
        </w:rPr>
        <w:t xml:space="preserve">Tablica </w:t>
      </w:r>
      <w:r w:rsidR="00AD359B">
        <w:rPr>
          <w:rFonts w:ascii="Arial" w:eastAsia="Calibri" w:hAnsi="Arial" w:cs="Arial"/>
          <w:b/>
          <w:color w:val="17365D"/>
          <w:sz w:val="18"/>
          <w:szCs w:val="18"/>
        </w:rPr>
        <w:t>2</w:t>
      </w:r>
      <w:r w:rsidRPr="004946AC">
        <w:rPr>
          <w:rFonts w:ascii="Arial" w:eastAsia="Calibri" w:hAnsi="Arial" w:cs="Arial"/>
          <w:b/>
          <w:color w:val="17365D"/>
          <w:sz w:val="18"/>
          <w:szCs w:val="18"/>
        </w:rPr>
        <w:t>.</w:t>
      </w:r>
      <w:r w:rsidRPr="004946AC">
        <w:rPr>
          <w:rFonts w:ascii="Arial" w:eastAsia="Calibri" w:hAnsi="Arial" w:cs="Arial"/>
          <w:b/>
          <w:color w:val="17365D"/>
          <w:sz w:val="18"/>
          <w:szCs w:val="18"/>
        </w:rPr>
        <w:tab/>
      </w:r>
      <w:r w:rsidRPr="003C116E">
        <w:rPr>
          <w:rFonts w:ascii="Arial" w:eastAsia="Calibri" w:hAnsi="Arial" w:cs="Arial"/>
          <w:color w:val="244061" w:themeColor="accent1" w:themeShade="80"/>
          <w:sz w:val="18"/>
          <w:szCs w:val="18"/>
        </w:rPr>
        <w:t xml:space="preserve">Osnovni financijski podaci poslovanja poduzetnika na području Urbane aglomeracije Rijeka i poduzetnika Primorsko-goranske županije u 2014. godini </w:t>
      </w:r>
      <w:r w:rsidRPr="004946AC">
        <w:rPr>
          <w:rFonts w:ascii="Arial" w:eastAsia="Calibri" w:hAnsi="Arial" w:cs="Arial"/>
          <w:color w:val="17365D"/>
          <w:sz w:val="18"/>
          <w:szCs w:val="18"/>
        </w:rPr>
        <w:tab/>
      </w:r>
      <w:r w:rsidRPr="004946AC">
        <w:rPr>
          <w:rFonts w:ascii="Arial" w:eastAsia="Calibri" w:hAnsi="Arial" w:cs="Arial"/>
          <w:color w:val="17365D"/>
          <w:sz w:val="18"/>
          <w:szCs w:val="18"/>
        </w:rPr>
        <w:tab/>
      </w:r>
      <w:r w:rsidRPr="003C116E">
        <w:rPr>
          <w:rFonts w:ascii="Arial" w:eastAsia="Calibri" w:hAnsi="Arial" w:cs="Arial"/>
          <w:color w:val="244061" w:themeColor="accent1" w:themeShade="80"/>
          <w:sz w:val="16"/>
          <w:szCs w:val="18"/>
        </w:rPr>
        <w:t>(iznosi u tisućama kuna, prosječne plaće u kunama)</w:t>
      </w:r>
    </w:p>
    <w:tbl>
      <w:tblPr>
        <w:tblW w:w="9704" w:type="dxa"/>
        <w:jc w:val="center"/>
        <w:tblLayout w:type="fixed"/>
        <w:tblLook w:val="04A0" w:firstRow="1" w:lastRow="0" w:firstColumn="1" w:lastColumn="0" w:noHBand="0" w:noVBand="1"/>
      </w:tblPr>
      <w:tblGrid>
        <w:gridCol w:w="3572"/>
        <w:gridCol w:w="1186"/>
        <w:gridCol w:w="1186"/>
        <w:gridCol w:w="746"/>
        <w:gridCol w:w="1134"/>
        <w:gridCol w:w="1134"/>
        <w:gridCol w:w="737"/>
        <w:gridCol w:w="9"/>
      </w:tblGrid>
      <w:tr w:rsidR="00B205FA" w:rsidRPr="00EA5567" w:rsidTr="00A85582">
        <w:trPr>
          <w:gridAfter w:val="1"/>
          <w:wAfter w:w="9" w:type="dxa"/>
          <w:trHeight w:val="340"/>
          <w:jc w:val="center"/>
        </w:trPr>
        <w:tc>
          <w:tcPr>
            <w:tcW w:w="3572" w:type="dxa"/>
            <w:vMerge w:val="restart"/>
            <w:tcBorders>
              <w:top w:val="single" w:sz="4" w:space="0" w:color="FFFFFF"/>
              <w:left w:val="nil"/>
              <w:bottom w:val="single" w:sz="4" w:space="0" w:color="BFBFBF"/>
              <w:right w:val="nil"/>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sidRPr="004946AC">
              <w:rPr>
                <w:rFonts w:ascii="Arial" w:eastAsia="Times New Roman" w:hAnsi="Arial" w:cs="Arial"/>
                <w:b/>
                <w:bCs/>
                <w:color w:val="FFFFFF"/>
                <w:sz w:val="16"/>
                <w:szCs w:val="16"/>
                <w:lang w:eastAsia="hr-HR"/>
              </w:rPr>
              <w:t>Opis</w:t>
            </w:r>
          </w:p>
        </w:tc>
        <w:tc>
          <w:tcPr>
            <w:tcW w:w="3118" w:type="dxa"/>
            <w:gridSpan w:val="3"/>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Pr>
                <w:rFonts w:ascii="Arial" w:eastAsia="Times New Roman" w:hAnsi="Arial" w:cs="Arial"/>
                <w:b/>
                <w:bCs/>
                <w:color w:val="FFFFFF"/>
                <w:sz w:val="16"/>
                <w:szCs w:val="16"/>
                <w:lang w:eastAsia="hr-HR"/>
              </w:rPr>
              <w:t>Urbana aglomeracija Rijeka</w:t>
            </w:r>
          </w:p>
        </w:tc>
        <w:tc>
          <w:tcPr>
            <w:tcW w:w="3005" w:type="dxa"/>
            <w:gridSpan w:val="3"/>
            <w:tcBorders>
              <w:top w:val="single" w:sz="4" w:space="0" w:color="FFFFFF"/>
              <w:left w:val="nil"/>
              <w:bottom w:val="single" w:sz="4" w:space="0" w:color="FFFFFF"/>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Pr>
                <w:rFonts w:ascii="Arial" w:eastAsia="Times New Roman" w:hAnsi="Arial" w:cs="Arial"/>
                <w:b/>
                <w:bCs/>
                <w:color w:val="FFFFFF"/>
                <w:sz w:val="16"/>
                <w:szCs w:val="16"/>
                <w:lang w:eastAsia="hr-HR"/>
              </w:rPr>
              <w:t>Primorsko-goranska županija</w:t>
            </w:r>
          </w:p>
        </w:tc>
      </w:tr>
      <w:tr w:rsidR="00B205FA" w:rsidRPr="00EA5567" w:rsidTr="00D755C7">
        <w:trPr>
          <w:trHeight w:val="285"/>
          <w:jc w:val="center"/>
        </w:trPr>
        <w:tc>
          <w:tcPr>
            <w:tcW w:w="3572" w:type="dxa"/>
            <w:vMerge/>
            <w:tcBorders>
              <w:top w:val="single" w:sz="4" w:space="0" w:color="FFFFFF"/>
              <w:left w:val="nil"/>
              <w:bottom w:val="single" w:sz="4" w:space="0" w:color="BFBFBF"/>
              <w:right w:val="nil"/>
            </w:tcBorders>
            <w:vAlign w:val="center"/>
            <w:hideMark/>
          </w:tcPr>
          <w:p w:rsidR="004946AC" w:rsidRPr="004946AC" w:rsidRDefault="004946AC" w:rsidP="004946AC">
            <w:pPr>
              <w:spacing w:after="0" w:line="240" w:lineRule="auto"/>
              <w:rPr>
                <w:rFonts w:ascii="Arial" w:eastAsia="Times New Roman" w:hAnsi="Arial" w:cs="Arial"/>
                <w:b/>
                <w:bCs/>
                <w:color w:val="FFFFFF"/>
                <w:sz w:val="16"/>
                <w:szCs w:val="16"/>
                <w:lang w:eastAsia="hr-HR"/>
              </w:rPr>
            </w:pPr>
          </w:p>
        </w:tc>
        <w:tc>
          <w:tcPr>
            <w:tcW w:w="1186" w:type="dxa"/>
            <w:tcBorders>
              <w:top w:val="nil"/>
              <w:left w:val="single" w:sz="4" w:space="0" w:color="FFFFFF"/>
              <w:bottom w:val="nil"/>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sidRPr="004946AC">
              <w:rPr>
                <w:rFonts w:ascii="Arial" w:eastAsia="Times New Roman" w:hAnsi="Arial" w:cs="Arial"/>
                <w:b/>
                <w:bCs/>
                <w:color w:val="FFFFFF"/>
                <w:sz w:val="16"/>
                <w:szCs w:val="16"/>
                <w:lang w:eastAsia="hr-HR"/>
              </w:rPr>
              <w:t xml:space="preserve">2013. </w:t>
            </w:r>
          </w:p>
        </w:tc>
        <w:tc>
          <w:tcPr>
            <w:tcW w:w="1186" w:type="dxa"/>
            <w:tcBorders>
              <w:top w:val="nil"/>
              <w:left w:val="nil"/>
              <w:bottom w:val="nil"/>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sidRPr="004946AC">
              <w:rPr>
                <w:rFonts w:ascii="Arial" w:eastAsia="Times New Roman" w:hAnsi="Arial" w:cs="Arial"/>
                <w:b/>
                <w:bCs/>
                <w:color w:val="FFFFFF"/>
                <w:sz w:val="16"/>
                <w:szCs w:val="16"/>
                <w:lang w:eastAsia="hr-HR"/>
              </w:rPr>
              <w:t xml:space="preserve">2014. </w:t>
            </w:r>
          </w:p>
        </w:tc>
        <w:tc>
          <w:tcPr>
            <w:tcW w:w="746" w:type="dxa"/>
            <w:tcBorders>
              <w:top w:val="nil"/>
              <w:left w:val="nil"/>
              <w:bottom w:val="nil"/>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sidRPr="004946AC">
              <w:rPr>
                <w:rFonts w:ascii="Arial" w:eastAsia="Times New Roman" w:hAnsi="Arial" w:cs="Arial"/>
                <w:b/>
                <w:bCs/>
                <w:color w:val="FFFFFF"/>
                <w:sz w:val="16"/>
                <w:szCs w:val="16"/>
                <w:lang w:eastAsia="hr-HR"/>
              </w:rPr>
              <w:t>Inde</w:t>
            </w:r>
            <w:r>
              <w:rPr>
                <w:rFonts w:ascii="Arial" w:eastAsia="Times New Roman" w:hAnsi="Arial" w:cs="Arial"/>
                <w:b/>
                <w:bCs/>
                <w:color w:val="FFFFFF"/>
                <w:sz w:val="16"/>
                <w:szCs w:val="16"/>
                <w:lang w:eastAsia="hr-HR"/>
              </w:rPr>
              <w:t>ks</w:t>
            </w:r>
          </w:p>
        </w:tc>
        <w:tc>
          <w:tcPr>
            <w:tcW w:w="1134" w:type="dxa"/>
            <w:tcBorders>
              <w:top w:val="nil"/>
              <w:left w:val="nil"/>
              <w:bottom w:val="nil"/>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sidRPr="004946AC">
              <w:rPr>
                <w:rFonts w:ascii="Arial" w:eastAsia="Times New Roman" w:hAnsi="Arial" w:cs="Arial"/>
                <w:b/>
                <w:bCs/>
                <w:color w:val="FFFFFF"/>
                <w:sz w:val="16"/>
                <w:szCs w:val="16"/>
                <w:lang w:eastAsia="hr-HR"/>
              </w:rPr>
              <w:t xml:space="preserve">2013. </w:t>
            </w:r>
          </w:p>
        </w:tc>
        <w:tc>
          <w:tcPr>
            <w:tcW w:w="1134" w:type="dxa"/>
            <w:tcBorders>
              <w:top w:val="nil"/>
              <w:left w:val="nil"/>
              <w:bottom w:val="nil"/>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sidRPr="004946AC">
              <w:rPr>
                <w:rFonts w:ascii="Arial" w:eastAsia="Times New Roman" w:hAnsi="Arial" w:cs="Arial"/>
                <w:b/>
                <w:bCs/>
                <w:color w:val="FFFFFF"/>
                <w:sz w:val="16"/>
                <w:szCs w:val="16"/>
                <w:lang w:eastAsia="hr-HR"/>
              </w:rPr>
              <w:t xml:space="preserve">2014. </w:t>
            </w:r>
          </w:p>
        </w:tc>
        <w:tc>
          <w:tcPr>
            <w:tcW w:w="746" w:type="dxa"/>
            <w:gridSpan w:val="2"/>
            <w:tcBorders>
              <w:top w:val="nil"/>
              <w:left w:val="nil"/>
              <w:bottom w:val="nil"/>
              <w:right w:val="single" w:sz="4" w:space="0" w:color="FFFFFF"/>
            </w:tcBorders>
            <w:shd w:val="clear" w:color="000000" w:fill="003366"/>
            <w:vAlign w:val="center"/>
            <w:hideMark/>
          </w:tcPr>
          <w:p w:rsidR="004946AC" w:rsidRPr="004946AC" w:rsidRDefault="004946AC" w:rsidP="004946AC">
            <w:pPr>
              <w:spacing w:after="0" w:line="240" w:lineRule="auto"/>
              <w:jc w:val="center"/>
              <w:rPr>
                <w:rFonts w:ascii="Arial" w:eastAsia="Times New Roman" w:hAnsi="Arial" w:cs="Arial"/>
                <w:b/>
                <w:bCs/>
                <w:color w:val="FFFFFF"/>
                <w:sz w:val="16"/>
                <w:szCs w:val="16"/>
                <w:lang w:eastAsia="hr-HR"/>
              </w:rPr>
            </w:pPr>
            <w:r w:rsidRPr="004946AC">
              <w:rPr>
                <w:rFonts w:ascii="Arial" w:eastAsia="Times New Roman" w:hAnsi="Arial" w:cs="Arial"/>
                <w:b/>
                <w:bCs/>
                <w:color w:val="FFFFFF"/>
                <w:sz w:val="16"/>
                <w:szCs w:val="16"/>
                <w:lang w:eastAsia="hr-HR"/>
              </w:rPr>
              <w:t>Inde</w:t>
            </w:r>
            <w:r>
              <w:rPr>
                <w:rFonts w:ascii="Arial" w:eastAsia="Times New Roman" w:hAnsi="Arial" w:cs="Arial"/>
                <w:b/>
                <w:bCs/>
                <w:color w:val="FFFFFF"/>
                <w:sz w:val="16"/>
                <w:szCs w:val="16"/>
                <w:lang w:eastAsia="hr-HR"/>
              </w:rPr>
              <w:t>ks</w:t>
            </w:r>
          </w:p>
        </w:tc>
      </w:tr>
      <w:tr w:rsidR="00B205FA"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4946AC" w:rsidRPr="004F7B3C" w:rsidRDefault="004946AC"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Broj poduzetnika</w:t>
            </w:r>
          </w:p>
        </w:tc>
        <w:tc>
          <w:tcPr>
            <w:tcW w:w="1186" w:type="dxa"/>
            <w:tcBorders>
              <w:top w:val="single" w:sz="4" w:space="0" w:color="BFBFBF"/>
              <w:left w:val="nil"/>
              <w:bottom w:val="single" w:sz="4" w:space="0" w:color="BFBFBF"/>
              <w:right w:val="single" w:sz="4" w:space="0" w:color="BFBFBF"/>
            </w:tcBorders>
            <w:shd w:val="clear" w:color="000000" w:fill="DCE6F1"/>
            <w:noWrap/>
            <w:vAlign w:val="center"/>
          </w:tcPr>
          <w:p w:rsidR="004946AC" w:rsidRPr="004F7B3C" w:rsidRDefault="004946AC" w:rsidP="00901842">
            <w:pPr>
              <w:spacing w:after="0" w:line="240" w:lineRule="auto"/>
              <w:jc w:val="right"/>
              <w:rPr>
                <w:rFonts w:ascii="Arial" w:eastAsia="Times New Roman" w:hAnsi="Arial" w:cs="Arial"/>
                <w:color w:val="244061" w:themeColor="accent1" w:themeShade="80"/>
                <w:sz w:val="18"/>
                <w:szCs w:val="18"/>
                <w:lang w:eastAsia="hr-HR"/>
              </w:rPr>
            </w:pPr>
          </w:p>
        </w:tc>
        <w:tc>
          <w:tcPr>
            <w:tcW w:w="1186" w:type="dxa"/>
            <w:tcBorders>
              <w:top w:val="single" w:sz="4" w:space="0" w:color="BFBFBF"/>
              <w:left w:val="nil"/>
              <w:bottom w:val="single" w:sz="4" w:space="0" w:color="BFBFBF"/>
              <w:right w:val="single" w:sz="4" w:space="0" w:color="BFBFBF"/>
            </w:tcBorders>
            <w:shd w:val="clear" w:color="000000" w:fill="DCE6F1"/>
            <w:noWrap/>
            <w:vAlign w:val="center"/>
          </w:tcPr>
          <w:p w:rsidR="004946AC" w:rsidRPr="004F7B3C" w:rsidRDefault="00BF6698"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6.365</w:t>
            </w:r>
          </w:p>
        </w:tc>
        <w:tc>
          <w:tcPr>
            <w:tcW w:w="746" w:type="dxa"/>
            <w:tcBorders>
              <w:top w:val="single" w:sz="4" w:space="0" w:color="BFBFBF"/>
              <w:left w:val="nil"/>
              <w:bottom w:val="single" w:sz="4" w:space="0" w:color="BFBFBF"/>
              <w:right w:val="single" w:sz="4" w:space="0" w:color="BFBFBF"/>
            </w:tcBorders>
            <w:shd w:val="clear" w:color="000000" w:fill="DCE6F1"/>
            <w:noWrap/>
            <w:vAlign w:val="center"/>
          </w:tcPr>
          <w:p w:rsidR="004946AC" w:rsidRPr="004F7B3C" w:rsidRDefault="004946AC" w:rsidP="00901842">
            <w:pPr>
              <w:spacing w:after="0" w:line="240" w:lineRule="auto"/>
              <w:jc w:val="right"/>
              <w:rPr>
                <w:rFonts w:ascii="Arial" w:eastAsia="Times New Roman" w:hAnsi="Arial" w:cs="Arial"/>
                <w:color w:val="244061" w:themeColor="accent1" w:themeShade="80"/>
                <w:sz w:val="18"/>
                <w:szCs w:val="18"/>
                <w:lang w:eastAsia="hr-HR"/>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4946AC" w:rsidRPr="004F7B3C" w:rsidRDefault="004946AC" w:rsidP="00901842">
            <w:pPr>
              <w:spacing w:after="0" w:line="240" w:lineRule="auto"/>
              <w:jc w:val="right"/>
              <w:rPr>
                <w:rFonts w:ascii="Arial" w:eastAsia="Times New Roman" w:hAnsi="Arial" w:cs="Arial"/>
                <w:color w:val="244061" w:themeColor="accent1" w:themeShade="80"/>
                <w:sz w:val="18"/>
                <w:szCs w:val="18"/>
                <w:lang w:eastAsia="hr-HR"/>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4946AC" w:rsidRPr="004F7B3C" w:rsidRDefault="00666461"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9.324</w:t>
            </w:r>
          </w:p>
        </w:tc>
        <w:tc>
          <w:tcPr>
            <w:tcW w:w="746" w:type="dxa"/>
            <w:gridSpan w:val="2"/>
            <w:tcBorders>
              <w:top w:val="single" w:sz="4" w:space="0" w:color="BFBFBF"/>
              <w:left w:val="nil"/>
              <w:bottom w:val="single" w:sz="4" w:space="0" w:color="BFBFBF"/>
              <w:right w:val="single" w:sz="4" w:space="0" w:color="BFBFBF"/>
            </w:tcBorders>
            <w:shd w:val="clear" w:color="auto" w:fill="auto"/>
            <w:noWrap/>
            <w:vAlign w:val="center"/>
          </w:tcPr>
          <w:p w:rsidR="004946AC" w:rsidRPr="004F7B3C" w:rsidRDefault="004946AC" w:rsidP="00901842">
            <w:pPr>
              <w:spacing w:after="0" w:line="240" w:lineRule="auto"/>
              <w:jc w:val="right"/>
              <w:rPr>
                <w:rFonts w:ascii="Arial" w:eastAsia="Times New Roman" w:hAnsi="Arial" w:cs="Arial"/>
                <w:color w:val="244061" w:themeColor="accent1" w:themeShade="80"/>
                <w:sz w:val="18"/>
                <w:szCs w:val="18"/>
                <w:lang w:eastAsia="hr-HR"/>
              </w:rPr>
            </w:pPr>
          </w:p>
        </w:tc>
      </w:tr>
      <w:tr w:rsidR="00901842"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901842" w:rsidRPr="004F7B3C" w:rsidRDefault="00901842"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Broj zaposlenih</w:t>
            </w:r>
          </w:p>
        </w:tc>
        <w:tc>
          <w:tcPr>
            <w:tcW w:w="118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39.798</w:t>
            </w:r>
          </w:p>
        </w:tc>
        <w:tc>
          <w:tcPr>
            <w:tcW w:w="118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40.000</w:t>
            </w:r>
          </w:p>
        </w:tc>
        <w:tc>
          <w:tcPr>
            <w:tcW w:w="74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105,2</w:t>
            </w:r>
          </w:p>
        </w:tc>
        <w:tc>
          <w:tcPr>
            <w:tcW w:w="1134" w:type="dxa"/>
            <w:tcBorders>
              <w:top w:val="nil"/>
              <w:left w:val="nil"/>
              <w:bottom w:val="single" w:sz="4" w:space="0" w:color="BFBFBF"/>
              <w:right w:val="single" w:sz="4" w:space="0" w:color="BFBFBF"/>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58.114</w:t>
            </w:r>
          </w:p>
        </w:tc>
        <w:tc>
          <w:tcPr>
            <w:tcW w:w="1134" w:type="dxa"/>
            <w:tcBorders>
              <w:top w:val="nil"/>
              <w:left w:val="nil"/>
              <w:bottom w:val="single" w:sz="4" w:space="0" w:color="BFBFBF"/>
              <w:right w:val="single" w:sz="4" w:space="0" w:color="BFBFBF"/>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58.659</w:t>
            </w:r>
          </w:p>
        </w:tc>
        <w:tc>
          <w:tcPr>
            <w:tcW w:w="746" w:type="dxa"/>
            <w:gridSpan w:val="2"/>
            <w:tcBorders>
              <w:top w:val="nil"/>
              <w:left w:val="nil"/>
              <w:bottom w:val="single" w:sz="4" w:space="0" w:color="BFBFBF"/>
              <w:right w:val="single" w:sz="4" w:space="0" w:color="BFBFBF"/>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100,9</w:t>
            </w:r>
          </w:p>
        </w:tc>
      </w:tr>
      <w:tr w:rsidR="00901842"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901842" w:rsidRPr="004F7B3C" w:rsidRDefault="00901842"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Ukupni prihodi</w:t>
            </w:r>
          </w:p>
        </w:tc>
        <w:tc>
          <w:tcPr>
            <w:tcW w:w="118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21.543.365</w:t>
            </w:r>
          </w:p>
        </w:tc>
        <w:tc>
          <w:tcPr>
            <w:tcW w:w="118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22.544.149</w:t>
            </w:r>
          </w:p>
        </w:tc>
        <w:tc>
          <w:tcPr>
            <w:tcW w:w="74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104,6</w:t>
            </w:r>
          </w:p>
        </w:tc>
        <w:tc>
          <w:tcPr>
            <w:tcW w:w="1134" w:type="dxa"/>
            <w:tcBorders>
              <w:top w:val="single" w:sz="4" w:space="0" w:color="C0C0C0"/>
              <w:left w:val="nil"/>
              <w:bottom w:val="single" w:sz="4" w:space="0" w:color="C0C0C0"/>
              <w:right w:val="single" w:sz="4" w:space="0" w:color="C0C0C0"/>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31.571.267</w:t>
            </w:r>
          </w:p>
        </w:tc>
        <w:tc>
          <w:tcPr>
            <w:tcW w:w="1134" w:type="dxa"/>
            <w:tcBorders>
              <w:top w:val="single" w:sz="4" w:space="0" w:color="C0C0C0"/>
              <w:left w:val="nil"/>
              <w:bottom w:val="single" w:sz="4" w:space="0" w:color="C0C0C0"/>
              <w:right w:val="single" w:sz="4" w:space="0" w:color="C0C0C0"/>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32.376.577</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102,6</w:t>
            </w:r>
          </w:p>
        </w:tc>
      </w:tr>
      <w:tr w:rsidR="00901842"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901842" w:rsidRPr="004F7B3C" w:rsidRDefault="00901842"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Ukupni rashodi</w:t>
            </w:r>
          </w:p>
        </w:tc>
        <w:tc>
          <w:tcPr>
            <w:tcW w:w="118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21.085.077</w:t>
            </w:r>
          </w:p>
        </w:tc>
        <w:tc>
          <w:tcPr>
            <w:tcW w:w="118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22.023.002</w:t>
            </w:r>
          </w:p>
        </w:tc>
        <w:tc>
          <w:tcPr>
            <w:tcW w:w="746" w:type="dxa"/>
            <w:tcBorders>
              <w:top w:val="nil"/>
              <w:left w:val="nil"/>
              <w:bottom w:val="single" w:sz="4" w:space="0" w:color="BFBFBF"/>
              <w:right w:val="single" w:sz="4" w:space="0" w:color="BFBFBF"/>
            </w:tcBorders>
            <w:shd w:val="clear" w:color="000000" w:fill="DCE6F1"/>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104,4</w:t>
            </w:r>
          </w:p>
        </w:tc>
        <w:tc>
          <w:tcPr>
            <w:tcW w:w="1134" w:type="dxa"/>
            <w:tcBorders>
              <w:top w:val="nil"/>
              <w:left w:val="nil"/>
              <w:bottom w:val="single" w:sz="4" w:space="0" w:color="C0C0C0"/>
              <w:right w:val="single" w:sz="4" w:space="0" w:color="C0C0C0"/>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30.829.204</w:t>
            </w:r>
          </w:p>
        </w:tc>
        <w:tc>
          <w:tcPr>
            <w:tcW w:w="1134" w:type="dxa"/>
            <w:tcBorders>
              <w:top w:val="nil"/>
              <w:left w:val="nil"/>
              <w:bottom w:val="single" w:sz="4" w:space="0" w:color="C0C0C0"/>
              <w:right w:val="single" w:sz="4" w:space="0" w:color="C0C0C0"/>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31.732.325</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901842" w:rsidRPr="004F7B3C" w:rsidRDefault="00901842" w:rsidP="00901842">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102,9</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Dobit prije oporezivanja</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1.129.200</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1.394.173</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123,5</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1.742.290</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1.955.085</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112,2</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Gubitak prije oporezivanja</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670.912</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873.026</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130,1</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1.000.226</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1.310.833</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131,1</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Dobit razdoblja</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964.966</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1.193.006</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123,6</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1.507.838</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1.686.936</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111,9</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Gubitak razdoblja</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672.045</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872.505</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129,8</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1.001.389</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1.310.282</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130,8</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 xml:space="preserve">Konsolidirani financijski rezultat – dobit (+) ili gubitak (-) razdoblja </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292.921</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320.500</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109,4</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506.449</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376.654</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74,4</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Izvoz</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4.748.213</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4.703.712</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99,1</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6.356.525</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6.389.286</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100,5</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Uvoz</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2.096.042</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2.146.104</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102,4</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3.423.674</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3.564.944</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104,1</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Investicije u novu dugotrajnu imovinu</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1.470.944</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1.515.632</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103,0</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2.370.354</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2.826.569</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119,2</w:t>
            </w:r>
          </w:p>
        </w:tc>
      </w:tr>
      <w:tr w:rsidR="006600AF" w:rsidRPr="00EA5567"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6600AF" w:rsidRPr="004F7B3C" w:rsidRDefault="006600AF" w:rsidP="004946AC">
            <w:pPr>
              <w:spacing w:after="0" w:line="240" w:lineRule="auto"/>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Prosječna mjesečna neto plaća po zaposlenom</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4.655</w:t>
            </w:r>
          </w:p>
        </w:tc>
        <w:tc>
          <w:tcPr>
            <w:tcW w:w="118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4.663</w:t>
            </w:r>
          </w:p>
        </w:tc>
        <w:tc>
          <w:tcPr>
            <w:tcW w:w="746" w:type="dxa"/>
            <w:tcBorders>
              <w:top w:val="nil"/>
              <w:left w:val="nil"/>
              <w:bottom w:val="single" w:sz="4" w:space="0" w:color="BFBFBF"/>
              <w:right w:val="single" w:sz="4" w:space="0" w:color="BFBFBF"/>
            </w:tcBorders>
            <w:shd w:val="clear" w:color="000000" w:fill="DCE6F1"/>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100,2</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4.645</w:t>
            </w:r>
          </w:p>
        </w:tc>
        <w:tc>
          <w:tcPr>
            <w:tcW w:w="1134" w:type="dxa"/>
            <w:tcBorders>
              <w:top w:val="nil"/>
              <w:left w:val="nil"/>
              <w:bottom w:val="single" w:sz="4" w:space="0" w:color="C0C0C0"/>
              <w:right w:val="single" w:sz="4" w:space="0" w:color="C0C0C0"/>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4.646</w:t>
            </w:r>
          </w:p>
        </w:tc>
        <w:tc>
          <w:tcPr>
            <w:tcW w:w="746" w:type="dxa"/>
            <w:gridSpan w:val="2"/>
            <w:tcBorders>
              <w:top w:val="nil"/>
              <w:left w:val="single" w:sz="4" w:space="0" w:color="BFBFBF"/>
              <w:bottom w:val="single" w:sz="4" w:space="0" w:color="BFBFBF"/>
              <w:right w:val="single" w:sz="4" w:space="0" w:color="BFBFBF"/>
            </w:tcBorders>
            <w:shd w:val="clear" w:color="auto" w:fill="auto"/>
            <w:noWrap/>
            <w:vAlign w:val="center"/>
          </w:tcPr>
          <w:p w:rsidR="006600AF" w:rsidRPr="004F7B3C" w:rsidRDefault="006600AF" w:rsidP="006600AF">
            <w:pPr>
              <w:spacing w:after="0" w:line="240" w:lineRule="auto"/>
              <w:jc w:val="right"/>
              <w:rPr>
                <w:rFonts w:ascii="Arial" w:eastAsia="Times New Roman" w:hAnsi="Arial" w:cs="Arial"/>
                <w:color w:val="244061" w:themeColor="accent1" w:themeShade="80"/>
                <w:sz w:val="18"/>
                <w:szCs w:val="18"/>
                <w:lang w:eastAsia="hr-HR"/>
              </w:rPr>
            </w:pPr>
            <w:r w:rsidRPr="004F7B3C">
              <w:rPr>
                <w:rFonts w:ascii="Arial" w:eastAsia="Times New Roman" w:hAnsi="Arial" w:cs="Arial"/>
                <w:color w:val="244061" w:themeColor="accent1" w:themeShade="80"/>
                <w:sz w:val="18"/>
                <w:szCs w:val="18"/>
                <w:lang w:eastAsia="hr-HR"/>
              </w:rPr>
              <w:t>100,0</w:t>
            </w:r>
          </w:p>
        </w:tc>
      </w:tr>
    </w:tbl>
    <w:p w:rsidR="004946AC" w:rsidRPr="004946AC" w:rsidRDefault="004946AC" w:rsidP="004946AC">
      <w:pPr>
        <w:spacing w:before="40" w:after="0" w:line="240" w:lineRule="auto"/>
        <w:jc w:val="both"/>
        <w:rPr>
          <w:rFonts w:ascii="Arial" w:eastAsia="Times New Roman" w:hAnsi="Arial" w:cs="Times New Roman"/>
          <w:bCs/>
          <w:i/>
          <w:color w:val="17365D"/>
          <w:sz w:val="16"/>
          <w:szCs w:val="18"/>
          <w:lang w:eastAsia="hr-HR"/>
        </w:rPr>
      </w:pPr>
      <w:r w:rsidRPr="004946AC">
        <w:rPr>
          <w:rFonts w:ascii="Arial" w:eastAsia="Times New Roman" w:hAnsi="Arial" w:cs="Times New Roman"/>
          <w:bCs/>
          <w:i/>
          <w:color w:val="17365D"/>
          <w:sz w:val="16"/>
          <w:szCs w:val="18"/>
          <w:lang w:eastAsia="hr-HR"/>
        </w:rPr>
        <w:t>Izvor: Fina, Registar godišnjih financijskih izvještaja, obrada GFI-a za 2014. godinu</w:t>
      </w:r>
    </w:p>
    <w:p w:rsidR="00765899" w:rsidRDefault="00C8090C" w:rsidP="00EA5567">
      <w:pPr>
        <w:widowControl w:val="0"/>
        <w:spacing w:before="240" w:after="0"/>
        <w:jc w:val="both"/>
        <w:rPr>
          <w:rFonts w:ascii="Arial" w:eastAsia="Times New Roman" w:hAnsi="Arial" w:cs="Arial"/>
          <w:color w:val="244061" w:themeColor="accent1" w:themeShade="80"/>
          <w:sz w:val="20"/>
          <w:szCs w:val="20"/>
          <w:lang w:eastAsia="hr-HR"/>
        </w:rPr>
      </w:pPr>
      <w:r w:rsidRPr="003C116E">
        <w:rPr>
          <w:rFonts w:ascii="Arial" w:eastAsia="Times New Roman" w:hAnsi="Arial" w:cs="Arial"/>
          <w:color w:val="244061" w:themeColor="accent1" w:themeShade="80"/>
          <w:sz w:val="20"/>
          <w:szCs w:val="20"/>
          <w:lang w:eastAsia="hr-HR"/>
        </w:rPr>
        <w:t xml:space="preserve">Poduzetnici Urbane aglomeracija Rijeke u 2014. godini ostvarili su ukupne prihode u iznosu od 22,5 milijardi kuna. Njihov udio u ukupnim prihodima poduzetnika Primorsko-goranske županije </w:t>
      </w:r>
      <w:r w:rsidR="00D827B9" w:rsidRPr="003C116E">
        <w:rPr>
          <w:rFonts w:ascii="Arial" w:eastAsia="Times New Roman" w:hAnsi="Arial" w:cs="Arial"/>
          <w:color w:val="244061" w:themeColor="accent1" w:themeShade="80"/>
          <w:sz w:val="20"/>
          <w:szCs w:val="20"/>
          <w:lang w:eastAsia="hr-HR"/>
        </w:rPr>
        <w:t>iznosi</w:t>
      </w:r>
      <w:r w:rsidRPr="003C116E">
        <w:rPr>
          <w:rFonts w:ascii="Arial" w:eastAsia="Times New Roman" w:hAnsi="Arial" w:cs="Arial"/>
          <w:color w:val="244061" w:themeColor="accent1" w:themeShade="80"/>
          <w:sz w:val="20"/>
          <w:szCs w:val="20"/>
          <w:lang w:eastAsia="hr-HR"/>
        </w:rPr>
        <w:t xml:space="preserve"> 69,6%</w:t>
      </w:r>
      <w:r w:rsidR="00D827B9" w:rsidRPr="003C116E">
        <w:rPr>
          <w:rFonts w:ascii="Arial" w:eastAsia="Times New Roman" w:hAnsi="Arial" w:cs="Arial"/>
          <w:color w:val="244061" w:themeColor="accent1" w:themeShade="80"/>
          <w:sz w:val="20"/>
          <w:szCs w:val="20"/>
          <w:lang w:eastAsia="hr-HR"/>
        </w:rPr>
        <w:t>.</w:t>
      </w:r>
    </w:p>
    <w:p w:rsidR="00D1505F" w:rsidRDefault="00E1622B" w:rsidP="00EA5567">
      <w:pPr>
        <w:widowControl w:val="0"/>
        <w:spacing w:before="240" w:after="0" w:line="240" w:lineRule="auto"/>
        <w:ind w:left="1134" w:hanging="1134"/>
        <w:rPr>
          <w:rFonts w:ascii="Arial" w:eastAsia="Calibri" w:hAnsi="Arial" w:cs="Arial"/>
          <w:color w:val="244061" w:themeColor="accent1" w:themeShade="80"/>
          <w:sz w:val="18"/>
          <w:szCs w:val="18"/>
        </w:rPr>
      </w:pPr>
      <w:r w:rsidRPr="00765899">
        <w:rPr>
          <w:rFonts w:ascii="Arial" w:eastAsia="Calibri" w:hAnsi="Arial" w:cs="Arial"/>
          <w:b/>
          <w:color w:val="17365D"/>
          <w:sz w:val="18"/>
          <w:szCs w:val="18"/>
        </w:rPr>
        <w:t xml:space="preserve">Grafikon </w:t>
      </w:r>
      <w:r w:rsidR="00AD359B">
        <w:rPr>
          <w:rFonts w:ascii="Arial" w:eastAsia="Calibri" w:hAnsi="Arial" w:cs="Arial"/>
          <w:b/>
          <w:color w:val="17365D"/>
          <w:sz w:val="18"/>
          <w:szCs w:val="18"/>
        </w:rPr>
        <w:t>1</w:t>
      </w:r>
      <w:r w:rsidRPr="00765899">
        <w:rPr>
          <w:rFonts w:ascii="Arial" w:eastAsia="Calibri" w:hAnsi="Arial" w:cs="Arial"/>
          <w:b/>
          <w:color w:val="17365D"/>
          <w:sz w:val="18"/>
          <w:szCs w:val="18"/>
        </w:rPr>
        <w:t>.</w:t>
      </w:r>
      <w:r w:rsidR="00765899" w:rsidRPr="00765899">
        <w:rPr>
          <w:rFonts w:ascii="Arial" w:eastAsia="Calibri" w:hAnsi="Arial" w:cs="Arial"/>
          <w:b/>
          <w:color w:val="17365D"/>
          <w:sz w:val="18"/>
          <w:szCs w:val="18"/>
        </w:rPr>
        <w:t xml:space="preserve"> </w:t>
      </w:r>
      <w:r w:rsidR="00765899" w:rsidRPr="004946AC">
        <w:rPr>
          <w:rFonts w:ascii="Arial" w:eastAsia="Calibri" w:hAnsi="Arial" w:cs="Arial"/>
          <w:b/>
          <w:color w:val="17365D"/>
          <w:sz w:val="18"/>
          <w:szCs w:val="18"/>
        </w:rPr>
        <w:tab/>
      </w:r>
      <w:r w:rsidR="00765899">
        <w:rPr>
          <w:rFonts w:ascii="Arial" w:eastAsia="Calibri" w:hAnsi="Arial" w:cs="Arial"/>
          <w:color w:val="244061" w:themeColor="accent1" w:themeShade="80"/>
          <w:sz w:val="18"/>
          <w:szCs w:val="18"/>
        </w:rPr>
        <w:t>Udio ukupnog prihoda poduzetnika</w:t>
      </w:r>
      <w:r w:rsidR="00765899" w:rsidRPr="003C116E">
        <w:rPr>
          <w:rFonts w:ascii="Arial" w:eastAsia="Calibri" w:hAnsi="Arial" w:cs="Arial"/>
          <w:color w:val="244061" w:themeColor="accent1" w:themeShade="80"/>
          <w:sz w:val="18"/>
          <w:szCs w:val="18"/>
        </w:rPr>
        <w:t xml:space="preserve"> Urbane aglomeracije Rijeka</w:t>
      </w:r>
      <w:r w:rsidR="00765899">
        <w:rPr>
          <w:rFonts w:ascii="Arial" w:eastAsia="Calibri" w:hAnsi="Arial" w:cs="Arial"/>
          <w:color w:val="244061" w:themeColor="accent1" w:themeShade="80"/>
          <w:sz w:val="18"/>
          <w:szCs w:val="18"/>
        </w:rPr>
        <w:t xml:space="preserve"> u ukupnom prihodu</w:t>
      </w:r>
      <w:r w:rsidR="00765899" w:rsidRPr="003C116E">
        <w:rPr>
          <w:rFonts w:ascii="Arial" w:eastAsia="Calibri" w:hAnsi="Arial" w:cs="Arial"/>
          <w:color w:val="244061" w:themeColor="accent1" w:themeShade="80"/>
          <w:sz w:val="18"/>
          <w:szCs w:val="18"/>
        </w:rPr>
        <w:t xml:space="preserve"> poduzetnika Primorsko-goranske županije u 2014. godini</w:t>
      </w:r>
    </w:p>
    <w:p w:rsidR="004762F8" w:rsidRDefault="007C257E" w:rsidP="00C343B3">
      <w:pPr>
        <w:spacing w:after="0" w:line="240" w:lineRule="auto"/>
        <w:ind w:left="1134" w:hanging="1134"/>
        <w:rPr>
          <w:rFonts w:ascii="Arial" w:eastAsia="Calibri" w:hAnsi="Arial" w:cs="Arial"/>
          <w:color w:val="244061" w:themeColor="accent1" w:themeShade="80"/>
          <w:sz w:val="18"/>
          <w:szCs w:val="18"/>
        </w:rPr>
      </w:pPr>
      <w:r>
        <w:rPr>
          <w:rFonts w:ascii="Arial" w:eastAsia="Calibri" w:hAnsi="Arial" w:cs="Arial"/>
          <w:noProof/>
          <w:color w:val="244061" w:themeColor="accent1" w:themeShade="80"/>
          <w:sz w:val="18"/>
          <w:szCs w:val="18"/>
          <w:lang w:eastAsia="hr-HR"/>
        </w:rPr>
        <w:drawing>
          <wp:inline distT="0" distB="0" distL="0" distR="0" wp14:anchorId="4486D2B0" wp14:editId="034D8761">
            <wp:extent cx="5885537" cy="230400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5537" cy="2304000"/>
                    </a:xfrm>
                    <a:prstGeom prst="rect">
                      <a:avLst/>
                    </a:prstGeom>
                    <a:noFill/>
                  </pic:spPr>
                </pic:pic>
              </a:graphicData>
            </a:graphic>
          </wp:inline>
        </w:drawing>
      </w:r>
    </w:p>
    <w:p w:rsidR="00634BA9" w:rsidRPr="004946AC" w:rsidRDefault="00634BA9" w:rsidP="00C343B3">
      <w:pPr>
        <w:spacing w:before="60" w:after="0" w:line="240" w:lineRule="auto"/>
        <w:jc w:val="both"/>
        <w:rPr>
          <w:rFonts w:ascii="Arial" w:eastAsia="Times New Roman" w:hAnsi="Arial" w:cs="Times New Roman"/>
          <w:bCs/>
          <w:i/>
          <w:color w:val="17365D"/>
          <w:sz w:val="16"/>
          <w:szCs w:val="18"/>
          <w:lang w:eastAsia="hr-HR"/>
        </w:rPr>
      </w:pPr>
      <w:r w:rsidRPr="004946AC">
        <w:rPr>
          <w:rFonts w:ascii="Arial" w:eastAsia="Times New Roman" w:hAnsi="Arial" w:cs="Times New Roman"/>
          <w:bCs/>
          <w:i/>
          <w:color w:val="17365D"/>
          <w:sz w:val="16"/>
          <w:szCs w:val="18"/>
          <w:lang w:eastAsia="hr-HR"/>
        </w:rPr>
        <w:t>Izvor: Fina, Registar godišnjih financijskih izvještaja, obrada GFI-a za 2014. godinu</w:t>
      </w:r>
    </w:p>
    <w:p w:rsidR="004F7B3C" w:rsidRDefault="00765899" w:rsidP="00D755C7">
      <w:pPr>
        <w:widowControl w:val="0"/>
        <w:spacing w:before="240" w:after="0"/>
        <w:jc w:val="both"/>
        <w:rPr>
          <w:rFonts w:ascii="Arial" w:eastAsia="Times New Roman" w:hAnsi="Arial"/>
          <w:bCs/>
          <w:color w:val="244061"/>
          <w:sz w:val="20"/>
          <w:szCs w:val="20"/>
          <w:lang w:eastAsia="hr-HR"/>
        </w:rPr>
      </w:pPr>
      <w:r>
        <w:rPr>
          <w:rFonts w:ascii="Arial" w:eastAsia="Times New Roman" w:hAnsi="Arial"/>
          <w:bCs/>
          <w:color w:val="244061"/>
          <w:sz w:val="20"/>
          <w:szCs w:val="20"/>
          <w:lang w:eastAsia="hr-HR"/>
        </w:rPr>
        <w:t xml:space="preserve">Prema </w:t>
      </w:r>
      <w:r w:rsidRPr="0015427A">
        <w:rPr>
          <w:rFonts w:ascii="Arial" w:eastAsia="Times New Roman" w:hAnsi="Arial" w:cs="Arial"/>
          <w:color w:val="244061" w:themeColor="accent1" w:themeShade="80"/>
          <w:sz w:val="20"/>
          <w:szCs w:val="20"/>
          <w:lang w:eastAsia="hr-HR"/>
        </w:rPr>
        <w:t>produktivnosti</w:t>
      </w:r>
      <w:r>
        <w:rPr>
          <w:rFonts w:ascii="Arial" w:eastAsia="Times New Roman" w:hAnsi="Arial"/>
          <w:bCs/>
          <w:color w:val="244061"/>
          <w:sz w:val="20"/>
          <w:szCs w:val="20"/>
          <w:lang w:eastAsia="hr-HR"/>
        </w:rPr>
        <w:t xml:space="preserve"> (prihodu po zaposlenom), na prvom su mjestu poduzetnici </w:t>
      </w:r>
      <w:r w:rsidR="00634BA9">
        <w:rPr>
          <w:rFonts w:ascii="Arial" w:eastAsia="Times New Roman" w:hAnsi="Arial"/>
          <w:bCs/>
          <w:color w:val="244061"/>
          <w:sz w:val="20"/>
          <w:szCs w:val="20"/>
          <w:lang w:eastAsia="hr-HR"/>
        </w:rPr>
        <w:t>grada Kastva</w:t>
      </w:r>
      <w:r>
        <w:rPr>
          <w:rFonts w:ascii="Arial" w:eastAsia="Times New Roman" w:hAnsi="Arial"/>
          <w:bCs/>
          <w:color w:val="244061"/>
          <w:sz w:val="20"/>
          <w:szCs w:val="20"/>
          <w:lang w:eastAsia="hr-HR"/>
        </w:rPr>
        <w:t xml:space="preserve">, s </w:t>
      </w:r>
      <w:r w:rsidR="00634BA9">
        <w:rPr>
          <w:rFonts w:ascii="Arial" w:eastAsia="Times New Roman" w:hAnsi="Arial"/>
          <w:bCs/>
          <w:color w:val="244061"/>
          <w:sz w:val="20"/>
          <w:szCs w:val="20"/>
          <w:lang w:eastAsia="hr-HR"/>
        </w:rPr>
        <w:t>856</w:t>
      </w:r>
      <w:r>
        <w:rPr>
          <w:rFonts w:ascii="Arial" w:eastAsia="Times New Roman" w:hAnsi="Arial"/>
          <w:bCs/>
          <w:color w:val="244061"/>
          <w:sz w:val="20"/>
          <w:szCs w:val="20"/>
          <w:lang w:eastAsia="hr-HR"/>
        </w:rPr>
        <w:t xml:space="preserve"> tisuć</w:t>
      </w:r>
      <w:r w:rsidR="00634BA9">
        <w:rPr>
          <w:rFonts w:ascii="Arial" w:eastAsia="Times New Roman" w:hAnsi="Arial"/>
          <w:bCs/>
          <w:color w:val="244061"/>
          <w:sz w:val="20"/>
          <w:szCs w:val="20"/>
          <w:lang w:eastAsia="hr-HR"/>
        </w:rPr>
        <w:t>a</w:t>
      </w:r>
      <w:r>
        <w:rPr>
          <w:rFonts w:ascii="Arial" w:eastAsia="Times New Roman" w:hAnsi="Arial"/>
          <w:bCs/>
          <w:color w:val="244061"/>
          <w:sz w:val="20"/>
          <w:szCs w:val="20"/>
          <w:lang w:eastAsia="hr-HR"/>
        </w:rPr>
        <w:t xml:space="preserve"> kuna, dok je među poduzetnicima naveden</w:t>
      </w:r>
      <w:r w:rsidR="0015427A">
        <w:rPr>
          <w:rFonts w:ascii="Arial" w:eastAsia="Times New Roman" w:hAnsi="Arial"/>
          <w:bCs/>
          <w:color w:val="244061"/>
          <w:sz w:val="20"/>
          <w:szCs w:val="20"/>
          <w:lang w:eastAsia="hr-HR"/>
        </w:rPr>
        <w:t>og</w:t>
      </w:r>
      <w:r>
        <w:rPr>
          <w:rFonts w:ascii="Arial" w:eastAsia="Times New Roman" w:hAnsi="Arial"/>
          <w:bCs/>
          <w:color w:val="244061"/>
          <w:sz w:val="20"/>
          <w:szCs w:val="20"/>
          <w:lang w:eastAsia="hr-HR"/>
        </w:rPr>
        <w:t xml:space="preserve"> </w:t>
      </w:r>
      <w:r w:rsidR="0015427A">
        <w:rPr>
          <w:rFonts w:ascii="Arial" w:eastAsia="Times New Roman" w:hAnsi="Arial"/>
          <w:bCs/>
          <w:color w:val="244061"/>
          <w:sz w:val="20"/>
          <w:szCs w:val="20"/>
          <w:lang w:eastAsia="hr-HR"/>
        </w:rPr>
        <w:t>grada</w:t>
      </w:r>
      <w:r>
        <w:rPr>
          <w:rFonts w:ascii="Arial" w:eastAsia="Times New Roman" w:hAnsi="Arial"/>
          <w:bCs/>
          <w:color w:val="244061"/>
          <w:sz w:val="20"/>
          <w:szCs w:val="20"/>
          <w:lang w:eastAsia="hr-HR"/>
        </w:rPr>
        <w:t xml:space="preserve"> po produktivnosti na prvom mjestu </w:t>
      </w:r>
      <w:r w:rsidR="00634BA9">
        <w:rPr>
          <w:rFonts w:ascii="Arial" w:eastAsia="Times New Roman" w:hAnsi="Arial"/>
          <w:bCs/>
          <w:color w:val="244061"/>
          <w:sz w:val="20"/>
          <w:szCs w:val="20"/>
          <w:lang w:eastAsia="hr-HR"/>
        </w:rPr>
        <w:t>ADRIA OIL</w:t>
      </w:r>
      <w:r w:rsidRPr="0035510D">
        <w:rPr>
          <w:rFonts w:ascii="Arial" w:eastAsia="Times New Roman" w:hAnsi="Arial"/>
          <w:bCs/>
          <w:color w:val="244061"/>
          <w:sz w:val="20"/>
          <w:szCs w:val="20"/>
          <w:lang w:eastAsia="hr-HR"/>
        </w:rPr>
        <w:t xml:space="preserve"> d.o.o.</w:t>
      </w:r>
      <w:r>
        <w:rPr>
          <w:rFonts w:ascii="Arial" w:eastAsia="Times New Roman" w:hAnsi="Arial"/>
          <w:bCs/>
          <w:color w:val="244061"/>
          <w:sz w:val="20"/>
          <w:szCs w:val="20"/>
          <w:lang w:eastAsia="hr-HR"/>
        </w:rPr>
        <w:t xml:space="preserve"> (OIB </w:t>
      </w:r>
      <w:r w:rsidR="00634BA9" w:rsidRPr="00634BA9">
        <w:rPr>
          <w:rFonts w:ascii="Arial" w:eastAsia="Times New Roman" w:hAnsi="Arial"/>
          <w:bCs/>
          <w:color w:val="244061"/>
          <w:sz w:val="20"/>
          <w:szCs w:val="20"/>
          <w:lang w:eastAsia="hr-HR"/>
        </w:rPr>
        <w:t>03004159051</w:t>
      </w:r>
      <w:r>
        <w:rPr>
          <w:rFonts w:ascii="Arial" w:eastAsia="Times New Roman" w:hAnsi="Arial"/>
          <w:bCs/>
          <w:color w:val="244061"/>
          <w:sz w:val="20"/>
          <w:szCs w:val="20"/>
          <w:lang w:eastAsia="hr-HR"/>
        </w:rPr>
        <w:t xml:space="preserve">), sa prosjekom od </w:t>
      </w:r>
      <w:r w:rsidR="0015427A">
        <w:rPr>
          <w:rFonts w:ascii="Arial" w:eastAsia="Times New Roman" w:hAnsi="Arial"/>
          <w:bCs/>
          <w:color w:val="244061"/>
          <w:sz w:val="20"/>
          <w:szCs w:val="20"/>
          <w:lang w:eastAsia="hr-HR"/>
        </w:rPr>
        <w:t>4,0</w:t>
      </w:r>
      <w:r>
        <w:rPr>
          <w:rFonts w:ascii="Arial" w:eastAsia="Times New Roman" w:hAnsi="Arial"/>
          <w:bCs/>
          <w:color w:val="244061"/>
          <w:sz w:val="20"/>
          <w:szCs w:val="20"/>
          <w:lang w:eastAsia="hr-HR"/>
        </w:rPr>
        <w:t xml:space="preserve"> milijuna kuna po zaposlenom.</w:t>
      </w:r>
      <w:r w:rsidR="00BA5704">
        <w:rPr>
          <w:rFonts w:ascii="Arial" w:eastAsia="Times New Roman" w:hAnsi="Arial"/>
          <w:bCs/>
          <w:color w:val="244061"/>
          <w:sz w:val="20"/>
          <w:szCs w:val="20"/>
          <w:lang w:eastAsia="hr-HR"/>
        </w:rPr>
        <w:t xml:space="preserve"> Slijede poduzetnici grada Viškovo s 580 milijuna kuna te poduzetnici grada Rijeke s 565 milijuna kuna</w:t>
      </w:r>
      <w:r w:rsidR="00C343B3">
        <w:rPr>
          <w:rFonts w:ascii="Arial" w:eastAsia="Times New Roman" w:hAnsi="Arial"/>
          <w:bCs/>
          <w:color w:val="244061"/>
          <w:sz w:val="20"/>
          <w:szCs w:val="20"/>
          <w:lang w:eastAsia="hr-HR"/>
        </w:rPr>
        <w:t xml:space="preserve"> po zaposlenom</w:t>
      </w:r>
      <w:r w:rsidR="00BA5704">
        <w:rPr>
          <w:rFonts w:ascii="Arial" w:eastAsia="Times New Roman" w:hAnsi="Arial"/>
          <w:bCs/>
          <w:color w:val="244061"/>
          <w:sz w:val="20"/>
          <w:szCs w:val="20"/>
          <w:lang w:eastAsia="hr-HR"/>
        </w:rPr>
        <w:t>.</w:t>
      </w:r>
      <w:r w:rsidR="00D755C7">
        <w:rPr>
          <w:rFonts w:ascii="Arial" w:eastAsia="Times New Roman" w:hAnsi="Arial"/>
          <w:bCs/>
          <w:color w:val="244061"/>
          <w:sz w:val="20"/>
          <w:szCs w:val="20"/>
          <w:lang w:eastAsia="hr-HR"/>
        </w:rPr>
        <w:t xml:space="preserve"> </w:t>
      </w:r>
      <w:r w:rsidR="004F7B3C" w:rsidRPr="004F7B3C">
        <w:rPr>
          <w:rFonts w:ascii="Arial" w:eastAsia="Times New Roman" w:hAnsi="Arial"/>
          <w:bCs/>
          <w:color w:val="244061"/>
          <w:sz w:val="20"/>
          <w:szCs w:val="20"/>
          <w:lang w:eastAsia="hr-HR"/>
        </w:rPr>
        <w:t>Za usporedbu, produktivnost poduzetnika na razini RH u 2014. godini iznosila je 745 tisuća kuna.</w:t>
      </w:r>
    </w:p>
    <w:p w:rsidR="00E1622B" w:rsidRPr="002C4E15" w:rsidRDefault="00E1622B" w:rsidP="00D755C7">
      <w:pPr>
        <w:pageBreakBefore/>
        <w:tabs>
          <w:tab w:val="left" w:pos="1134"/>
        </w:tabs>
        <w:spacing w:before="120" w:after="0"/>
        <w:jc w:val="both"/>
        <w:rPr>
          <w:rFonts w:ascii="Arial" w:eastAsia="Times New Roman" w:hAnsi="Arial" w:cs="Arial"/>
          <w:color w:val="244061" w:themeColor="accent1" w:themeShade="80"/>
          <w:sz w:val="18"/>
          <w:szCs w:val="18"/>
          <w:lang w:eastAsia="hr-HR"/>
        </w:rPr>
      </w:pPr>
      <w:r w:rsidRPr="002C4E15">
        <w:rPr>
          <w:rFonts w:ascii="Arial" w:eastAsia="Times New Roman" w:hAnsi="Arial" w:cs="Arial"/>
          <w:b/>
          <w:color w:val="244061" w:themeColor="accent1" w:themeShade="80"/>
          <w:sz w:val="18"/>
          <w:szCs w:val="18"/>
          <w:lang w:eastAsia="hr-HR"/>
        </w:rPr>
        <w:lastRenderedPageBreak/>
        <w:t xml:space="preserve">Grafikon </w:t>
      </w:r>
      <w:r w:rsidR="00AD359B">
        <w:rPr>
          <w:rFonts w:ascii="Arial" w:eastAsia="Times New Roman" w:hAnsi="Arial" w:cs="Arial"/>
          <w:b/>
          <w:color w:val="244061" w:themeColor="accent1" w:themeShade="80"/>
          <w:sz w:val="18"/>
          <w:szCs w:val="18"/>
          <w:lang w:eastAsia="hr-HR"/>
        </w:rPr>
        <w:t>2</w:t>
      </w:r>
      <w:r w:rsidRPr="002C4E15">
        <w:rPr>
          <w:rFonts w:ascii="Arial" w:eastAsia="Times New Roman" w:hAnsi="Arial" w:cs="Arial"/>
          <w:b/>
          <w:color w:val="244061" w:themeColor="accent1" w:themeShade="80"/>
          <w:sz w:val="18"/>
          <w:szCs w:val="18"/>
          <w:lang w:eastAsia="hr-HR"/>
        </w:rPr>
        <w:t xml:space="preserve">. </w:t>
      </w:r>
      <w:r w:rsidRPr="002C4E15">
        <w:rPr>
          <w:rFonts w:ascii="Arial" w:eastAsia="Times New Roman" w:hAnsi="Arial" w:cs="Arial"/>
          <w:b/>
          <w:color w:val="244061" w:themeColor="accent1" w:themeShade="80"/>
          <w:sz w:val="18"/>
          <w:szCs w:val="18"/>
          <w:lang w:eastAsia="hr-HR"/>
        </w:rPr>
        <w:tab/>
      </w:r>
      <w:r w:rsidRPr="002C4E15">
        <w:rPr>
          <w:rFonts w:ascii="Arial" w:eastAsia="Times New Roman" w:hAnsi="Arial" w:cs="Arial"/>
          <w:color w:val="244061" w:themeColor="accent1" w:themeShade="80"/>
          <w:sz w:val="18"/>
          <w:szCs w:val="18"/>
          <w:lang w:eastAsia="hr-HR"/>
        </w:rPr>
        <w:t>Prihod po zaposlenom u 2014. godini na razini gradova/općina Urbane aglomeracije Rijeka</w:t>
      </w:r>
    </w:p>
    <w:p w:rsidR="00E1622B" w:rsidRPr="00C343B3" w:rsidRDefault="00E1622B" w:rsidP="00D755C7">
      <w:pPr>
        <w:tabs>
          <w:tab w:val="left" w:pos="1134"/>
        </w:tabs>
        <w:spacing w:after="0"/>
        <w:jc w:val="right"/>
        <w:rPr>
          <w:rFonts w:ascii="Arial" w:eastAsia="Times New Roman" w:hAnsi="Arial" w:cs="Arial"/>
          <w:i/>
          <w:color w:val="17365D"/>
          <w:sz w:val="16"/>
          <w:szCs w:val="16"/>
          <w:lang w:eastAsia="hr-HR"/>
        </w:rPr>
      </w:pPr>
      <w:r w:rsidRPr="002C4E15">
        <w:rPr>
          <w:rFonts w:ascii="Arial" w:eastAsia="Times New Roman" w:hAnsi="Arial" w:cs="Arial"/>
          <w:color w:val="244061" w:themeColor="accent1" w:themeShade="80"/>
          <w:sz w:val="18"/>
          <w:szCs w:val="18"/>
          <w:lang w:eastAsia="hr-HR"/>
        </w:rPr>
        <w:tab/>
      </w:r>
      <w:r w:rsidRPr="00C343B3">
        <w:rPr>
          <w:rFonts w:ascii="Arial" w:eastAsia="Times New Roman" w:hAnsi="Arial" w:cs="Arial"/>
          <w:i/>
          <w:color w:val="244061" w:themeColor="accent1" w:themeShade="80"/>
          <w:sz w:val="16"/>
          <w:szCs w:val="16"/>
          <w:lang w:eastAsia="hr-HR"/>
        </w:rPr>
        <w:t xml:space="preserve">(iznosi u tisućama </w:t>
      </w:r>
      <w:r w:rsidRPr="00C343B3">
        <w:rPr>
          <w:rFonts w:ascii="Arial" w:eastAsia="Times New Roman" w:hAnsi="Arial" w:cs="Arial"/>
          <w:i/>
          <w:color w:val="17365D"/>
          <w:sz w:val="16"/>
          <w:szCs w:val="16"/>
          <w:lang w:eastAsia="hr-HR"/>
        </w:rPr>
        <w:t>kuna)</w:t>
      </w:r>
    </w:p>
    <w:p w:rsidR="00E1622B" w:rsidRDefault="00A564B1" w:rsidP="00D755C7">
      <w:pPr>
        <w:spacing w:before="60" w:after="0"/>
        <w:rPr>
          <w:rFonts w:ascii="Arial" w:eastAsia="Times New Roman" w:hAnsi="Arial" w:cs="Arial"/>
          <w:color w:val="17365D"/>
          <w:sz w:val="18"/>
          <w:szCs w:val="18"/>
          <w:lang w:eastAsia="hr-HR"/>
        </w:rPr>
      </w:pPr>
      <w:r>
        <w:rPr>
          <w:rFonts w:ascii="Arial" w:eastAsia="Times New Roman" w:hAnsi="Arial" w:cs="Arial"/>
          <w:noProof/>
          <w:color w:val="17365D"/>
          <w:sz w:val="18"/>
          <w:szCs w:val="18"/>
          <w:lang w:eastAsia="hr-HR"/>
        </w:rPr>
        <w:drawing>
          <wp:inline distT="0" distB="0" distL="0" distR="0" wp14:anchorId="504F34C2" wp14:editId="09A7C9E1">
            <wp:extent cx="5976000" cy="2592000"/>
            <wp:effectExtent l="0" t="0" r="5715" b="0"/>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000" cy="2592000"/>
                    </a:xfrm>
                    <a:prstGeom prst="rect">
                      <a:avLst/>
                    </a:prstGeom>
                    <a:noFill/>
                  </pic:spPr>
                </pic:pic>
              </a:graphicData>
            </a:graphic>
          </wp:inline>
        </w:drawing>
      </w:r>
    </w:p>
    <w:p w:rsidR="00E1622B" w:rsidRPr="003C116E" w:rsidRDefault="00E1622B" w:rsidP="00D755C7">
      <w:pPr>
        <w:spacing w:before="60" w:after="0"/>
        <w:ind w:left="992" w:hanging="992"/>
        <w:rPr>
          <w:rFonts w:ascii="Arial" w:eastAsia="Calibri" w:hAnsi="Arial" w:cs="Arial"/>
          <w:b/>
          <w:color w:val="244061" w:themeColor="accent1" w:themeShade="80"/>
          <w:sz w:val="17"/>
          <w:szCs w:val="17"/>
        </w:rPr>
      </w:pPr>
      <w:r w:rsidRPr="003C116E">
        <w:rPr>
          <w:rFonts w:ascii="Arial" w:eastAsia="Times New Roman" w:hAnsi="Arial" w:cs="Times New Roman"/>
          <w:bCs/>
          <w:i/>
          <w:color w:val="244061" w:themeColor="accent1" w:themeShade="80"/>
          <w:sz w:val="17"/>
          <w:szCs w:val="17"/>
          <w:lang w:eastAsia="hr-HR"/>
        </w:rPr>
        <w:t>Izvor: Fina, Registar godišnjih financijskih izvještaja</w:t>
      </w:r>
      <w:r w:rsidRPr="003C116E">
        <w:rPr>
          <w:rFonts w:ascii="Arial" w:eastAsia="Calibri" w:hAnsi="Arial" w:cs="Arial"/>
          <w:b/>
          <w:color w:val="244061" w:themeColor="accent1" w:themeShade="80"/>
          <w:sz w:val="17"/>
          <w:szCs w:val="17"/>
        </w:rPr>
        <w:t xml:space="preserve"> </w:t>
      </w:r>
    </w:p>
    <w:p w:rsidR="007F341C" w:rsidRDefault="00765899" w:rsidP="00D755C7">
      <w:pPr>
        <w:widowControl w:val="0"/>
        <w:spacing w:before="180" w:after="0"/>
        <w:jc w:val="both"/>
        <w:rPr>
          <w:rFonts w:ascii="Arial" w:eastAsia="Times New Roman" w:hAnsi="Arial"/>
          <w:bCs/>
          <w:color w:val="244061"/>
          <w:sz w:val="20"/>
          <w:szCs w:val="20"/>
          <w:lang w:eastAsia="hr-HR"/>
        </w:rPr>
      </w:pPr>
      <w:r w:rsidRPr="007F341C">
        <w:rPr>
          <w:rFonts w:ascii="Arial" w:eastAsia="Times New Roman" w:hAnsi="Arial"/>
          <w:bCs/>
          <w:color w:val="244061"/>
          <w:sz w:val="20"/>
          <w:szCs w:val="20"/>
          <w:lang w:eastAsia="hr-HR"/>
        </w:rPr>
        <w:t xml:space="preserve">Prosječna mjesečna neto plaća obračunata kod poduzetnika </w:t>
      </w:r>
      <w:r w:rsidR="00F56A6D" w:rsidRPr="007F341C">
        <w:rPr>
          <w:rFonts w:ascii="Arial" w:eastAsia="Times New Roman" w:hAnsi="Arial"/>
          <w:bCs/>
          <w:color w:val="244061"/>
          <w:sz w:val="20"/>
          <w:szCs w:val="20"/>
          <w:lang w:eastAsia="hr-HR"/>
        </w:rPr>
        <w:t xml:space="preserve">Urbane aglomeracije Rijeke </w:t>
      </w:r>
      <w:r w:rsidRPr="007F341C">
        <w:rPr>
          <w:rFonts w:ascii="Arial" w:eastAsia="Times New Roman" w:hAnsi="Arial"/>
          <w:bCs/>
          <w:color w:val="244061"/>
          <w:sz w:val="20"/>
          <w:szCs w:val="20"/>
          <w:lang w:eastAsia="hr-HR"/>
        </w:rPr>
        <w:t>u 2014. godini iznosila je 4.</w:t>
      </w:r>
      <w:r w:rsidR="00F56A6D" w:rsidRPr="007F341C">
        <w:rPr>
          <w:rFonts w:ascii="Arial" w:eastAsia="Times New Roman" w:hAnsi="Arial"/>
          <w:bCs/>
          <w:color w:val="244061"/>
          <w:sz w:val="20"/>
          <w:szCs w:val="20"/>
          <w:lang w:eastAsia="hr-HR"/>
        </w:rPr>
        <w:t>663</w:t>
      </w:r>
      <w:r w:rsidRPr="007F341C">
        <w:rPr>
          <w:rFonts w:ascii="Arial" w:eastAsia="Times New Roman" w:hAnsi="Arial"/>
          <w:bCs/>
          <w:color w:val="244061"/>
          <w:sz w:val="20"/>
          <w:szCs w:val="20"/>
          <w:lang w:eastAsia="hr-HR"/>
        </w:rPr>
        <w:t xml:space="preserve"> kuna, odnosno </w:t>
      </w:r>
      <w:r w:rsidR="00F56A6D" w:rsidRPr="007F341C">
        <w:rPr>
          <w:rFonts w:ascii="Arial" w:eastAsia="Times New Roman" w:hAnsi="Arial"/>
          <w:bCs/>
          <w:color w:val="244061"/>
          <w:sz w:val="20"/>
          <w:szCs w:val="20"/>
          <w:lang w:eastAsia="hr-HR"/>
        </w:rPr>
        <w:t>0</w:t>
      </w:r>
      <w:r w:rsidRPr="007F341C">
        <w:rPr>
          <w:rFonts w:ascii="Arial" w:eastAsia="Times New Roman" w:hAnsi="Arial"/>
          <w:bCs/>
          <w:color w:val="244061"/>
          <w:sz w:val="20"/>
          <w:szCs w:val="20"/>
          <w:lang w:eastAsia="hr-HR"/>
        </w:rPr>
        <w:t xml:space="preserve">,2% više u odnosu na prethodnu godinu te </w:t>
      </w:r>
      <w:r w:rsidR="00F56A6D" w:rsidRPr="007F341C">
        <w:rPr>
          <w:rFonts w:ascii="Arial" w:eastAsia="Times New Roman" w:hAnsi="Arial"/>
          <w:bCs/>
          <w:color w:val="244061"/>
          <w:sz w:val="20"/>
          <w:szCs w:val="20"/>
          <w:lang w:eastAsia="hr-HR"/>
        </w:rPr>
        <w:t>0,4</w:t>
      </w:r>
      <w:r w:rsidRPr="007F341C">
        <w:rPr>
          <w:rFonts w:ascii="Arial" w:eastAsia="Times New Roman" w:hAnsi="Arial"/>
          <w:bCs/>
          <w:color w:val="244061"/>
          <w:sz w:val="20"/>
          <w:szCs w:val="20"/>
          <w:lang w:eastAsia="hr-HR"/>
        </w:rPr>
        <w:t xml:space="preserve">% </w:t>
      </w:r>
      <w:r w:rsidR="00F56A6D" w:rsidRPr="007F341C">
        <w:rPr>
          <w:rFonts w:ascii="Arial" w:eastAsia="Times New Roman" w:hAnsi="Arial"/>
          <w:bCs/>
          <w:color w:val="244061"/>
          <w:sz w:val="20"/>
          <w:szCs w:val="20"/>
          <w:lang w:eastAsia="hr-HR"/>
        </w:rPr>
        <w:t>više</w:t>
      </w:r>
      <w:r w:rsidRPr="007F341C">
        <w:rPr>
          <w:rFonts w:ascii="Arial" w:eastAsia="Times New Roman" w:hAnsi="Arial"/>
          <w:bCs/>
          <w:color w:val="244061"/>
          <w:sz w:val="20"/>
          <w:szCs w:val="20"/>
          <w:lang w:eastAsia="hr-HR"/>
        </w:rPr>
        <w:t xml:space="preserve"> od iznosa prosječne mjesečne neto plaće zaposlenih kod poduzetnika </w:t>
      </w:r>
      <w:r w:rsidR="00F56A6D" w:rsidRPr="007F341C">
        <w:rPr>
          <w:rFonts w:ascii="Arial" w:eastAsia="Times New Roman" w:hAnsi="Arial"/>
          <w:bCs/>
          <w:color w:val="244061"/>
          <w:sz w:val="20"/>
          <w:szCs w:val="20"/>
          <w:lang w:eastAsia="hr-HR"/>
        </w:rPr>
        <w:t>u Primorsko-goranskoj županiji</w:t>
      </w:r>
      <w:r w:rsidRPr="007F341C">
        <w:rPr>
          <w:rFonts w:ascii="Arial" w:eastAsia="Times New Roman" w:hAnsi="Arial"/>
          <w:bCs/>
          <w:color w:val="244061"/>
          <w:sz w:val="20"/>
          <w:szCs w:val="20"/>
          <w:lang w:eastAsia="hr-HR"/>
        </w:rPr>
        <w:t xml:space="preserve"> (4.</w:t>
      </w:r>
      <w:r w:rsidR="00F56A6D" w:rsidRPr="007F341C">
        <w:rPr>
          <w:rFonts w:ascii="Arial" w:eastAsia="Times New Roman" w:hAnsi="Arial"/>
          <w:bCs/>
          <w:color w:val="244061"/>
          <w:sz w:val="20"/>
          <w:szCs w:val="20"/>
          <w:lang w:eastAsia="hr-HR"/>
        </w:rPr>
        <w:t>646</w:t>
      </w:r>
      <w:r w:rsidRPr="007F341C">
        <w:rPr>
          <w:rFonts w:ascii="Arial" w:eastAsia="Times New Roman" w:hAnsi="Arial"/>
          <w:bCs/>
          <w:color w:val="244061"/>
          <w:sz w:val="20"/>
          <w:szCs w:val="20"/>
          <w:lang w:eastAsia="hr-HR"/>
        </w:rPr>
        <w:t xml:space="preserve"> kuna). Najveća prosječna mjesečna neto plaća obračunata je kod poduzetnika u gradu </w:t>
      </w:r>
      <w:r w:rsidR="00F56A6D" w:rsidRPr="007F341C">
        <w:rPr>
          <w:rFonts w:ascii="Arial" w:eastAsia="Times New Roman" w:hAnsi="Arial"/>
          <w:bCs/>
          <w:color w:val="244061"/>
          <w:sz w:val="20"/>
          <w:szCs w:val="20"/>
          <w:lang w:eastAsia="hr-HR"/>
        </w:rPr>
        <w:t>Opatiji</w:t>
      </w:r>
      <w:r w:rsidRPr="007F341C">
        <w:rPr>
          <w:rFonts w:ascii="Arial" w:eastAsia="Times New Roman" w:hAnsi="Arial"/>
          <w:bCs/>
          <w:color w:val="244061"/>
          <w:sz w:val="20"/>
          <w:szCs w:val="20"/>
          <w:lang w:eastAsia="hr-HR"/>
        </w:rPr>
        <w:t xml:space="preserve"> (</w:t>
      </w:r>
      <w:r w:rsidR="004D07C8" w:rsidRPr="007F341C">
        <w:rPr>
          <w:rFonts w:ascii="Arial" w:eastAsia="Times New Roman" w:hAnsi="Arial"/>
          <w:bCs/>
          <w:color w:val="244061"/>
          <w:sz w:val="20"/>
          <w:szCs w:val="20"/>
          <w:lang w:eastAsia="hr-HR"/>
        </w:rPr>
        <w:t xml:space="preserve">4.998 </w:t>
      </w:r>
      <w:r w:rsidRPr="007F341C">
        <w:rPr>
          <w:rFonts w:ascii="Arial" w:eastAsia="Times New Roman" w:hAnsi="Arial"/>
          <w:bCs/>
          <w:color w:val="244061"/>
          <w:sz w:val="20"/>
          <w:szCs w:val="20"/>
          <w:lang w:eastAsia="hr-HR"/>
        </w:rPr>
        <w:t xml:space="preserve">kuna), a slijede poduzetnici u </w:t>
      </w:r>
      <w:r w:rsidR="00F56A6D" w:rsidRPr="007F341C">
        <w:rPr>
          <w:rFonts w:ascii="Arial" w:eastAsia="Times New Roman" w:hAnsi="Arial"/>
          <w:bCs/>
          <w:color w:val="244061"/>
          <w:sz w:val="20"/>
          <w:szCs w:val="20"/>
          <w:lang w:eastAsia="hr-HR"/>
        </w:rPr>
        <w:t>gradovima Rijeci</w:t>
      </w:r>
      <w:r w:rsidRPr="007F341C">
        <w:rPr>
          <w:rFonts w:ascii="Arial" w:eastAsia="Times New Roman" w:hAnsi="Arial"/>
          <w:bCs/>
          <w:color w:val="244061"/>
          <w:sz w:val="20"/>
          <w:szCs w:val="20"/>
          <w:lang w:eastAsia="hr-HR"/>
        </w:rPr>
        <w:t xml:space="preserve"> (</w:t>
      </w:r>
      <w:r w:rsidR="004D07C8" w:rsidRPr="007F341C">
        <w:rPr>
          <w:rFonts w:ascii="Arial" w:eastAsia="Times New Roman" w:hAnsi="Arial"/>
          <w:bCs/>
          <w:color w:val="244061"/>
          <w:sz w:val="20"/>
          <w:szCs w:val="20"/>
          <w:lang w:eastAsia="hr-HR"/>
        </w:rPr>
        <w:t xml:space="preserve">4.776 </w:t>
      </w:r>
      <w:r w:rsidRPr="007F341C">
        <w:rPr>
          <w:rFonts w:ascii="Arial" w:eastAsia="Times New Roman" w:hAnsi="Arial"/>
          <w:bCs/>
          <w:color w:val="244061"/>
          <w:sz w:val="20"/>
          <w:szCs w:val="20"/>
          <w:lang w:eastAsia="hr-HR"/>
        </w:rPr>
        <w:t xml:space="preserve">kuna), </w:t>
      </w:r>
      <w:r w:rsidR="00F56A6D" w:rsidRPr="007F341C">
        <w:rPr>
          <w:rFonts w:ascii="Arial" w:eastAsia="Times New Roman" w:hAnsi="Arial"/>
          <w:bCs/>
          <w:color w:val="244061"/>
          <w:sz w:val="20"/>
          <w:szCs w:val="20"/>
          <w:lang w:eastAsia="hr-HR"/>
        </w:rPr>
        <w:t>Kostreni</w:t>
      </w:r>
      <w:r w:rsidRPr="007F341C">
        <w:rPr>
          <w:rFonts w:ascii="Arial" w:eastAsia="Times New Roman" w:hAnsi="Arial"/>
          <w:bCs/>
          <w:color w:val="244061"/>
          <w:sz w:val="20"/>
          <w:szCs w:val="20"/>
          <w:lang w:eastAsia="hr-HR"/>
        </w:rPr>
        <w:t xml:space="preserve"> (</w:t>
      </w:r>
      <w:r w:rsidR="004D07C8" w:rsidRPr="007F341C">
        <w:rPr>
          <w:rFonts w:ascii="Arial" w:eastAsia="Times New Roman" w:hAnsi="Arial"/>
          <w:bCs/>
          <w:color w:val="244061"/>
          <w:sz w:val="20"/>
          <w:szCs w:val="20"/>
          <w:lang w:eastAsia="hr-HR"/>
        </w:rPr>
        <w:t xml:space="preserve">4.356 </w:t>
      </w:r>
      <w:r w:rsidRPr="007F341C">
        <w:rPr>
          <w:rFonts w:ascii="Arial" w:eastAsia="Times New Roman" w:hAnsi="Arial"/>
          <w:bCs/>
          <w:color w:val="244061"/>
          <w:sz w:val="20"/>
          <w:szCs w:val="20"/>
          <w:lang w:eastAsia="hr-HR"/>
        </w:rPr>
        <w:t xml:space="preserve">kuna), </w:t>
      </w:r>
      <w:r w:rsidR="00F56A6D" w:rsidRPr="007F341C">
        <w:rPr>
          <w:rFonts w:ascii="Arial" w:eastAsia="Times New Roman" w:hAnsi="Arial"/>
          <w:bCs/>
          <w:color w:val="244061"/>
          <w:sz w:val="20"/>
          <w:szCs w:val="20"/>
          <w:lang w:eastAsia="hr-HR"/>
        </w:rPr>
        <w:t>Kraljevici</w:t>
      </w:r>
      <w:r w:rsidRPr="007F341C">
        <w:rPr>
          <w:rFonts w:ascii="Arial" w:eastAsia="Times New Roman" w:hAnsi="Arial"/>
          <w:bCs/>
          <w:color w:val="244061"/>
          <w:sz w:val="20"/>
          <w:szCs w:val="20"/>
          <w:lang w:eastAsia="hr-HR"/>
        </w:rPr>
        <w:t xml:space="preserve"> (</w:t>
      </w:r>
      <w:r w:rsidR="004D07C8" w:rsidRPr="007F341C">
        <w:rPr>
          <w:rFonts w:ascii="Arial" w:eastAsia="Times New Roman" w:hAnsi="Arial"/>
          <w:bCs/>
          <w:color w:val="244061"/>
          <w:sz w:val="20"/>
          <w:szCs w:val="20"/>
          <w:lang w:eastAsia="hr-HR"/>
        </w:rPr>
        <w:t xml:space="preserve">4.220 </w:t>
      </w:r>
      <w:r w:rsidRPr="007F341C">
        <w:rPr>
          <w:rFonts w:ascii="Arial" w:eastAsia="Times New Roman" w:hAnsi="Arial"/>
          <w:bCs/>
          <w:color w:val="244061"/>
          <w:sz w:val="20"/>
          <w:szCs w:val="20"/>
          <w:lang w:eastAsia="hr-HR"/>
        </w:rPr>
        <w:t xml:space="preserve">kuna) </w:t>
      </w:r>
      <w:r w:rsidR="00F56A6D" w:rsidRPr="007F341C">
        <w:rPr>
          <w:rFonts w:ascii="Arial" w:eastAsia="Times New Roman" w:hAnsi="Arial"/>
          <w:bCs/>
          <w:color w:val="244061"/>
          <w:sz w:val="20"/>
          <w:szCs w:val="20"/>
          <w:lang w:eastAsia="hr-HR"/>
        </w:rPr>
        <w:t>i Kastv</w:t>
      </w:r>
      <w:r w:rsidR="004D07C8" w:rsidRPr="007F341C">
        <w:rPr>
          <w:rFonts w:ascii="Arial" w:eastAsia="Times New Roman" w:hAnsi="Arial"/>
          <w:bCs/>
          <w:color w:val="244061"/>
          <w:sz w:val="20"/>
          <w:szCs w:val="20"/>
          <w:lang w:eastAsia="hr-HR"/>
        </w:rPr>
        <w:t>u</w:t>
      </w:r>
      <w:r w:rsidRPr="007F341C">
        <w:rPr>
          <w:rFonts w:ascii="Arial" w:eastAsia="Times New Roman" w:hAnsi="Arial"/>
          <w:bCs/>
          <w:color w:val="244061"/>
          <w:sz w:val="20"/>
          <w:szCs w:val="20"/>
          <w:lang w:eastAsia="hr-HR"/>
        </w:rPr>
        <w:t xml:space="preserve"> (</w:t>
      </w:r>
      <w:r w:rsidR="004D07C8" w:rsidRPr="007F341C">
        <w:rPr>
          <w:rFonts w:ascii="Arial" w:eastAsia="Times New Roman" w:hAnsi="Arial"/>
          <w:bCs/>
          <w:color w:val="244061"/>
          <w:sz w:val="20"/>
          <w:szCs w:val="20"/>
          <w:lang w:eastAsia="hr-HR"/>
        </w:rPr>
        <w:t xml:space="preserve">4.196 </w:t>
      </w:r>
      <w:r w:rsidRPr="007F341C">
        <w:rPr>
          <w:rFonts w:ascii="Arial" w:eastAsia="Times New Roman" w:hAnsi="Arial"/>
          <w:bCs/>
          <w:color w:val="244061"/>
          <w:sz w:val="20"/>
          <w:szCs w:val="20"/>
          <w:lang w:eastAsia="hr-HR"/>
        </w:rPr>
        <w:t>kuna).</w:t>
      </w:r>
    </w:p>
    <w:p w:rsidR="007F341C" w:rsidRDefault="004F7B3C" w:rsidP="00D755C7">
      <w:pPr>
        <w:widowControl w:val="0"/>
        <w:spacing w:before="120" w:after="0"/>
        <w:jc w:val="both"/>
        <w:rPr>
          <w:rFonts w:ascii="Arial" w:eastAsia="Times New Roman" w:hAnsi="Arial"/>
          <w:bCs/>
          <w:color w:val="244061"/>
          <w:sz w:val="20"/>
          <w:szCs w:val="20"/>
          <w:lang w:eastAsia="hr-HR"/>
        </w:rPr>
      </w:pPr>
      <w:r>
        <w:rPr>
          <w:rFonts w:ascii="Arial" w:eastAsia="Times New Roman" w:hAnsi="Arial"/>
          <w:bCs/>
          <w:color w:val="244061"/>
          <w:sz w:val="20"/>
          <w:szCs w:val="20"/>
          <w:lang w:eastAsia="hr-HR"/>
        </w:rPr>
        <w:t>Za usporedbu, prosječna mjesečna obračunana neto plaća zaposlenih kod poduzetnika na razini RH u 2014. godini je iznosila 4.878 kuna, a samo su poduzetnici u gradu Opatiji iznad toga prosjeka, za 2,5%, dok su poduzetnici u gradu Rijeci zaposlenima obračunali nižu plaću od prosjeka na razini RH i to za 2,1%. Najniža mjesečna prosječna neto plaća obračunana je zaposlenima kod poduzetnika u općini Mošćenička Draga (</w:t>
      </w:r>
      <w:r w:rsidR="005517C3">
        <w:rPr>
          <w:rFonts w:ascii="Arial" w:eastAsia="Times New Roman" w:hAnsi="Arial"/>
          <w:bCs/>
          <w:color w:val="244061"/>
          <w:sz w:val="20"/>
          <w:szCs w:val="20"/>
          <w:lang w:eastAsia="hr-HR"/>
        </w:rPr>
        <w:t>3.426</w:t>
      </w:r>
      <w:r>
        <w:rPr>
          <w:rFonts w:ascii="Arial" w:eastAsia="Times New Roman" w:hAnsi="Arial"/>
          <w:bCs/>
          <w:color w:val="244061"/>
          <w:sz w:val="20"/>
          <w:szCs w:val="20"/>
          <w:lang w:eastAsia="hr-HR"/>
        </w:rPr>
        <w:t xml:space="preserve"> kuna).</w:t>
      </w:r>
    </w:p>
    <w:p w:rsidR="00E1622B" w:rsidRPr="00E1622B" w:rsidRDefault="00E1622B" w:rsidP="00D755C7">
      <w:pPr>
        <w:widowControl w:val="0"/>
        <w:tabs>
          <w:tab w:val="left" w:pos="1134"/>
          <w:tab w:val="left" w:pos="7938"/>
        </w:tabs>
        <w:spacing w:before="180" w:after="0"/>
        <w:ind w:left="1134" w:hanging="1134"/>
        <w:rPr>
          <w:rFonts w:ascii="Arial" w:eastAsia="Times New Roman" w:hAnsi="Arial" w:cs="Arial"/>
          <w:i/>
          <w:color w:val="17365D"/>
          <w:sz w:val="16"/>
          <w:szCs w:val="16"/>
          <w:lang w:eastAsia="hr-HR"/>
        </w:rPr>
      </w:pPr>
      <w:r w:rsidRPr="003C116E">
        <w:rPr>
          <w:rFonts w:ascii="Arial" w:eastAsia="Times New Roman" w:hAnsi="Arial" w:cs="Arial"/>
          <w:b/>
          <w:color w:val="244061" w:themeColor="accent1" w:themeShade="80"/>
          <w:sz w:val="19"/>
          <w:szCs w:val="19"/>
          <w:lang w:eastAsia="hr-HR"/>
        </w:rPr>
        <w:t xml:space="preserve">Grafikon </w:t>
      </w:r>
      <w:r w:rsidR="00AD359B">
        <w:rPr>
          <w:rFonts w:ascii="Arial" w:eastAsia="Times New Roman" w:hAnsi="Arial" w:cs="Arial"/>
          <w:b/>
          <w:color w:val="244061" w:themeColor="accent1" w:themeShade="80"/>
          <w:sz w:val="19"/>
          <w:szCs w:val="19"/>
          <w:lang w:eastAsia="hr-HR"/>
        </w:rPr>
        <w:t>3</w:t>
      </w:r>
      <w:r w:rsidRPr="003C116E">
        <w:rPr>
          <w:rFonts w:ascii="Arial" w:eastAsia="Times New Roman" w:hAnsi="Arial" w:cs="Arial"/>
          <w:b/>
          <w:color w:val="244061" w:themeColor="accent1" w:themeShade="80"/>
          <w:sz w:val="19"/>
          <w:szCs w:val="19"/>
          <w:lang w:eastAsia="hr-HR"/>
        </w:rPr>
        <w:t>.</w:t>
      </w:r>
      <w:r w:rsidRPr="003C116E">
        <w:rPr>
          <w:rFonts w:ascii="Arial" w:eastAsia="Times New Roman" w:hAnsi="Arial" w:cs="Arial"/>
          <w:b/>
          <w:color w:val="244061" w:themeColor="accent1" w:themeShade="80"/>
          <w:sz w:val="19"/>
          <w:szCs w:val="19"/>
          <w:lang w:eastAsia="hr-HR"/>
        </w:rPr>
        <w:tab/>
      </w:r>
      <w:r w:rsidRPr="003C116E">
        <w:rPr>
          <w:rFonts w:ascii="Arial" w:eastAsia="Times New Roman" w:hAnsi="Arial" w:cs="Arial"/>
          <w:color w:val="244061" w:themeColor="accent1" w:themeShade="80"/>
          <w:sz w:val="19"/>
          <w:szCs w:val="19"/>
          <w:lang w:eastAsia="hr-HR"/>
        </w:rPr>
        <w:t>Prosječna mjesečna neto plaća po zaposlenom u 2014. g</w:t>
      </w:r>
      <w:r w:rsidR="00D755C7">
        <w:rPr>
          <w:rFonts w:ascii="Arial" w:eastAsia="Times New Roman" w:hAnsi="Arial" w:cs="Arial"/>
          <w:color w:val="244061" w:themeColor="accent1" w:themeShade="80"/>
          <w:sz w:val="19"/>
          <w:szCs w:val="19"/>
          <w:lang w:eastAsia="hr-HR"/>
        </w:rPr>
        <w:t>odini</w:t>
      </w:r>
      <w:r w:rsidRPr="003C116E">
        <w:rPr>
          <w:rFonts w:ascii="Arial" w:eastAsia="Times New Roman" w:hAnsi="Arial" w:cs="Arial"/>
          <w:color w:val="244061" w:themeColor="accent1" w:themeShade="80"/>
          <w:sz w:val="19"/>
          <w:szCs w:val="19"/>
          <w:lang w:eastAsia="hr-HR"/>
        </w:rPr>
        <w:t xml:space="preserve"> po gradovima</w:t>
      </w:r>
      <w:r w:rsidR="00D755C7">
        <w:rPr>
          <w:rFonts w:ascii="Arial" w:eastAsia="Times New Roman" w:hAnsi="Arial" w:cs="Arial"/>
          <w:color w:val="244061" w:themeColor="accent1" w:themeShade="80"/>
          <w:sz w:val="19"/>
          <w:szCs w:val="19"/>
          <w:lang w:eastAsia="hr-HR"/>
        </w:rPr>
        <w:t>/</w:t>
      </w:r>
      <w:r w:rsidRPr="003C116E">
        <w:rPr>
          <w:rFonts w:ascii="Arial" w:eastAsia="Times New Roman" w:hAnsi="Arial" w:cs="Arial"/>
          <w:color w:val="244061" w:themeColor="accent1" w:themeShade="80"/>
          <w:sz w:val="19"/>
          <w:szCs w:val="19"/>
          <w:lang w:eastAsia="hr-HR"/>
        </w:rPr>
        <w:t xml:space="preserve">općinama Urbane aglomeracije Rijeka </w:t>
      </w:r>
      <w:r>
        <w:rPr>
          <w:rFonts w:ascii="Arial" w:eastAsia="Times New Roman" w:hAnsi="Arial" w:cs="Arial"/>
          <w:color w:val="17365D"/>
          <w:sz w:val="19"/>
          <w:szCs w:val="19"/>
          <w:lang w:eastAsia="hr-HR"/>
        </w:rPr>
        <w:tab/>
      </w:r>
      <w:r w:rsidRPr="00E1622B">
        <w:rPr>
          <w:rFonts w:ascii="Arial" w:eastAsia="Times New Roman" w:hAnsi="Arial" w:cs="Arial"/>
          <w:i/>
          <w:color w:val="17365D"/>
          <w:sz w:val="16"/>
          <w:szCs w:val="16"/>
          <w:lang w:eastAsia="hr-HR"/>
        </w:rPr>
        <w:t>(iznosi u tisućama kn)</w:t>
      </w:r>
    </w:p>
    <w:p w:rsidR="00D755C7" w:rsidRDefault="00DD6AA5" w:rsidP="00D755C7">
      <w:pPr>
        <w:widowControl w:val="0"/>
        <w:spacing w:before="60" w:after="0"/>
        <w:rPr>
          <w:rFonts w:ascii="Arial" w:eastAsia="Times New Roman" w:hAnsi="Arial" w:cs="Times New Roman"/>
          <w:bCs/>
          <w:i/>
          <w:color w:val="244061" w:themeColor="accent1" w:themeShade="80"/>
          <w:sz w:val="17"/>
          <w:szCs w:val="17"/>
          <w:lang w:eastAsia="hr-HR"/>
        </w:rPr>
      </w:pPr>
      <w:r>
        <w:rPr>
          <w:rFonts w:ascii="Arial" w:eastAsia="Times New Roman" w:hAnsi="Arial" w:cs="Times New Roman"/>
          <w:bCs/>
          <w:i/>
          <w:noProof/>
          <w:color w:val="17365D"/>
          <w:sz w:val="17"/>
          <w:szCs w:val="17"/>
          <w:lang w:eastAsia="hr-HR"/>
        </w:rPr>
        <w:drawing>
          <wp:inline distT="0" distB="0" distL="0" distR="0" wp14:anchorId="04F8673A" wp14:editId="489CCF2C">
            <wp:extent cx="6030000" cy="2304000"/>
            <wp:effectExtent l="0" t="0" r="8890" b="1270"/>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000" cy="2304000"/>
                    </a:xfrm>
                    <a:prstGeom prst="rect">
                      <a:avLst/>
                    </a:prstGeom>
                    <a:noFill/>
                  </pic:spPr>
                </pic:pic>
              </a:graphicData>
            </a:graphic>
          </wp:inline>
        </w:drawing>
      </w:r>
    </w:p>
    <w:p w:rsidR="00E1622B" w:rsidRPr="003C116E" w:rsidRDefault="00D755C7" w:rsidP="00D755C7">
      <w:pPr>
        <w:widowControl w:val="0"/>
        <w:spacing w:before="60" w:after="0"/>
        <w:rPr>
          <w:rFonts w:ascii="Arial" w:eastAsia="Calibri" w:hAnsi="Arial" w:cs="Arial"/>
          <w:b/>
          <w:color w:val="244061" w:themeColor="accent1" w:themeShade="80"/>
          <w:sz w:val="17"/>
          <w:szCs w:val="17"/>
        </w:rPr>
      </w:pPr>
      <w:r>
        <w:rPr>
          <w:rFonts w:ascii="Arial" w:eastAsia="Times New Roman" w:hAnsi="Arial" w:cs="Times New Roman"/>
          <w:bCs/>
          <w:i/>
          <w:color w:val="244061" w:themeColor="accent1" w:themeShade="80"/>
          <w:sz w:val="17"/>
          <w:szCs w:val="17"/>
          <w:lang w:eastAsia="hr-HR"/>
        </w:rPr>
        <w:t>I</w:t>
      </w:r>
      <w:r w:rsidR="00713E71">
        <w:rPr>
          <w:rFonts w:ascii="Arial" w:eastAsia="Times New Roman" w:hAnsi="Arial" w:cs="Times New Roman"/>
          <w:bCs/>
          <w:i/>
          <w:color w:val="244061" w:themeColor="accent1" w:themeShade="80"/>
          <w:sz w:val="17"/>
          <w:szCs w:val="17"/>
          <w:lang w:eastAsia="hr-HR"/>
        </w:rPr>
        <w:t>z</w:t>
      </w:r>
      <w:r w:rsidR="00E1622B" w:rsidRPr="003C116E">
        <w:rPr>
          <w:rFonts w:ascii="Arial" w:eastAsia="Times New Roman" w:hAnsi="Arial" w:cs="Times New Roman"/>
          <w:bCs/>
          <w:i/>
          <w:color w:val="244061" w:themeColor="accent1" w:themeShade="80"/>
          <w:sz w:val="17"/>
          <w:szCs w:val="17"/>
          <w:lang w:eastAsia="hr-HR"/>
        </w:rPr>
        <w:t>vor: Fina, Registar godišnjih financijskih izvještaja</w:t>
      </w:r>
      <w:r w:rsidR="00E1622B" w:rsidRPr="003C116E">
        <w:rPr>
          <w:rFonts w:ascii="Arial" w:eastAsia="Calibri" w:hAnsi="Arial" w:cs="Arial"/>
          <w:b/>
          <w:color w:val="244061" w:themeColor="accent1" w:themeShade="80"/>
          <w:sz w:val="17"/>
          <w:szCs w:val="17"/>
        </w:rPr>
        <w:t xml:space="preserve"> </w:t>
      </w:r>
    </w:p>
    <w:p w:rsidR="00F72860" w:rsidRPr="007F341C" w:rsidRDefault="000F3063" w:rsidP="00D755C7">
      <w:pPr>
        <w:widowControl w:val="0"/>
        <w:spacing w:before="180" w:after="0"/>
        <w:jc w:val="both"/>
        <w:rPr>
          <w:rFonts w:ascii="Arial" w:eastAsia="Times New Roman" w:hAnsi="Arial"/>
          <w:bCs/>
          <w:color w:val="244061"/>
          <w:sz w:val="20"/>
          <w:szCs w:val="20"/>
          <w:lang w:eastAsia="hr-HR"/>
        </w:rPr>
      </w:pPr>
      <w:r>
        <w:rPr>
          <w:rFonts w:ascii="Arial" w:eastAsia="Times New Roman" w:hAnsi="Arial"/>
          <w:bCs/>
          <w:color w:val="244061"/>
          <w:sz w:val="20"/>
          <w:szCs w:val="20"/>
          <w:lang w:eastAsia="hr-HR"/>
        </w:rPr>
        <w:t>Kada bi se Urbanoj aglomeraciji Rijeka priključile i općine Lovran, Matulji i Omišalj</w:t>
      </w:r>
      <w:r>
        <w:rPr>
          <w:rStyle w:val="FootnoteReference"/>
          <w:rFonts w:ascii="Arial" w:eastAsia="Times New Roman" w:hAnsi="Arial"/>
          <w:bCs/>
          <w:color w:val="244061"/>
          <w:sz w:val="20"/>
          <w:szCs w:val="20"/>
          <w:lang w:eastAsia="hr-HR"/>
        </w:rPr>
        <w:footnoteReference w:id="2"/>
      </w:r>
      <w:r>
        <w:rPr>
          <w:rFonts w:ascii="Arial" w:eastAsia="Times New Roman" w:hAnsi="Arial"/>
          <w:bCs/>
          <w:color w:val="244061"/>
          <w:sz w:val="20"/>
          <w:szCs w:val="20"/>
          <w:lang w:eastAsia="hr-HR"/>
        </w:rPr>
        <w:t xml:space="preserve">, financijski bi rezultati poduzetnika tog segmenta bili još bolji. </w:t>
      </w:r>
      <w:r w:rsidR="00F72860" w:rsidRPr="007F341C">
        <w:rPr>
          <w:rFonts w:ascii="Arial" w:eastAsia="Times New Roman" w:hAnsi="Arial"/>
          <w:bCs/>
          <w:color w:val="244061"/>
          <w:sz w:val="20"/>
          <w:szCs w:val="20"/>
          <w:lang w:eastAsia="hr-HR"/>
        </w:rPr>
        <w:t>U 2014. godini poduzetnici Urbane aglomeracije Rijeke i općina Lovran, Matulji i Omišalj iskazali su pozitivan konsolidirani financijski rezultat (401,5 milijuna kuna</w:t>
      </w:r>
      <w:r w:rsidR="00FD3DCC">
        <w:rPr>
          <w:rFonts w:ascii="Arial" w:eastAsia="Times New Roman" w:hAnsi="Arial"/>
          <w:bCs/>
          <w:color w:val="244061"/>
          <w:sz w:val="20"/>
          <w:szCs w:val="20"/>
          <w:lang w:eastAsia="hr-HR"/>
        </w:rPr>
        <w:t>)</w:t>
      </w:r>
      <w:r w:rsidR="00F72860" w:rsidRPr="007F341C">
        <w:rPr>
          <w:rFonts w:ascii="Arial" w:eastAsia="Times New Roman" w:hAnsi="Arial"/>
          <w:bCs/>
          <w:color w:val="244061"/>
          <w:sz w:val="20"/>
          <w:szCs w:val="20"/>
          <w:lang w:eastAsia="hr-HR"/>
        </w:rPr>
        <w:t xml:space="preserve">. Od ukupnog broja poduzetnika promatranog područja s dobitkom je poslovalo njih 76,9%. Ukupan prihod navedene skupine poduzetnika koji je ostvaren u 2014. godini iznosio je 24,1 milijardu kuna, što je povećanje od </w:t>
      </w:r>
      <w:r w:rsidR="002366DF" w:rsidRPr="007F341C">
        <w:rPr>
          <w:rFonts w:ascii="Arial" w:eastAsia="Times New Roman" w:hAnsi="Arial"/>
          <w:bCs/>
          <w:color w:val="244061"/>
          <w:sz w:val="20"/>
          <w:szCs w:val="20"/>
          <w:lang w:eastAsia="hr-HR"/>
        </w:rPr>
        <w:t>4,3</w:t>
      </w:r>
      <w:r w:rsidR="00F72860" w:rsidRPr="007F341C">
        <w:rPr>
          <w:rFonts w:ascii="Arial" w:eastAsia="Times New Roman" w:hAnsi="Arial"/>
          <w:bCs/>
          <w:color w:val="244061"/>
          <w:sz w:val="20"/>
          <w:szCs w:val="20"/>
          <w:lang w:eastAsia="hr-HR"/>
        </w:rPr>
        <w:t xml:space="preserve">% u odnosu na prethodnu poslovnu godinu. Ovom su rezultatu najviše pridonijeli poduzetnici grada </w:t>
      </w:r>
      <w:r w:rsidR="002366DF" w:rsidRPr="007F341C">
        <w:rPr>
          <w:rFonts w:ascii="Arial" w:eastAsia="Times New Roman" w:hAnsi="Arial"/>
          <w:bCs/>
          <w:color w:val="244061"/>
          <w:sz w:val="20"/>
          <w:szCs w:val="20"/>
          <w:lang w:eastAsia="hr-HR"/>
        </w:rPr>
        <w:t>Rijeke</w:t>
      </w:r>
      <w:r w:rsidR="00F72860" w:rsidRPr="007F341C">
        <w:rPr>
          <w:rFonts w:ascii="Arial" w:eastAsia="Times New Roman" w:hAnsi="Arial"/>
          <w:bCs/>
          <w:color w:val="244061"/>
          <w:sz w:val="20"/>
          <w:szCs w:val="20"/>
          <w:lang w:eastAsia="hr-HR"/>
        </w:rPr>
        <w:t xml:space="preserve"> sa </w:t>
      </w:r>
      <w:r w:rsidR="002366DF" w:rsidRPr="007F341C">
        <w:rPr>
          <w:rFonts w:ascii="Arial" w:eastAsia="Times New Roman" w:hAnsi="Arial"/>
          <w:bCs/>
          <w:color w:val="244061"/>
          <w:sz w:val="20"/>
          <w:szCs w:val="20"/>
          <w:lang w:eastAsia="hr-HR"/>
        </w:rPr>
        <w:t>66,5</w:t>
      </w:r>
      <w:r w:rsidR="00F72860" w:rsidRPr="007F341C">
        <w:rPr>
          <w:rFonts w:ascii="Arial" w:eastAsia="Times New Roman" w:hAnsi="Arial"/>
          <w:bCs/>
          <w:color w:val="244061"/>
          <w:sz w:val="20"/>
          <w:szCs w:val="20"/>
          <w:lang w:eastAsia="hr-HR"/>
        </w:rPr>
        <w:t>% (</w:t>
      </w:r>
      <w:r w:rsidR="002366DF" w:rsidRPr="007F341C">
        <w:rPr>
          <w:rFonts w:ascii="Arial" w:eastAsia="Times New Roman" w:hAnsi="Arial"/>
          <w:bCs/>
          <w:color w:val="244061"/>
          <w:sz w:val="20"/>
          <w:szCs w:val="20"/>
          <w:lang w:eastAsia="hr-HR"/>
        </w:rPr>
        <w:t>703,0</w:t>
      </w:r>
      <w:r w:rsidR="00F72860" w:rsidRPr="007F341C">
        <w:rPr>
          <w:rFonts w:ascii="Arial" w:eastAsia="Times New Roman" w:hAnsi="Arial"/>
          <w:bCs/>
          <w:color w:val="244061"/>
          <w:sz w:val="20"/>
          <w:szCs w:val="20"/>
          <w:lang w:eastAsia="hr-HR"/>
        </w:rPr>
        <w:t xml:space="preserve"> </w:t>
      </w:r>
      <w:r w:rsidR="002366DF" w:rsidRPr="007F341C">
        <w:rPr>
          <w:rFonts w:ascii="Arial" w:eastAsia="Times New Roman" w:hAnsi="Arial"/>
          <w:bCs/>
          <w:color w:val="244061"/>
          <w:sz w:val="20"/>
          <w:szCs w:val="20"/>
          <w:lang w:eastAsia="hr-HR"/>
        </w:rPr>
        <w:t>milijuna</w:t>
      </w:r>
      <w:r w:rsidR="00F72860" w:rsidRPr="007F341C">
        <w:rPr>
          <w:rFonts w:ascii="Arial" w:eastAsia="Times New Roman" w:hAnsi="Arial"/>
          <w:bCs/>
          <w:color w:val="244061"/>
          <w:sz w:val="20"/>
          <w:szCs w:val="20"/>
          <w:lang w:eastAsia="hr-HR"/>
        </w:rPr>
        <w:t xml:space="preserve"> kuna) udjela u ukupnim prihodima </w:t>
      </w:r>
      <w:r w:rsidR="002366DF" w:rsidRPr="007F341C">
        <w:rPr>
          <w:rFonts w:ascii="Arial" w:eastAsia="Times New Roman" w:hAnsi="Arial"/>
          <w:bCs/>
          <w:color w:val="244061"/>
          <w:sz w:val="20"/>
          <w:szCs w:val="20"/>
          <w:lang w:eastAsia="hr-HR"/>
        </w:rPr>
        <w:t>Urbane aglomeracije Rijeke</w:t>
      </w:r>
      <w:r w:rsidR="00F72860" w:rsidRPr="007F341C">
        <w:rPr>
          <w:rFonts w:ascii="Arial" w:eastAsia="Times New Roman" w:hAnsi="Arial"/>
          <w:bCs/>
          <w:color w:val="244061"/>
          <w:sz w:val="20"/>
          <w:szCs w:val="20"/>
          <w:lang w:eastAsia="hr-HR"/>
        </w:rPr>
        <w:t xml:space="preserve"> </w:t>
      </w:r>
      <w:r w:rsidR="002366DF" w:rsidRPr="007F341C">
        <w:rPr>
          <w:rFonts w:ascii="Arial" w:eastAsia="Times New Roman" w:hAnsi="Arial"/>
          <w:bCs/>
          <w:color w:val="244061"/>
          <w:sz w:val="20"/>
          <w:szCs w:val="20"/>
          <w:lang w:eastAsia="hr-HR"/>
        </w:rPr>
        <w:t xml:space="preserve">i općina Lovran, Matulji i Omišalj </w:t>
      </w:r>
      <w:r w:rsidR="00F72860" w:rsidRPr="007F341C">
        <w:rPr>
          <w:rFonts w:ascii="Arial" w:eastAsia="Times New Roman" w:hAnsi="Arial"/>
          <w:bCs/>
          <w:color w:val="244061"/>
          <w:sz w:val="20"/>
          <w:szCs w:val="20"/>
          <w:lang w:eastAsia="hr-HR"/>
        </w:rPr>
        <w:t xml:space="preserve">te poduzetnici gradova </w:t>
      </w:r>
      <w:r w:rsidR="002366DF" w:rsidRPr="007F341C">
        <w:rPr>
          <w:rFonts w:ascii="Arial" w:eastAsia="Times New Roman" w:hAnsi="Arial"/>
          <w:bCs/>
          <w:color w:val="244061"/>
          <w:sz w:val="20"/>
          <w:szCs w:val="20"/>
          <w:lang w:eastAsia="hr-HR"/>
        </w:rPr>
        <w:t>Opatije</w:t>
      </w:r>
      <w:r w:rsidR="00F72860" w:rsidRPr="007F341C">
        <w:rPr>
          <w:rFonts w:ascii="Arial" w:eastAsia="Times New Roman" w:hAnsi="Arial"/>
          <w:bCs/>
          <w:color w:val="244061"/>
          <w:sz w:val="20"/>
          <w:szCs w:val="20"/>
          <w:lang w:eastAsia="hr-HR"/>
        </w:rPr>
        <w:t xml:space="preserve"> </w:t>
      </w:r>
      <w:r w:rsidR="002366DF" w:rsidRPr="007F341C">
        <w:rPr>
          <w:rFonts w:ascii="Arial" w:eastAsia="Times New Roman" w:hAnsi="Arial"/>
          <w:bCs/>
          <w:color w:val="244061"/>
          <w:sz w:val="20"/>
          <w:szCs w:val="20"/>
          <w:lang w:eastAsia="hr-HR"/>
        </w:rPr>
        <w:t xml:space="preserve">9,3% </w:t>
      </w:r>
      <w:r w:rsidR="00F72860" w:rsidRPr="007F341C">
        <w:rPr>
          <w:rFonts w:ascii="Arial" w:eastAsia="Times New Roman" w:hAnsi="Arial"/>
          <w:bCs/>
          <w:color w:val="244061"/>
          <w:sz w:val="20"/>
          <w:szCs w:val="20"/>
          <w:lang w:eastAsia="hr-HR"/>
        </w:rPr>
        <w:t>(9</w:t>
      </w:r>
      <w:r w:rsidR="002366DF" w:rsidRPr="007F341C">
        <w:rPr>
          <w:rFonts w:ascii="Arial" w:eastAsia="Times New Roman" w:hAnsi="Arial"/>
          <w:bCs/>
          <w:color w:val="244061"/>
          <w:sz w:val="20"/>
          <w:szCs w:val="20"/>
          <w:lang w:eastAsia="hr-HR"/>
        </w:rPr>
        <w:t>8</w:t>
      </w:r>
      <w:r w:rsidR="00F72860" w:rsidRPr="007F341C">
        <w:rPr>
          <w:rFonts w:ascii="Arial" w:eastAsia="Times New Roman" w:hAnsi="Arial"/>
          <w:bCs/>
          <w:color w:val="244061"/>
          <w:sz w:val="20"/>
          <w:szCs w:val="20"/>
          <w:lang w:eastAsia="hr-HR"/>
        </w:rPr>
        <w:t>,</w:t>
      </w:r>
      <w:r w:rsidR="002366DF" w:rsidRPr="007F341C">
        <w:rPr>
          <w:rFonts w:ascii="Arial" w:eastAsia="Times New Roman" w:hAnsi="Arial"/>
          <w:bCs/>
          <w:color w:val="244061"/>
          <w:sz w:val="20"/>
          <w:szCs w:val="20"/>
          <w:lang w:eastAsia="hr-HR"/>
        </w:rPr>
        <w:t>1 milijuna kuna</w:t>
      </w:r>
      <w:r w:rsidR="00F72860" w:rsidRPr="007F341C">
        <w:rPr>
          <w:rFonts w:ascii="Arial" w:eastAsia="Times New Roman" w:hAnsi="Arial"/>
          <w:bCs/>
          <w:color w:val="244061"/>
          <w:sz w:val="20"/>
          <w:szCs w:val="20"/>
          <w:lang w:eastAsia="hr-HR"/>
        </w:rPr>
        <w:t xml:space="preserve">) i </w:t>
      </w:r>
      <w:r w:rsidR="002366DF" w:rsidRPr="007F341C">
        <w:rPr>
          <w:rFonts w:ascii="Arial" w:eastAsia="Times New Roman" w:hAnsi="Arial"/>
          <w:bCs/>
          <w:color w:val="244061"/>
          <w:sz w:val="20"/>
          <w:szCs w:val="20"/>
          <w:lang w:eastAsia="hr-HR"/>
        </w:rPr>
        <w:t>Matulja</w:t>
      </w:r>
      <w:r w:rsidR="00F72860" w:rsidRPr="007F341C">
        <w:rPr>
          <w:rFonts w:ascii="Arial" w:eastAsia="Times New Roman" w:hAnsi="Arial"/>
          <w:bCs/>
          <w:color w:val="244061"/>
          <w:sz w:val="20"/>
          <w:szCs w:val="20"/>
          <w:lang w:eastAsia="hr-HR"/>
        </w:rPr>
        <w:t xml:space="preserve"> </w:t>
      </w:r>
      <w:r w:rsidR="002366DF" w:rsidRPr="007F341C">
        <w:rPr>
          <w:rFonts w:ascii="Arial" w:eastAsia="Times New Roman" w:hAnsi="Arial"/>
          <w:bCs/>
          <w:color w:val="244061"/>
          <w:sz w:val="20"/>
          <w:szCs w:val="20"/>
          <w:lang w:eastAsia="hr-HR"/>
        </w:rPr>
        <w:t xml:space="preserve">7,8% </w:t>
      </w:r>
      <w:r w:rsidR="00F72860" w:rsidRPr="007F341C">
        <w:rPr>
          <w:rFonts w:ascii="Arial" w:eastAsia="Times New Roman" w:hAnsi="Arial"/>
          <w:bCs/>
          <w:color w:val="244061"/>
          <w:sz w:val="20"/>
          <w:szCs w:val="20"/>
          <w:lang w:eastAsia="hr-HR"/>
        </w:rPr>
        <w:t>(</w:t>
      </w:r>
      <w:r w:rsidR="002366DF" w:rsidRPr="007F341C">
        <w:rPr>
          <w:rFonts w:ascii="Arial" w:eastAsia="Times New Roman" w:hAnsi="Arial"/>
          <w:bCs/>
          <w:color w:val="244061"/>
          <w:sz w:val="20"/>
          <w:szCs w:val="20"/>
          <w:lang w:eastAsia="hr-HR"/>
        </w:rPr>
        <w:t>82,3 milijuna kuna</w:t>
      </w:r>
      <w:r w:rsidR="00F72860" w:rsidRPr="007F341C">
        <w:rPr>
          <w:rFonts w:ascii="Arial" w:eastAsia="Times New Roman" w:hAnsi="Arial"/>
          <w:bCs/>
          <w:color w:val="244061"/>
          <w:sz w:val="20"/>
          <w:szCs w:val="20"/>
          <w:lang w:eastAsia="hr-HR"/>
        </w:rPr>
        <w:t xml:space="preserve">). </w:t>
      </w:r>
    </w:p>
    <w:p w:rsidR="004946AC" w:rsidRPr="003C116E" w:rsidRDefault="004946AC" w:rsidP="005826B8">
      <w:pPr>
        <w:tabs>
          <w:tab w:val="left" w:pos="5954"/>
        </w:tabs>
        <w:spacing w:before="240" w:after="60" w:line="240" w:lineRule="auto"/>
        <w:ind w:left="1134" w:hanging="1134"/>
        <w:rPr>
          <w:rFonts w:ascii="Arial" w:eastAsia="Calibri" w:hAnsi="Arial" w:cs="Arial"/>
          <w:color w:val="244061" w:themeColor="accent1" w:themeShade="80"/>
          <w:sz w:val="16"/>
          <w:szCs w:val="18"/>
        </w:rPr>
      </w:pPr>
      <w:r w:rsidRPr="005826B8">
        <w:rPr>
          <w:rFonts w:ascii="Arial" w:eastAsia="Calibri" w:hAnsi="Arial" w:cs="Arial"/>
          <w:b/>
          <w:color w:val="17365D"/>
          <w:sz w:val="19"/>
          <w:szCs w:val="19"/>
        </w:rPr>
        <w:t xml:space="preserve">Tablica </w:t>
      </w:r>
      <w:r w:rsidR="00AD359B" w:rsidRPr="005826B8">
        <w:rPr>
          <w:rFonts w:ascii="Arial" w:eastAsia="Calibri" w:hAnsi="Arial" w:cs="Arial"/>
          <w:b/>
          <w:color w:val="17365D"/>
          <w:sz w:val="19"/>
          <w:szCs w:val="19"/>
        </w:rPr>
        <w:t>3</w:t>
      </w:r>
      <w:r w:rsidRPr="005826B8">
        <w:rPr>
          <w:rFonts w:ascii="Arial" w:eastAsia="Calibri" w:hAnsi="Arial" w:cs="Arial"/>
          <w:b/>
          <w:color w:val="17365D"/>
          <w:sz w:val="19"/>
          <w:szCs w:val="19"/>
        </w:rPr>
        <w:t>.</w:t>
      </w:r>
      <w:r w:rsidRPr="005826B8">
        <w:rPr>
          <w:rFonts w:ascii="Arial" w:eastAsia="Calibri" w:hAnsi="Arial" w:cs="Arial"/>
          <w:b/>
          <w:color w:val="17365D"/>
          <w:sz w:val="19"/>
          <w:szCs w:val="19"/>
        </w:rPr>
        <w:tab/>
      </w:r>
      <w:r w:rsidRPr="005826B8">
        <w:rPr>
          <w:rFonts w:ascii="Arial" w:eastAsia="Calibri" w:hAnsi="Arial" w:cs="Arial"/>
          <w:color w:val="244061" w:themeColor="accent1" w:themeShade="80"/>
          <w:sz w:val="19"/>
          <w:szCs w:val="19"/>
        </w:rPr>
        <w:t>Osnovni financijski rezultati poslovanja poduzetnika na području Urbane aglomeracije Rijeka (10 gradova i općina) i poduzetnika na području koji osim Urbane aglomeracije Rijeka obuhvaća i općine</w:t>
      </w:r>
      <w:r w:rsidRPr="005826B8">
        <w:rPr>
          <w:rFonts w:ascii="Arial" w:hAnsi="Arial" w:cs="Arial"/>
          <w:color w:val="244061" w:themeColor="accent1" w:themeShade="80"/>
          <w:sz w:val="19"/>
          <w:szCs w:val="19"/>
        </w:rPr>
        <w:t xml:space="preserve"> </w:t>
      </w:r>
      <w:r w:rsidRPr="005826B8">
        <w:rPr>
          <w:rFonts w:ascii="Arial" w:eastAsia="Calibri" w:hAnsi="Arial" w:cs="Arial"/>
          <w:color w:val="244061" w:themeColor="accent1" w:themeShade="80"/>
          <w:sz w:val="19"/>
          <w:szCs w:val="19"/>
        </w:rPr>
        <w:t>Lovran, Matulj</w:t>
      </w:r>
      <w:r w:rsidR="00B205FA" w:rsidRPr="005826B8">
        <w:rPr>
          <w:rFonts w:ascii="Arial" w:eastAsia="Calibri" w:hAnsi="Arial" w:cs="Arial"/>
          <w:color w:val="244061" w:themeColor="accent1" w:themeShade="80"/>
          <w:sz w:val="19"/>
          <w:szCs w:val="19"/>
        </w:rPr>
        <w:t>i</w:t>
      </w:r>
      <w:r w:rsidRPr="005826B8">
        <w:rPr>
          <w:rFonts w:ascii="Arial" w:eastAsia="Calibri" w:hAnsi="Arial" w:cs="Arial"/>
          <w:color w:val="244061" w:themeColor="accent1" w:themeShade="80"/>
          <w:sz w:val="19"/>
          <w:szCs w:val="19"/>
        </w:rPr>
        <w:t xml:space="preserve"> i Omišalj</w:t>
      </w:r>
      <w:r w:rsidR="005826B8">
        <w:rPr>
          <w:rFonts w:ascii="Arial" w:eastAsia="Calibri" w:hAnsi="Arial" w:cs="Arial"/>
          <w:color w:val="244061" w:themeColor="accent1" w:themeShade="80"/>
          <w:sz w:val="19"/>
          <w:szCs w:val="19"/>
        </w:rPr>
        <w:tab/>
      </w:r>
      <w:r w:rsidRPr="003C116E">
        <w:rPr>
          <w:rFonts w:ascii="Arial" w:eastAsia="Calibri" w:hAnsi="Arial" w:cs="Arial"/>
          <w:color w:val="244061" w:themeColor="accent1" w:themeShade="80"/>
          <w:sz w:val="16"/>
          <w:szCs w:val="18"/>
        </w:rPr>
        <w:t>(iznosi u tisućama kuna, prosječne plaće u kunama)</w:t>
      </w:r>
    </w:p>
    <w:tbl>
      <w:tblPr>
        <w:tblW w:w="9696" w:type="dxa"/>
        <w:jc w:val="center"/>
        <w:tblLayout w:type="fixed"/>
        <w:tblLook w:val="04A0" w:firstRow="1" w:lastRow="0" w:firstColumn="1" w:lastColumn="0" w:noHBand="0" w:noVBand="1"/>
      </w:tblPr>
      <w:tblGrid>
        <w:gridCol w:w="3572"/>
        <w:gridCol w:w="1134"/>
        <w:gridCol w:w="1134"/>
        <w:gridCol w:w="737"/>
        <w:gridCol w:w="1191"/>
        <w:gridCol w:w="1191"/>
        <w:gridCol w:w="737"/>
      </w:tblGrid>
      <w:tr w:rsidR="00B205FA" w:rsidRPr="005826B8" w:rsidTr="00D755C7">
        <w:trPr>
          <w:trHeight w:val="454"/>
          <w:jc w:val="center"/>
        </w:trPr>
        <w:tc>
          <w:tcPr>
            <w:tcW w:w="3572" w:type="dxa"/>
            <w:vMerge w:val="restart"/>
            <w:tcBorders>
              <w:top w:val="single" w:sz="4" w:space="0" w:color="FFFFFF"/>
              <w:left w:val="nil"/>
              <w:bottom w:val="single" w:sz="4" w:space="0" w:color="BFBFBF"/>
              <w:right w:val="nil"/>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Opis</w:t>
            </w:r>
          </w:p>
        </w:tc>
        <w:tc>
          <w:tcPr>
            <w:tcW w:w="3005" w:type="dxa"/>
            <w:gridSpan w:val="3"/>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Urbana aglomeracija Rijeka</w:t>
            </w:r>
          </w:p>
        </w:tc>
        <w:tc>
          <w:tcPr>
            <w:tcW w:w="3119" w:type="dxa"/>
            <w:gridSpan w:val="3"/>
            <w:tcBorders>
              <w:top w:val="single" w:sz="4" w:space="0" w:color="FFFFFF"/>
              <w:left w:val="nil"/>
              <w:bottom w:val="single" w:sz="4" w:space="0" w:color="FFFFFF"/>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Urbana aglomeracija Rijeka i općine Lovran, Matulji i Omišalj</w:t>
            </w:r>
          </w:p>
        </w:tc>
      </w:tr>
      <w:tr w:rsidR="00B205FA" w:rsidRPr="005826B8" w:rsidTr="00D755C7">
        <w:trPr>
          <w:trHeight w:val="285"/>
          <w:jc w:val="center"/>
        </w:trPr>
        <w:tc>
          <w:tcPr>
            <w:tcW w:w="3572" w:type="dxa"/>
            <w:vMerge/>
            <w:tcBorders>
              <w:top w:val="single" w:sz="4" w:space="0" w:color="FFFFFF"/>
              <w:left w:val="nil"/>
              <w:bottom w:val="single" w:sz="4" w:space="0" w:color="BFBFBF"/>
              <w:right w:val="nil"/>
            </w:tcBorders>
            <w:vAlign w:val="center"/>
            <w:hideMark/>
          </w:tcPr>
          <w:p w:rsidR="00B205FA" w:rsidRPr="00DD7687" w:rsidRDefault="00B205FA" w:rsidP="00632811">
            <w:pPr>
              <w:spacing w:after="0" w:line="240" w:lineRule="auto"/>
              <w:rPr>
                <w:rFonts w:ascii="Arial" w:eastAsia="Times New Roman" w:hAnsi="Arial" w:cs="Arial"/>
                <w:b/>
                <w:bCs/>
                <w:color w:val="FFFFFF"/>
                <w:sz w:val="16"/>
                <w:szCs w:val="16"/>
                <w:lang w:eastAsia="hr-HR"/>
              </w:rPr>
            </w:pPr>
          </w:p>
        </w:tc>
        <w:tc>
          <w:tcPr>
            <w:tcW w:w="1134" w:type="dxa"/>
            <w:tcBorders>
              <w:top w:val="nil"/>
              <w:left w:val="single" w:sz="4" w:space="0" w:color="FFFFFF"/>
              <w:bottom w:val="nil"/>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 xml:space="preserve">2013. </w:t>
            </w:r>
          </w:p>
        </w:tc>
        <w:tc>
          <w:tcPr>
            <w:tcW w:w="1134" w:type="dxa"/>
            <w:tcBorders>
              <w:top w:val="nil"/>
              <w:left w:val="nil"/>
              <w:bottom w:val="nil"/>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 xml:space="preserve">2014. </w:t>
            </w:r>
          </w:p>
        </w:tc>
        <w:tc>
          <w:tcPr>
            <w:tcW w:w="737" w:type="dxa"/>
            <w:tcBorders>
              <w:top w:val="nil"/>
              <w:left w:val="nil"/>
              <w:bottom w:val="nil"/>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Indeks</w:t>
            </w:r>
          </w:p>
        </w:tc>
        <w:tc>
          <w:tcPr>
            <w:tcW w:w="1191" w:type="dxa"/>
            <w:tcBorders>
              <w:top w:val="nil"/>
              <w:left w:val="nil"/>
              <w:bottom w:val="nil"/>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 xml:space="preserve">2013. </w:t>
            </w:r>
          </w:p>
        </w:tc>
        <w:tc>
          <w:tcPr>
            <w:tcW w:w="1191" w:type="dxa"/>
            <w:tcBorders>
              <w:top w:val="nil"/>
              <w:left w:val="nil"/>
              <w:bottom w:val="nil"/>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 xml:space="preserve">2014. </w:t>
            </w:r>
          </w:p>
        </w:tc>
        <w:tc>
          <w:tcPr>
            <w:tcW w:w="737" w:type="dxa"/>
            <w:tcBorders>
              <w:top w:val="nil"/>
              <w:left w:val="nil"/>
              <w:bottom w:val="nil"/>
              <w:right w:val="single" w:sz="4" w:space="0" w:color="FFFFFF"/>
            </w:tcBorders>
            <w:shd w:val="clear" w:color="000000" w:fill="003366"/>
            <w:vAlign w:val="center"/>
            <w:hideMark/>
          </w:tcPr>
          <w:p w:rsidR="00B205FA" w:rsidRPr="00DD7687" w:rsidRDefault="00B205FA" w:rsidP="00632811">
            <w:pPr>
              <w:spacing w:after="0" w:line="240" w:lineRule="auto"/>
              <w:jc w:val="center"/>
              <w:rPr>
                <w:rFonts w:ascii="Arial" w:eastAsia="Times New Roman" w:hAnsi="Arial" w:cs="Arial"/>
                <w:b/>
                <w:bCs/>
                <w:color w:val="FFFFFF"/>
                <w:sz w:val="16"/>
                <w:szCs w:val="16"/>
                <w:lang w:eastAsia="hr-HR"/>
              </w:rPr>
            </w:pPr>
            <w:r w:rsidRPr="00DD7687">
              <w:rPr>
                <w:rFonts w:ascii="Arial" w:eastAsia="Times New Roman" w:hAnsi="Arial" w:cs="Arial"/>
                <w:b/>
                <w:bCs/>
                <w:color w:val="FFFFFF"/>
                <w:sz w:val="16"/>
                <w:szCs w:val="16"/>
                <w:lang w:eastAsia="hr-HR"/>
              </w:rPr>
              <w:t>Indeks</w:t>
            </w:r>
          </w:p>
        </w:tc>
      </w:tr>
      <w:tr w:rsidR="00DD6AA5"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6AA5" w:rsidRPr="00713E71" w:rsidRDefault="00DD6AA5"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Broj poduzetnika</w:t>
            </w:r>
          </w:p>
        </w:tc>
        <w:tc>
          <w:tcPr>
            <w:tcW w:w="1134" w:type="dxa"/>
            <w:tcBorders>
              <w:top w:val="single" w:sz="4" w:space="0" w:color="BFBFBF"/>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p>
        </w:tc>
        <w:tc>
          <w:tcPr>
            <w:tcW w:w="1134" w:type="dxa"/>
            <w:tcBorders>
              <w:top w:val="single" w:sz="4" w:space="0" w:color="BFBFBF"/>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6.365</w:t>
            </w:r>
          </w:p>
        </w:tc>
        <w:tc>
          <w:tcPr>
            <w:tcW w:w="737" w:type="dxa"/>
            <w:tcBorders>
              <w:top w:val="single" w:sz="4" w:space="0" w:color="BFBFBF"/>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p>
        </w:tc>
        <w:tc>
          <w:tcPr>
            <w:tcW w:w="1191" w:type="dxa"/>
            <w:tcBorders>
              <w:top w:val="single" w:sz="4" w:space="0" w:color="BFBFBF"/>
              <w:left w:val="nil"/>
              <w:bottom w:val="single" w:sz="4" w:space="0" w:color="BFBFBF"/>
              <w:right w:val="single" w:sz="4" w:space="0" w:color="BFBFBF"/>
            </w:tcBorders>
            <w:shd w:val="clear" w:color="auto" w:fill="auto"/>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p>
        </w:tc>
        <w:tc>
          <w:tcPr>
            <w:tcW w:w="1191" w:type="dxa"/>
            <w:tcBorders>
              <w:top w:val="single" w:sz="4" w:space="0" w:color="BFBFBF"/>
              <w:left w:val="nil"/>
              <w:bottom w:val="single" w:sz="4" w:space="0" w:color="BFBFBF"/>
              <w:right w:val="single" w:sz="4" w:space="0" w:color="BFBFBF"/>
            </w:tcBorders>
            <w:shd w:val="clear" w:color="auto" w:fill="auto"/>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6.933</w:t>
            </w:r>
          </w:p>
        </w:tc>
        <w:tc>
          <w:tcPr>
            <w:tcW w:w="737" w:type="dxa"/>
            <w:tcBorders>
              <w:top w:val="single" w:sz="4" w:space="0" w:color="BFBFBF"/>
              <w:left w:val="nil"/>
              <w:bottom w:val="single" w:sz="4" w:space="0" w:color="BFBFBF"/>
              <w:right w:val="single" w:sz="4" w:space="0" w:color="BFBFBF"/>
            </w:tcBorders>
            <w:shd w:val="clear" w:color="auto" w:fill="auto"/>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p>
        </w:tc>
      </w:tr>
      <w:tr w:rsidR="00DD6AA5"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6AA5" w:rsidRPr="00713E71" w:rsidRDefault="00DD6AA5"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Broj zaposlenih</w:t>
            </w:r>
          </w:p>
        </w:tc>
        <w:tc>
          <w:tcPr>
            <w:tcW w:w="1134"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39.798</w:t>
            </w:r>
          </w:p>
        </w:tc>
        <w:tc>
          <w:tcPr>
            <w:tcW w:w="1134"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40.000</w:t>
            </w:r>
          </w:p>
        </w:tc>
        <w:tc>
          <w:tcPr>
            <w:tcW w:w="737"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105,2</w:t>
            </w:r>
          </w:p>
        </w:tc>
        <w:tc>
          <w:tcPr>
            <w:tcW w:w="1191" w:type="dxa"/>
            <w:tcBorders>
              <w:top w:val="nil"/>
              <w:left w:val="nil"/>
              <w:bottom w:val="single" w:sz="4" w:space="0" w:color="BFBFBF"/>
              <w:right w:val="single" w:sz="4" w:space="0" w:color="BFBFBF"/>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42.785</w:t>
            </w:r>
          </w:p>
        </w:tc>
        <w:tc>
          <w:tcPr>
            <w:tcW w:w="1191" w:type="dxa"/>
            <w:tcBorders>
              <w:top w:val="nil"/>
              <w:left w:val="nil"/>
              <w:bottom w:val="single" w:sz="4" w:space="0" w:color="BFBFBF"/>
              <w:right w:val="single" w:sz="4" w:space="0" w:color="BFBFBF"/>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42.875</w:t>
            </w:r>
          </w:p>
        </w:tc>
        <w:tc>
          <w:tcPr>
            <w:tcW w:w="737" w:type="dxa"/>
            <w:tcBorders>
              <w:top w:val="nil"/>
              <w:left w:val="nil"/>
              <w:bottom w:val="single" w:sz="4" w:space="0" w:color="BFBFBF"/>
              <w:right w:val="single" w:sz="4" w:space="0" w:color="BFBFBF"/>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100,2</w:t>
            </w:r>
          </w:p>
        </w:tc>
      </w:tr>
      <w:tr w:rsidR="00DD6AA5"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6AA5" w:rsidRPr="00713E71" w:rsidRDefault="00DD6AA5"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Ukupni prihodi</w:t>
            </w:r>
          </w:p>
        </w:tc>
        <w:tc>
          <w:tcPr>
            <w:tcW w:w="1134"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21.543.365</w:t>
            </w:r>
          </w:p>
        </w:tc>
        <w:tc>
          <w:tcPr>
            <w:tcW w:w="1134"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22.544.149</w:t>
            </w:r>
          </w:p>
        </w:tc>
        <w:tc>
          <w:tcPr>
            <w:tcW w:w="737"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104,6</w:t>
            </w:r>
          </w:p>
        </w:tc>
        <w:tc>
          <w:tcPr>
            <w:tcW w:w="1191" w:type="dxa"/>
            <w:tcBorders>
              <w:top w:val="single" w:sz="4" w:space="0" w:color="C0C0C0"/>
              <w:left w:val="nil"/>
              <w:bottom w:val="single" w:sz="4" w:space="0" w:color="C0C0C0"/>
              <w:right w:val="single" w:sz="4" w:space="0" w:color="C0C0C0"/>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23.139.853</w:t>
            </w:r>
          </w:p>
        </w:tc>
        <w:tc>
          <w:tcPr>
            <w:tcW w:w="1191" w:type="dxa"/>
            <w:tcBorders>
              <w:top w:val="single" w:sz="4" w:space="0" w:color="C0C0C0"/>
              <w:left w:val="nil"/>
              <w:bottom w:val="single" w:sz="4" w:space="0" w:color="C0C0C0"/>
              <w:right w:val="single" w:sz="4" w:space="0" w:color="C0C0C0"/>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24.144.308</w:t>
            </w:r>
          </w:p>
        </w:tc>
        <w:tc>
          <w:tcPr>
            <w:tcW w:w="737" w:type="dxa"/>
            <w:tcBorders>
              <w:top w:val="nil"/>
              <w:left w:val="single" w:sz="4" w:space="0" w:color="BFBFBF"/>
              <w:bottom w:val="single" w:sz="4" w:space="0" w:color="BFBFBF"/>
              <w:right w:val="single" w:sz="4" w:space="0" w:color="BFBFBF"/>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104,3</w:t>
            </w:r>
          </w:p>
        </w:tc>
      </w:tr>
      <w:tr w:rsidR="00DD6AA5"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6AA5" w:rsidRPr="00713E71" w:rsidRDefault="00DD6AA5"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Ukupni rashodi</w:t>
            </w:r>
          </w:p>
        </w:tc>
        <w:tc>
          <w:tcPr>
            <w:tcW w:w="1134"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21.085.077</w:t>
            </w:r>
          </w:p>
        </w:tc>
        <w:tc>
          <w:tcPr>
            <w:tcW w:w="1134"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22.023.002</w:t>
            </w:r>
          </w:p>
        </w:tc>
        <w:tc>
          <w:tcPr>
            <w:tcW w:w="737" w:type="dxa"/>
            <w:tcBorders>
              <w:top w:val="nil"/>
              <w:left w:val="nil"/>
              <w:bottom w:val="single" w:sz="4" w:space="0" w:color="BFBFBF"/>
              <w:right w:val="single" w:sz="4" w:space="0" w:color="BFBFBF"/>
            </w:tcBorders>
            <w:shd w:val="clear" w:color="000000" w:fill="DCE6F1"/>
            <w:noWrap/>
            <w:vAlign w:val="center"/>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104,4</w:t>
            </w:r>
          </w:p>
        </w:tc>
        <w:tc>
          <w:tcPr>
            <w:tcW w:w="1191" w:type="dxa"/>
            <w:tcBorders>
              <w:top w:val="nil"/>
              <w:left w:val="nil"/>
              <w:bottom w:val="single" w:sz="4" w:space="0" w:color="C0C0C0"/>
              <w:right w:val="single" w:sz="4" w:space="0" w:color="C0C0C0"/>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22.628.024</w:t>
            </w:r>
          </w:p>
        </w:tc>
        <w:tc>
          <w:tcPr>
            <w:tcW w:w="1191" w:type="dxa"/>
            <w:tcBorders>
              <w:top w:val="nil"/>
              <w:left w:val="nil"/>
              <w:bottom w:val="single" w:sz="4" w:space="0" w:color="C0C0C0"/>
              <w:right w:val="single" w:sz="4" w:space="0" w:color="C0C0C0"/>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23.528.468</w:t>
            </w:r>
          </w:p>
        </w:tc>
        <w:tc>
          <w:tcPr>
            <w:tcW w:w="737" w:type="dxa"/>
            <w:tcBorders>
              <w:top w:val="nil"/>
              <w:left w:val="single" w:sz="4" w:space="0" w:color="BFBFBF"/>
              <w:bottom w:val="single" w:sz="4" w:space="0" w:color="BFBFBF"/>
              <w:right w:val="single" w:sz="4" w:space="0" w:color="BFBFBF"/>
            </w:tcBorders>
            <w:shd w:val="clear" w:color="auto" w:fill="auto"/>
            <w:noWrap/>
          </w:tcPr>
          <w:p w:rsidR="00DD6AA5" w:rsidRPr="00713E71" w:rsidRDefault="00DD6AA5"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104,0</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Dobit prije oporezivanja</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1.129.200</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1.394.173</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123,5</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1.233.801</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1.551.172</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125,7</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Gubitak prije oporezivanja</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670.912</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873.026</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130,1</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721.972</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935.332</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129,6</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Dobit razdoblja</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964.966</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1.193.006</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123,6</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1.057.381</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1.336.098</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126,4</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Gubitak razdoblja</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672.045</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872.505</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129,8</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723.016</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934.624</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129,3</w:t>
            </w:r>
          </w:p>
        </w:tc>
      </w:tr>
      <w:tr w:rsidR="00DD7687" w:rsidRPr="005826B8" w:rsidTr="00D755C7">
        <w:trPr>
          <w:trHeight w:val="454"/>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 xml:space="preserve">Konsolidirani financijski rezultat – dobit (+) ili gubitak (-) razdoblja </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292.921</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320.500</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109,4</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334.365</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401.474</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120,1</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Izvoz</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4.748.213</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4.703.712</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99,1</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4.893.472</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4.825.869</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98,6</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Uvoz</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2.096.042</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2.146.104</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102,4</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2.346.967</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2.377.720</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101,3</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713E7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Investicije u novu dugotrajnu imovinu</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1.470.944</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1.515.632</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103,0</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1.657.868</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1.610.823</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713E71">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97,2</w:t>
            </w:r>
          </w:p>
        </w:tc>
      </w:tr>
      <w:tr w:rsidR="00DD7687" w:rsidRPr="005826B8" w:rsidTr="00D755C7">
        <w:trPr>
          <w:trHeight w:val="285"/>
          <w:jc w:val="center"/>
        </w:trPr>
        <w:tc>
          <w:tcPr>
            <w:tcW w:w="3572" w:type="dxa"/>
            <w:tcBorders>
              <w:top w:val="nil"/>
              <w:left w:val="single" w:sz="4" w:space="0" w:color="BFBFBF"/>
              <w:bottom w:val="single" w:sz="4" w:space="0" w:color="BFBFBF"/>
              <w:right w:val="single" w:sz="4" w:space="0" w:color="BFBFBF"/>
            </w:tcBorders>
            <w:shd w:val="clear" w:color="auto" w:fill="auto"/>
            <w:noWrap/>
            <w:vAlign w:val="center"/>
            <w:hideMark/>
          </w:tcPr>
          <w:p w:rsidR="00DD7687" w:rsidRPr="00713E71" w:rsidRDefault="00DD7687" w:rsidP="00632811">
            <w:pPr>
              <w:spacing w:after="0" w:line="240" w:lineRule="auto"/>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Prosječna mjesečna neto plaća po zaposlenom</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A6093">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4.655</w:t>
            </w:r>
          </w:p>
        </w:tc>
        <w:tc>
          <w:tcPr>
            <w:tcW w:w="1134"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A6093">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4.663</w:t>
            </w:r>
          </w:p>
        </w:tc>
        <w:tc>
          <w:tcPr>
            <w:tcW w:w="737" w:type="dxa"/>
            <w:tcBorders>
              <w:top w:val="nil"/>
              <w:left w:val="nil"/>
              <w:bottom w:val="single" w:sz="4" w:space="0" w:color="BFBFBF"/>
              <w:right w:val="single" w:sz="4" w:space="0" w:color="BFBFBF"/>
            </w:tcBorders>
            <w:shd w:val="clear" w:color="000000" w:fill="DCE6F1"/>
            <w:noWrap/>
            <w:vAlign w:val="center"/>
          </w:tcPr>
          <w:p w:rsidR="00DD7687" w:rsidRPr="00713E71" w:rsidRDefault="00DD7687" w:rsidP="007A6093">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100,2</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DD7687">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4.622</w:t>
            </w:r>
          </w:p>
        </w:tc>
        <w:tc>
          <w:tcPr>
            <w:tcW w:w="1191" w:type="dxa"/>
            <w:tcBorders>
              <w:top w:val="nil"/>
              <w:left w:val="nil"/>
              <w:bottom w:val="single" w:sz="4" w:space="0" w:color="C0C0C0"/>
              <w:right w:val="single" w:sz="4" w:space="0" w:color="C0C0C0"/>
            </w:tcBorders>
            <w:shd w:val="clear" w:color="auto" w:fill="auto"/>
            <w:noWrap/>
            <w:vAlign w:val="center"/>
          </w:tcPr>
          <w:p w:rsidR="00DD7687" w:rsidRPr="00713E71" w:rsidRDefault="00DD7687" w:rsidP="00DD7687">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4.644</w:t>
            </w:r>
          </w:p>
        </w:tc>
        <w:tc>
          <w:tcPr>
            <w:tcW w:w="737" w:type="dxa"/>
            <w:tcBorders>
              <w:top w:val="nil"/>
              <w:left w:val="single" w:sz="4" w:space="0" w:color="BFBFBF"/>
              <w:bottom w:val="single" w:sz="4" w:space="0" w:color="BFBFBF"/>
              <w:right w:val="single" w:sz="4" w:space="0" w:color="BFBFBF"/>
            </w:tcBorders>
            <w:shd w:val="clear" w:color="auto" w:fill="auto"/>
            <w:noWrap/>
            <w:vAlign w:val="center"/>
          </w:tcPr>
          <w:p w:rsidR="00DD7687" w:rsidRPr="00713E71" w:rsidRDefault="00DD7687" w:rsidP="00DD7687">
            <w:pPr>
              <w:spacing w:after="0" w:line="240" w:lineRule="auto"/>
              <w:jc w:val="right"/>
              <w:rPr>
                <w:rFonts w:ascii="Arial" w:eastAsia="Times New Roman" w:hAnsi="Arial" w:cs="Arial"/>
                <w:color w:val="003366"/>
                <w:sz w:val="18"/>
                <w:szCs w:val="18"/>
                <w:lang w:eastAsia="hr-HR"/>
              </w:rPr>
            </w:pPr>
            <w:r w:rsidRPr="00713E71">
              <w:rPr>
                <w:rFonts w:ascii="Arial" w:eastAsia="Times New Roman" w:hAnsi="Arial" w:cs="Arial"/>
                <w:color w:val="003366"/>
                <w:sz w:val="18"/>
                <w:szCs w:val="18"/>
                <w:lang w:eastAsia="hr-HR"/>
              </w:rPr>
              <w:t>100,5</w:t>
            </w:r>
          </w:p>
        </w:tc>
      </w:tr>
    </w:tbl>
    <w:p w:rsidR="00B205FA" w:rsidRDefault="00B205FA" w:rsidP="00713E71">
      <w:pPr>
        <w:spacing w:before="60" w:after="0"/>
        <w:jc w:val="both"/>
        <w:rPr>
          <w:rFonts w:ascii="Arial" w:eastAsia="Times New Roman" w:hAnsi="Arial" w:cs="Times New Roman"/>
          <w:bCs/>
          <w:i/>
          <w:color w:val="17365D"/>
          <w:sz w:val="16"/>
          <w:szCs w:val="18"/>
          <w:lang w:eastAsia="hr-HR"/>
        </w:rPr>
      </w:pPr>
      <w:r w:rsidRPr="004946AC">
        <w:rPr>
          <w:rFonts w:ascii="Arial" w:eastAsia="Times New Roman" w:hAnsi="Arial" w:cs="Times New Roman"/>
          <w:bCs/>
          <w:i/>
          <w:color w:val="17365D"/>
          <w:sz w:val="16"/>
          <w:szCs w:val="18"/>
          <w:lang w:eastAsia="hr-HR"/>
        </w:rPr>
        <w:t>Izvor: Fina, Registar godišnjih financijskih izvještaja, obrada GFI-a za 2014. godinu</w:t>
      </w:r>
    </w:p>
    <w:p w:rsidR="005826B8" w:rsidRPr="005826B8" w:rsidRDefault="005826B8" w:rsidP="005826B8">
      <w:pPr>
        <w:spacing w:before="240" w:after="0" w:line="264" w:lineRule="auto"/>
        <w:jc w:val="both"/>
        <w:rPr>
          <w:rFonts w:ascii="Arial" w:eastAsia="Times New Roman" w:hAnsi="Arial" w:cs="Arial"/>
          <w:i/>
          <w:color w:val="17365D"/>
          <w:sz w:val="17"/>
          <w:szCs w:val="17"/>
          <w:lang w:eastAsia="hr-HR"/>
        </w:rPr>
      </w:pPr>
      <w:r w:rsidRPr="005826B8">
        <w:rPr>
          <w:rFonts w:ascii="Arial" w:eastAsia="Times New Roman" w:hAnsi="Arial" w:cs="Arial"/>
          <w:i/>
          <w:color w:val="17365D"/>
          <w:sz w:val="17"/>
          <w:szCs w:val="17"/>
          <w:lang w:eastAsia="hr-HR"/>
        </w:rPr>
        <w:t xml:space="preserve">Više o rezultatima poslovanja poduzetnika po područjima djelatnosti i po drugim kriterijima, prezentirano je u </w:t>
      </w:r>
      <w:hyperlink r:id="rId13" w:history="1">
        <w:r w:rsidRPr="005826B8">
          <w:rPr>
            <w:rFonts w:ascii="Arial" w:eastAsia="Times New Roman" w:hAnsi="Arial" w:cs="Arial"/>
            <w:i/>
            <w:color w:val="0000BF"/>
            <w:sz w:val="17"/>
            <w:szCs w:val="17"/>
            <w:u w:val="single"/>
            <w:lang w:eastAsia="hr-HR"/>
          </w:rPr>
          <w:t>standardnim analizama</w:t>
        </w:r>
      </w:hyperlink>
      <w:r w:rsidRPr="005826B8">
        <w:rPr>
          <w:rFonts w:ascii="Arial" w:eastAsia="Times New Roman" w:hAnsi="Arial" w:cs="Arial"/>
          <w:i/>
          <w:color w:val="17365D"/>
          <w:sz w:val="17"/>
          <w:szCs w:val="17"/>
          <w:lang w:eastAsia="hr-HR"/>
        </w:rPr>
        <w:t xml:space="preserve"> rezultata poslovanja poduzetnika RH, po županijama i po gradovima i općinama u 2014. godini.</w:t>
      </w:r>
    </w:p>
    <w:p w:rsidR="005826B8" w:rsidRPr="005826B8" w:rsidRDefault="005826B8" w:rsidP="005826B8">
      <w:pPr>
        <w:spacing w:before="120" w:after="0" w:line="240" w:lineRule="auto"/>
        <w:jc w:val="both"/>
        <w:rPr>
          <w:rFonts w:ascii="Arial" w:eastAsia="Calibri" w:hAnsi="Arial" w:cs="Arial"/>
          <w:i/>
          <w:color w:val="0F243E"/>
          <w:sz w:val="17"/>
          <w:szCs w:val="17"/>
        </w:rPr>
      </w:pPr>
      <w:r w:rsidRPr="005826B8">
        <w:rPr>
          <w:rFonts w:ascii="Arial" w:eastAsia="Times New Roman" w:hAnsi="Arial" w:cs="Arial"/>
          <w:i/>
          <w:color w:val="17365D"/>
          <w:sz w:val="17"/>
          <w:szCs w:val="17"/>
          <w:lang w:eastAsia="hr-HR"/>
        </w:rPr>
        <w:t>Pojedinačni podaci o rezultatima poslovanja poduzetnika dostupni su besplatno na</w:t>
      </w:r>
      <w:r w:rsidRPr="005826B8">
        <w:rPr>
          <w:rFonts w:ascii="Arial" w:eastAsia="Calibri" w:hAnsi="Arial" w:cs="Arial"/>
          <w:i/>
          <w:color w:val="17365D"/>
          <w:sz w:val="17"/>
          <w:szCs w:val="17"/>
          <w:lang w:eastAsia="hr-HR"/>
        </w:rPr>
        <w:t xml:space="preserve"> </w:t>
      </w:r>
      <w:hyperlink r:id="rId14" w:history="1">
        <w:r w:rsidRPr="005826B8">
          <w:rPr>
            <w:rFonts w:ascii="Arial" w:eastAsia="Calibri" w:hAnsi="Arial" w:cs="Arial"/>
            <w:i/>
            <w:color w:val="0000FF"/>
            <w:sz w:val="17"/>
            <w:szCs w:val="17"/>
            <w:u w:val="single"/>
            <w:lang w:eastAsia="hr-HR"/>
          </w:rPr>
          <w:t>RGFI – javna objava</w:t>
        </w:r>
      </w:hyperlink>
      <w:r w:rsidRPr="005826B8">
        <w:rPr>
          <w:rFonts w:ascii="Arial" w:eastAsia="Calibri" w:hAnsi="Arial" w:cs="Arial"/>
          <w:i/>
          <w:color w:val="0F243E"/>
          <w:sz w:val="17"/>
          <w:szCs w:val="17"/>
          <w:lang w:eastAsia="hr-HR"/>
        </w:rPr>
        <w:t xml:space="preserve"> </w:t>
      </w:r>
      <w:r w:rsidRPr="005826B8">
        <w:rPr>
          <w:rFonts w:ascii="Arial" w:eastAsia="Times New Roman" w:hAnsi="Arial" w:cs="Arial"/>
          <w:i/>
          <w:color w:val="17375E"/>
          <w:sz w:val="17"/>
          <w:szCs w:val="17"/>
          <w:lang w:eastAsia="hr-HR"/>
        </w:rPr>
        <w:t>i na</w:t>
      </w:r>
      <w:r w:rsidRPr="005826B8">
        <w:rPr>
          <w:rFonts w:ascii="Arial" w:eastAsia="Calibri" w:hAnsi="Arial" w:cs="Arial"/>
          <w:i/>
          <w:color w:val="0F243E"/>
          <w:sz w:val="17"/>
          <w:szCs w:val="17"/>
          <w:lang w:eastAsia="hr-HR"/>
        </w:rPr>
        <w:t xml:space="preserve"> </w:t>
      </w:r>
      <w:hyperlink r:id="rId15" w:history="1">
        <w:r w:rsidRPr="005826B8">
          <w:rPr>
            <w:rFonts w:ascii="Arial" w:eastAsia="Calibri" w:hAnsi="Arial" w:cs="Arial"/>
            <w:i/>
            <w:color w:val="0000FF"/>
            <w:sz w:val="17"/>
            <w:szCs w:val="17"/>
            <w:u w:val="single"/>
            <w:lang w:eastAsia="hr-HR"/>
          </w:rPr>
          <w:t>Transparentno.hr</w:t>
        </w:r>
      </w:hyperlink>
      <w:r w:rsidRPr="005826B8">
        <w:rPr>
          <w:rFonts w:ascii="Arial" w:eastAsia="Calibri" w:hAnsi="Arial" w:cs="Arial"/>
          <w:i/>
          <w:color w:val="0000FF"/>
          <w:sz w:val="17"/>
          <w:szCs w:val="17"/>
          <w:u w:val="single"/>
          <w:lang w:eastAsia="hr-HR"/>
        </w:rPr>
        <w:t xml:space="preserve"> </w:t>
      </w:r>
      <w:r w:rsidRPr="005826B8">
        <w:rPr>
          <w:rFonts w:ascii="Arial" w:eastAsia="Calibri" w:hAnsi="Arial" w:cs="Arial"/>
          <w:i/>
          <w:color w:val="1A3D68"/>
          <w:sz w:val="17"/>
          <w:szCs w:val="17"/>
        </w:rPr>
        <w:t xml:space="preserve">a uz naknadu na </w:t>
      </w:r>
      <w:hyperlink r:id="rId16" w:history="1">
        <w:r w:rsidRPr="005826B8">
          <w:rPr>
            <w:rFonts w:ascii="Arial" w:eastAsia="Calibri" w:hAnsi="Arial" w:cs="Arial"/>
            <w:i/>
            <w:color w:val="0000FF"/>
            <w:sz w:val="17"/>
            <w:szCs w:val="17"/>
            <w:u w:val="single"/>
          </w:rPr>
          <w:t>info.BIZ servisu</w:t>
        </w:r>
      </w:hyperlink>
      <w:r w:rsidRPr="005826B8">
        <w:rPr>
          <w:rFonts w:ascii="Arial" w:eastAsia="Calibri" w:hAnsi="Arial" w:cs="Arial"/>
          <w:i/>
          <w:color w:val="0F243E"/>
          <w:sz w:val="17"/>
          <w:szCs w:val="17"/>
        </w:rPr>
        <w:t xml:space="preserve">, na </w:t>
      </w:r>
      <w:hyperlink r:id="rId17" w:history="1">
        <w:r w:rsidRPr="005826B8">
          <w:rPr>
            <w:rFonts w:ascii="Arial" w:eastAsia="Calibri" w:hAnsi="Arial" w:cs="Arial"/>
            <w:i/>
            <w:color w:val="0000FF"/>
            <w:sz w:val="17"/>
            <w:szCs w:val="17"/>
            <w:u w:val="single"/>
          </w:rPr>
          <w:t>servisu RGFI</w:t>
        </w:r>
      </w:hyperlink>
      <w:r w:rsidRPr="005826B8">
        <w:rPr>
          <w:rFonts w:ascii="Arial" w:eastAsia="Calibri" w:hAnsi="Arial" w:cs="Arial"/>
          <w:i/>
          <w:color w:val="0F243E"/>
          <w:sz w:val="17"/>
          <w:szCs w:val="17"/>
        </w:rPr>
        <w:t xml:space="preserve">, </w:t>
      </w:r>
      <w:r w:rsidRPr="005826B8">
        <w:rPr>
          <w:rFonts w:ascii="Arial" w:eastAsia="Calibri" w:hAnsi="Arial" w:cs="Arial"/>
          <w:i/>
          <w:color w:val="1A3D68"/>
          <w:sz w:val="17"/>
          <w:szCs w:val="17"/>
        </w:rPr>
        <w:t xml:space="preserve">u jedinicama Finine poslovne mreže i narudžbom putem e-pošte, na adresi </w:t>
      </w:r>
      <w:hyperlink r:id="rId18" w:history="1">
        <w:r w:rsidRPr="005826B8">
          <w:rPr>
            <w:rFonts w:ascii="Arial" w:eastAsia="Calibri" w:hAnsi="Arial" w:cs="Arial"/>
            <w:i/>
            <w:color w:val="0000FF"/>
            <w:sz w:val="17"/>
            <w:szCs w:val="17"/>
            <w:u w:val="single"/>
          </w:rPr>
          <w:t>rgfi@fina.hr</w:t>
        </w:r>
      </w:hyperlink>
    </w:p>
    <w:p w:rsidR="00D755C7" w:rsidRPr="004946AC" w:rsidRDefault="005826B8" w:rsidP="005826B8">
      <w:pPr>
        <w:spacing w:before="120" w:after="0" w:line="240" w:lineRule="auto"/>
        <w:jc w:val="both"/>
        <w:rPr>
          <w:rFonts w:ascii="Arial" w:eastAsia="Times New Roman" w:hAnsi="Arial" w:cs="Times New Roman"/>
          <w:bCs/>
          <w:i/>
          <w:color w:val="17365D"/>
          <w:sz w:val="16"/>
          <w:szCs w:val="18"/>
          <w:lang w:eastAsia="hr-HR"/>
        </w:rPr>
      </w:pPr>
      <w:r w:rsidRPr="005826B8">
        <w:rPr>
          <w:rFonts w:ascii="Arial" w:eastAsia="Calibri" w:hAnsi="Arial" w:cs="Arial"/>
          <w:bCs/>
          <w:i/>
          <w:color w:val="17365D"/>
          <w:sz w:val="17"/>
          <w:szCs w:val="17"/>
        </w:rPr>
        <w:t xml:space="preserve">Informacija o tome je li poslovni subjekt u blokadi ili ne, dostupna je korištenjem usluge </w:t>
      </w:r>
      <w:hyperlink r:id="rId19" w:history="1">
        <w:r w:rsidRPr="005826B8">
          <w:rPr>
            <w:rFonts w:ascii="Arial" w:eastAsia="Calibri" w:hAnsi="Arial" w:cs="Arial"/>
            <w:bCs/>
            <w:i/>
            <w:color w:val="0000BF"/>
            <w:sz w:val="17"/>
            <w:szCs w:val="17"/>
            <w:u w:val="single"/>
          </w:rPr>
          <w:t>FINA InfoBlokade</w:t>
        </w:r>
      </w:hyperlink>
      <w:r w:rsidRPr="005826B8">
        <w:rPr>
          <w:rFonts w:ascii="Arial" w:eastAsia="Calibri" w:hAnsi="Arial" w:cs="Arial"/>
          <w:bCs/>
          <w:i/>
          <w:color w:val="17365D"/>
          <w:sz w:val="17"/>
          <w:szCs w:val="17"/>
        </w:rPr>
        <w:t xml:space="preserve"> slanjem SMS poruku na broj 818058. </w:t>
      </w:r>
    </w:p>
    <w:sectPr w:rsidR="00D755C7" w:rsidRPr="004946AC" w:rsidSect="00415348">
      <w:headerReference w:type="default" r:id="rId20"/>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7A" w:rsidRDefault="00766D7A" w:rsidP="008E7389">
      <w:pPr>
        <w:spacing w:after="0" w:line="240" w:lineRule="auto"/>
      </w:pPr>
      <w:r>
        <w:separator/>
      </w:r>
    </w:p>
  </w:endnote>
  <w:endnote w:type="continuationSeparator" w:id="0">
    <w:p w:rsidR="00766D7A" w:rsidRDefault="00766D7A" w:rsidP="008E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7A" w:rsidRDefault="00766D7A" w:rsidP="008E7389">
      <w:pPr>
        <w:spacing w:after="0" w:line="240" w:lineRule="auto"/>
      </w:pPr>
      <w:r>
        <w:separator/>
      </w:r>
    </w:p>
  </w:footnote>
  <w:footnote w:type="continuationSeparator" w:id="0">
    <w:p w:rsidR="00766D7A" w:rsidRDefault="00766D7A" w:rsidP="008E7389">
      <w:pPr>
        <w:spacing w:after="0" w:line="240" w:lineRule="auto"/>
      </w:pPr>
      <w:r>
        <w:continuationSeparator/>
      </w:r>
    </w:p>
  </w:footnote>
  <w:footnote w:id="1">
    <w:p w:rsidR="008E7389" w:rsidRPr="00415348" w:rsidRDefault="008E7389" w:rsidP="008E7389">
      <w:pPr>
        <w:pStyle w:val="FootnoteText"/>
        <w:rPr>
          <w:rFonts w:ascii="Arial" w:hAnsi="Arial" w:cs="Arial"/>
          <w:color w:val="244061" w:themeColor="accent1" w:themeShade="80"/>
          <w:sz w:val="17"/>
          <w:szCs w:val="17"/>
        </w:rPr>
      </w:pPr>
      <w:r w:rsidRPr="00415348">
        <w:rPr>
          <w:rStyle w:val="FootnoteReference"/>
          <w:rFonts w:ascii="Arial" w:hAnsi="Arial" w:cs="Arial"/>
          <w:color w:val="244061" w:themeColor="accent1" w:themeShade="80"/>
          <w:sz w:val="17"/>
          <w:szCs w:val="17"/>
        </w:rPr>
        <w:footnoteRef/>
      </w:r>
      <w:r w:rsidRPr="00415348">
        <w:rPr>
          <w:rFonts w:ascii="Arial" w:hAnsi="Arial" w:cs="Arial"/>
          <w:color w:val="244061" w:themeColor="accent1" w:themeShade="80"/>
          <w:sz w:val="17"/>
          <w:szCs w:val="17"/>
        </w:rPr>
        <w:t xml:space="preserve"> Izvor: Moja Rijeka, MULTIMEDIJALNI PORTAL GRADA RIJEKE, preuzeto 11. rujna 2015. </w:t>
      </w:r>
      <w:hyperlink r:id="rId1" w:history="1">
        <w:r w:rsidRPr="00415348">
          <w:rPr>
            <w:rStyle w:val="Hyperlink"/>
            <w:rFonts w:ascii="Arial" w:hAnsi="Arial" w:cs="Arial"/>
            <w:color w:val="000080" w:themeColor="hyperlink" w:themeShade="80"/>
            <w:sz w:val="17"/>
            <w:szCs w:val="17"/>
          </w:rPr>
          <w:t>http://www.mojarijeka.hr/vijesti/devet-opcina-i-gradova-u-rijeckoj-urbanoj-aglomeraciji/</w:t>
        </w:r>
      </w:hyperlink>
      <w:r w:rsidRPr="00415348">
        <w:rPr>
          <w:rFonts w:ascii="Arial" w:hAnsi="Arial" w:cs="Arial"/>
          <w:color w:val="244061" w:themeColor="accent1" w:themeShade="80"/>
          <w:sz w:val="17"/>
          <w:szCs w:val="17"/>
        </w:rPr>
        <w:t xml:space="preserve"> </w:t>
      </w:r>
    </w:p>
  </w:footnote>
  <w:footnote w:id="2">
    <w:p w:rsidR="000F3063" w:rsidRPr="00EA5567" w:rsidRDefault="000F3063" w:rsidP="00EA5567">
      <w:pPr>
        <w:pStyle w:val="FootnoteText"/>
        <w:jc w:val="both"/>
        <w:rPr>
          <w:rFonts w:ascii="Arial" w:hAnsi="Arial" w:cs="Arial"/>
          <w:color w:val="244061" w:themeColor="accent1" w:themeShade="80"/>
          <w:sz w:val="17"/>
          <w:szCs w:val="17"/>
        </w:rPr>
      </w:pPr>
      <w:r w:rsidRPr="00EA5567">
        <w:rPr>
          <w:rStyle w:val="FootnoteReference"/>
          <w:rFonts w:ascii="Arial" w:hAnsi="Arial" w:cs="Arial"/>
          <w:sz w:val="17"/>
          <w:szCs w:val="17"/>
        </w:rPr>
        <w:footnoteRef/>
      </w:r>
      <w:r w:rsidRPr="00EA5567">
        <w:rPr>
          <w:rFonts w:ascii="Arial" w:hAnsi="Arial" w:cs="Arial"/>
          <w:sz w:val="17"/>
          <w:szCs w:val="17"/>
        </w:rPr>
        <w:t xml:space="preserve"> </w:t>
      </w:r>
      <w:r w:rsidRPr="00EA5567">
        <w:rPr>
          <w:rFonts w:ascii="Arial" w:hAnsi="Arial" w:cs="Arial"/>
          <w:color w:val="244061" w:themeColor="accent1" w:themeShade="80"/>
          <w:sz w:val="17"/>
          <w:szCs w:val="17"/>
        </w:rPr>
        <w:t xml:space="preserve">Urbanu aglomeraciju Rijeka čini 10 gradova i općina koji su prihvatili prijedlog za uključivanje u aglomeraciju, s tim da se inicijalni prijedlog odnosio i na općine Lovran, Matulji i Omišalj. Izvor: </w:t>
      </w:r>
      <w:hyperlink r:id="rId2" w:history="1">
        <w:r w:rsidRPr="00EA5567">
          <w:rPr>
            <w:rStyle w:val="Hyperlink"/>
            <w:rFonts w:ascii="Arial" w:hAnsi="Arial" w:cs="Arial"/>
            <w:color w:val="000080" w:themeColor="hyperlink" w:themeShade="80"/>
            <w:sz w:val="17"/>
            <w:szCs w:val="17"/>
          </w:rPr>
          <w:t>http://www.mojarijeka.hr/vijesti/devet-opcina-i-gradova-u-rijeckoj-urbanoj-aglomeraciji/</w:t>
        </w:r>
      </w:hyperlink>
      <w:r w:rsidRPr="00EA5567">
        <w:rPr>
          <w:rFonts w:ascii="Arial" w:hAnsi="Arial" w:cs="Arial"/>
          <w:color w:val="244061" w:themeColor="accent1" w:themeShade="80"/>
          <w:sz w:val="17"/>
          <w:szCs w:val="17"/>
        </w:rPr>
        <w:t xml:space="preserve"> 54. gradonačelnikov kolegij, 1.07.2015.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67" w:rsidRDefault="00EA5567">
    <w:pPr>
      <w:pStyle w:val="Header"/>
    </w:pPr>
    <w:r>
      <w:rPr>
        <w:noProof/>
        <w:lang w:eastAsia="hr-HR"/>
      </w:rPr>
      <w:drawing>
        <wp:anchor distT="0" distB="0" distL="114300" distR="114300" simplePos="0" relativeHeight="251658240" behindDoc="0" locked="0" layoutInCell="1" allowOverlap="1" wp14:anchorId="0D4ADE2E" wp14:editId="0C3A4622">
          <wp:simplePos x="0" y="0"/>
          <wp:positionH relativeFrom="column">
            <wp:posOffset>36830</wp:posOffset>
          </wp:positionH>
          <wp:positionV relativeFrom="paragraph">
            <wp:posOffset>-65819</wp:posOffset>
          </wp:positionV>
          <wp:extent cx="1266825" cy="252095"/>
          <wp:effectExtent l="0" t="0" r="9525" b="0"/>
          <wp:wrapNone/>
          <wp:docPr id="2" name="Picture 2"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52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EA"/>
    <w:rsid w:val="0001331D"/>
    <w:rsid w:val="000462BD"/>
    <w:rsid w:val="000F3063"/>
    <w:rsid w:val="0015427A"/>
    <w:rsid w:val="002366DF"/>
    <w:rsid w:val="0027247E"/>
    <w:rsid w:val="00276D16"/>
    <w:rsid w:val="002C4E15"/>
    <w:rsid w:val="003254DB"/>
    <w:rsid w:val="0036105B"/>
    <w:rsid w:val="00364A39"/>
    <w:rsid w:val="00371B92"/>
    <w:rsid w:val="003C0074"/>
    <w:rsid w:val="003C116E"/>
    <w:rsid w:val="00415348"/>
    <w:rsid w:val="004160EF"/>
    <w:rsid w:val="00466FEA"/>
    <w:rsid w:val="004762F8"/>
    <w:rsid w:val="004946AC"/>
    <w:rsid w:val="004D07C8"/>
    <w:rsid w:val="004E3BA8"/>
    <w:rsid w:val="004F3E69"/>
    <w:rsid w:val="004F7B3C"/>
    <w:rsid w:val="005517C3"/>
    <w:rsid w:val="00574D34"/>
    <w:rsid w:val="005826B8"/>
    <w:rsid w:val="00632811"/>
    <w:rsid w:val="00634BA9"/>
    <w:rsid w:val="006535F0"/>
    <w:rsid w:val="006600AF"/>
    <w:rsid w:val="00666461"/>
    <w:rsid w:val="006B0180"/>
    <w:rsid w:val="006C2C83"/>
    <w:rsid w:val="00713E71"/>
    <w:rsid w:val="00733A0F"/>
    <w:rsid w:val="007575DE"/>
    <w:rsid w:val="00765899"/>
    <w:rsid w:val="00766D7A"/>
    <w:rsid w:val="00793E44"/>
    <w:rsid w:val="007A08C5"/>
    <w:rsid w:val="007C257E"/>
    <w:rsid w:val="007F341C"/>
    <w:rsid w:val="008163DB"/>
    <w:rsid w:val="008A15B9"/>
    <w:rsid w:val="008E7389"/>
    <w:rsid w:val="00901842"/>
    <w:rsid w:val="009825F7"/>
    <w:rsid w:val="009C2ABA"/>
    <w:rsid w:val="00A20A76"/>
    <w:rsid w:val="00A324E2"/>
    <w:rsid w:val="00A564B1"/>
    <w:rsid w:val="00A85582"/>
    <w:rsid w:val="00A95E07"/>
    <w:rsid w:val="00AD0A58"/>
    <w:rsid w:val="00AD359B"/>
    <w:rsid w:val="00B205FA"/>
    <w:rsid w:val="00BA0C46"/>
    <w:rsid w:val="00BA5704"/>
    <w:rsid w:val="00BF6698"/>
    <w:rsid w:val="00C0423D"/>
    <w:rsid w:val="00C343B3"/>
    <w:rsid w:val="00C8090C"/>
    <w:rsid w:val="00C8410D"/>
    <w:rsid w:val="00CB4F88"/>
    <w:rsid w:val="00CE4FEA"/>
    <w:rsid w:val="00D1505F"/>
    <w:rsid w:val="00D459C2"/>
    <w:rsid w:val="00D755C7"/>
    <w:rsid w:val="00D827B9"/>
    <w:rsid w:val="00DD6AA5"/>
    <w:rsid w:val="00DD7687"/>
    <w:rsid w:val="00DE42DF"/>
    <w:rsid w:val="00E134A9"/>
    <w:rsid w:val="00E1622B"/>
    <w:rsid w:val="00E4305E"/>
    <w:rsid w:val="00E6539B"/>
    <w:rsid w:val="00EA5567"/>
    <w:rsid w:val="00F44AA0"/>
    <w:rsid w:val="00F56A6D"/>
    <w:rsid w:val="00F72860"/>
    <w:rsid w:val="00FD3D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3D6AF-1EB7-4691-89F6-486D367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A0"/>
    <w:rPr>
      <w:rFonts w:ascii="Tahoma" w:hAnsi="Tahoma" w:cs="Tahoma"/>
      <w:sz w:val="16"/>
      <w:szCs w:val="16"/>
    </w:rPr>
  </w:style>
  <w:style w:type="paragraph" w:styleId="FootnoteText">
    <w:name w:val="footnote text"/>
    <w:basedOn w:val="Normal"/>
    <w:link w:val="FootnoteTextChar"/>
    <w:uiPriority w:val="99"/>
    <w:semiHidden/>
    <w:unhideWhenUsed/>
    <w:rsid w:val="008E7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389"/>
    <w:rPr>
      <w:sz w:val="20"/>
      <w:szCs w:val="20"/>
    </w:rPr>
  </w:style>
  <w:style w:type="character" w:styleId="FootnoteReference">
    <w:name w:val="footnote reference"/>
    <w:basedOn w:val="DefaultParagraphFont"/>
    <w:uiPriority w:val="99"/>
    <w:semiHidden/>
    <w:unhideWhenUsed/>
    <w:rsid w:val="008E7389"/>
    <w:rPr>
      <w:vertAlign w:val="superscript"/>
    </w:rPr>
  </w:style>
  <w:style w:type="character" w:styleId="Hyperlink">
    <w:name w:val="Hyperlink"/>
    <w:basedOn w:val="DefaultParagraphFont"/>
    <w:uiPriority w:val="99"/>
    <w:unhideWhenUsed/>
    <w:rsid w:val="008E7389"/>
    <w:rPr>
      <w:color w:val="0000FF" w:themeColor="hyperlink"/>
      <w:u w:val="single"/>
    </w:rPr>
  </w:style>
  <w:style w:type="character" w:styleId="CommentReference">
    <w:name w:val="annotation reference"/>
    <w:basedOn w:val="DefaultParagraphFont"/>
    <w:uiPriority w:val="99"/>
    <w:semiHidden/>
    <w:unhideWhenUsed/>
    <w:rsid w:val="00E1622B"/>
    <w:rPr>
      <w:sz w:val="16"/>
      <w:szCs w:val="16"/>
    </w:rPr>
  </w:style>
  <w:style w:type="paragraph" w:styleId="CommentText">
    <w:name w:val="annotation text"/>
    <w:basedOn w:val="Normal"/>
    <w:link w:val="CommentTextChar"/>
    <w:uiPriority w:val="99"/>
    <w:semiHidden/>
    <w:unhideWhenUsed/>
    <w:rsid w:val="00E1622B"/>
    <w:pPr>
      <w:spacing w:line="240" w:lineRule="auto"/>
    </w:pPr>
    <w:rPr>
      <w:sz w:val="20"/>
      <w:szCs w:val="20"/>
    </w:rPr>
  </w:style>
  <w:style w:type="character" w:customStyle="1" w:styleId="CommentTextChar">
    <w:name w:val="Comment Text Char"/>
    <w:basedOn w:val="DefaultParagraphFont"/>
    <w:link w:val="CommentText"/>
    <w:uiPriority w:val="99"/>
    <w:semiHidden/>
    <w:rsid w:val="00E1622B"/>
    <w:rPr>
      <w:sz w:val="20"/>
      <w:szCs w:val="20"/>
    </w:rPr>
  </w:style>
  <w:style w:type="paragraph" w:styleId="CommentSubject">
    <w:name w:val="annotation subject"/>
    <w:basedOn w:val="CommentText"/>
    <w:next w:val="CommentText"/>
    <w:link w:val="CommentSubjectChar"/>
    <w:uiPriority w:val="99"/>
    <w:semiHidden/>
    <w:unhideWhenUsed/>
    <w:rsid w:val="00E1622B"/>
    <w:rPr>
      <w:b/>
      <w:bCs/>
    </w:rPr>
  </w:style>
  <w:style w:type="character" w:customStyle="1" w:styleId="CommentSubjectChar">
    <w:name w:val="Comment Subject Char"/>
    <w:basedOn w:val="CommentTextChar"/>
    <w:link w:val="CommentSubject"/>
    <w:uiPriority w:val="99"/>
    <w:semiHidden/>
    <w:rsid w:val="00E1622B"/>
    <w:rPr>
      <w:b/>
      <w:bCs/>
      <w:sz w:val="20"/>
      <w:szCs w:val="20"/>
    </w:rPr>
  </w:style>
  <w:style w:type="paragraph" w:styleId="Header">
    <w:name w:val="header"/>
    <w:basedOn w:val="Normal"/>
    <w:link w:val="HeaderChar"/>
    <w:uiPriority w:val="99"/>
    <w:unhideWhenUsed/>
    <w:rsid w:val="00EA55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567"/>
  </w:style>
  <w:style w:type="paragraph" w:styleId="Footer">
    <w:name w:val="footer"/>
    <w:basedOn w:val="Normal"/>
    <w:link w:val="FooterChar"/>
    <w:uiPriority w:val="99"/>
    <w:unhideWhenUsed/>
    <w:rsid w:val="00EA5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752">
      <w:bodyDiv w:val="1"/>
      <w:marLeft w:val="0"/>
      <w:marRight w:val="0"/>
      <w:marTop w:val="0"/>
      <w:marBottom w:val="0"/>
      <w:divBdr>
        <w:top w:val="none" w:sz="0" w:space="0" w:color="auto"/>
        <w:left w:val="none" w:sz="0" w:space="0" w:color="auto"/>
        <w:bottom w:val="none" w:sz="0" w:space="0" w:color="auto"/>
        <w:right w:val="none" w:sz="0" w:space="0" w:color="auto"/>
      </w:divBdr>
    </w:div>
    <w:div w:id="114175564">
      <w:bodyDiv w:val="1"/>
      <w:marLeft w:val="0"/>
      <w:marRight w:val="0"/>
      <w:marTop w:val="0"/>
      <w:marBottom w:val="0"/>
      <w:divBdr>
        <w:top w:val="none" w:sz="0" w:space="0" w:color="auto"/>
        <w:left w:val="none" w:sz="0" w:space="0" w:color="auto"/>
        <w:bottom w:val="none" w:sz="0" w:space="0" w:color="auto"/>
        <w:right w:val="none" w:sz="0" w:space="0" w:color="auto"/>
      </w:divBdr>
    </w:div>
    <w:div w:id="219369520">
      <w:bodyDiv w:val="1"/>
      <w:marLeft w:val="0"/>
      <w:marRight w:val="0"/>
      <w:marTop w:val="0"/>
      <w:marBottom w:val="0"/>
      <w:divBdr>
        <w:top w:val="none" w:sz="0" w:space="0" w:color="auto"/>
        <w:left w:val="none" w:sz="0" w:space="0" w:color="auto"/>
        <w:bottom w:val="none" w:sz="0" w:space="0" w:color="auto"/>
        <w:right w:val="none" w:sz="0" w:space="0" w:color="auto"/>
      </w:divBdr>
    </w:div>
    <w:div w:id="242759098">
      <w:bodyDiv w:val="1"/>
      <w:marLeft w:val="0"/>
      <w:marRight w:val="0"/>
      <w:marTop w:val="0"/>
      <w:marBottom w:val="0"/>
      <w:divBdr>
        <w:top w:val="none" w:sz="0" w:space="0" w:color="auto"/>
        <w:left w:val="none" w:sz="0" w:space="0" w:color="auto"/>
        <w:bottom w:val="none" w:sz="0" w:space="0" w:color="auto"/>
        <w:right w:val="none" w:sz="0" w:space="0" w:color="auto"/>
      </w:divBdr>
    </w:div>
    <w:div w:id="251554235">
      <w:bodyDiv w:val="1"/>
      <w:marLeft w:val="0"/>
      <w:marRight w:val="0"/>
      <w:marTop w:val="0"/>
      <w:marBottom w:val="0"/>
      <w:divBdr>
        <w:top w:val="none" w:sz="0" w:space="0" w:color="auto"/>
        <w:left w:val="none" w:sz="0" w:space="0" w:color="auto"/>
        <w:bottom w:val="none" w:sz="0" w:space="0" w:color="auto"/>
        <w:right w:val="none" w:sz="0" w:space="0" w:color="auto"/>
      </w:divBdr>
    </w:div>
    <w:div w:id="552472121">
      <w:bodyDiv w:val="1"/>
      <w:marLeft w:val="0"/>
      <w:marRight w:val="0"/>
      <w:marTop w:val="0"/>
      <w:marBottom w:val="0"/>
      <w:divBdr>
        <w:top w:val="none" w:sz="0" w:space="0" w:color="auto"/>
        <w:left w:val="none" w:sz="0" w:space="0" w:color="auto"/>
        <w:bottom w:val="none" w:sz="0" w:space="0" w:color="auto"/>
        <w:right w:val="none" w:sz="0" w:space="0" w:color="auto"/>
      </w:divBdr>
    </w:div>
    <w:div w:id="604730591">
      <w:bodyDiv w:val="1"/>
      <w:marLeft w:val="0"/>
      <w:marRight w:val="0"/>
      <w:marTop w:val="0"/>
      <w:marBottom w:val="0"/>
      <w:divBdr>
        <w:top w:val="none" w:sz="0" w:space="0" w:color="auto"/>
        <w:left w:val="none" w:sz="0" w:space="0" w:color="auto"/>
        <w:bottom w:val="none" w:sz="0" w:space="0" w:color="auto"/>
        <w:right w:val="none" w:sz="0" w:space="0" w:color="auto"/>
      </w:divBdr>
      <w:divsChild>
        <w:div w:id="2000040894">
          <w:marLeft w:val="0"/>
          <w:marRight w:val="0"/>
          <w:marTop w:val="0"/>
          <w:marBottom w:val="0"/>
          <w:divBdr>
            <w:top w:val="none" w:sz="0" w:space="0" w:color="auto"/>
            <w:left w:val="none" w:sz="0" w:space="0" w:color="auto"/>
            <w:bottom w:val="none" w:sz="0" w:space="0" w:color="auto"/>
            <w:right w:val="none" w:sz="0" w:space="0" w:color="auto"/>
          </w:divBdr>
          <w:divsChild>
            <w:div w:id="1232884822">
              <w:marLeft w:val="0"/>
              <w:marRight w:val="0"/>
              <w:marTop w:val="0"/>
              <w:marBottom w:val="0"/>
              <w:divBdr>
                <w:top w:val="none" w:sz="0" w:space="0" w:color="auto"/>
                <w:left w:val="none" w:sz="0" w:space="0" w:color="auto"/>
                <w:bottom w:val="none" w:sz="0" w:space="0" w:color="auto"/>
                <w:right w:val="none" w:sz="0" w:space="0" w:color="auto"/>
              </w:divBdr>
              <w:divsChild>
                <w:div w:id="613752079">
                  <w:marLeft w:val="0"/>
                  <w:marRight w:val="0"/>
                  <w:marTop w:val="195"/>
                  <w:marBottom w:val="0"/>
                  <w:divBdr>
                    <w:top w:val="none" w:sz="0" w:space="0" w:color="auto"/>
                    <w:left w:val="none" w:sz="0" w:space="0" w:color="auto"/>
                    <w:bottom w:val="none" w:sz="0" w:space="0" w:color="auto"/>
                    <w:right w:val="none" w:sz="0" w:space="0" w:color="auto"/>
                  </w:divBdr>
                  <w:divsChild>
                    <w:div w:id="509296462">
                      <w:marLeft w:val="0"/>
                      <w:marRight w:val="0"/>
                      <w:marTop w:val="0"/>
                      <w:marBottom w:val="0"/>
                      <w:divBdr>
                        <w:top w:val="none" w:sz="0" w:space="0" w:color="auto"/>
                        <w:left w:val="none" w:sz="0" w:space="0" w:color="auto"/>
                        <w:bottom w:val="none" w:sz="0" w:space="0" w:color="auto"/>
                        <w:right w:val="none" w:sz="0" w:space="0" w:color="auto"/>
                      </w:divBdr>
                      <w:divsChild>
                        <w:div w:id="1695575829">
                          <w:marLeft w:val="0"/>
                          <w:marRight w:val="0"/>
                          <w:marTop w:val="0"/>
                          <w:marBottom w:val="0"/>
                          <w:divBdr>
                            <w:top w:val="none" w:sz="0" w:space="0" w:color="auto"/>
                            <w:left w:val="none" w:sz="0" w:space="0" w:color="auto"/>
                            <w:bottom w:val="none" w:sz="0" w:space="0" w:color="auto"/>
                            <w:right w:val="none" w:sz="0" w:space="0" w:color="auto"/>
                          </w:divBdr>
                          <w:divsChild>
                            <w:div w:id="1988051818">
                              <w:marLeft w:val="0"/>
                              <w:marRight w:val="0"/>
                              <w:marTop w:val="0"/>
                              <w:marBottom w:val="0"/>
                              <w:divBdr>
                                <w:top w:val="none" w:sz="0" w:space="0" w:color="auto"/>
                                <w:left w:val="none" w:sz="0" w:space="0" w:color="auto"/>
                                <w:bottom w:val="none" w:sz="0" w:space="0" w:color="auto"/>
                                <w:right w:val="none" w:sz="0" w:space="0" w:color="auto"/>
                              </w:divBdr>
                              <w:divsChild>
                                <w:div w:id="1599866346">
                                  <w:marLeft w:val="0"/>
                                  <w:marRight w:val="0"/>
                                  <w:marTop w:val="0"/>
                                  <w:marBottom w:val="0"/>
                                  <w:divBdr>
                                    <w:top w:val="none" w:sz="0" w:space="0" w:color="auto"/>
                                    <w:left w:val="none" w:sz="0" w:space="0" w:color="auto"/>
                                    <w:bottom w:val="none" w:sz="0" w:space="0" w:color="auto"/>
                                    <w:right w:val="none" w:sz="0" w:space="0" w:color="auto"/>
                                  </w:divBdr>
                                  <w:divsChild>
                                    <w:div w:id="365103427">
                                      <w:marLeft w:val="0"/>
                                      <w:marRight w:val="0"/>
                                      <w:marTop w:val="0"/>
                                      <w:marBottom w:val="0"/>
                                      <w:divBdr>
                                        <w:top w:val="none" w:sz="0" w:space="0" w:color="auto"/>
                                        <w:left w:val="none" w:sz="0" w:space="0" w:color="auto"/>
                                        <w:bottom w:val="none" w:sz="0" w:space="0" w:color="auto"/>
                                        <w:right w:val="none" w:sz="0" w:space="0" w:color="auto"/>
                                      </w:divBdr>
                                      <w:divsChild>
                                        <w:div w:id="1746225334">
                                          <w:marLeft w:val="0"/>
                                          <w:marRight w:val="0"/>
                                          <w:marTop w:val="0"/>
                                          <w:marBottom w:val="0"/>
                                          <w:divBdr>
                                            <w:top w:val="none" w:sz="0" w:space="0" w:color="auto"/>
                                            <w:left w:val="none" w:sz="0" w:space="0" w:color="auto"/>
                                            <w:bottom w:val="none" w:sz="0" w:space="0" w:color="auto"/>
                                            <w:right w:val="none" w:sz="0" w:space="0" w:color="auto"/>
                                          </w:divBdr>
                                          <w:divsChild>
                                            <w:div w:id="956060047">
                                              <w:marLeft w:val="0"/>
                                              <w:marRight w:val="0"/>
                                              <w:marTop w:val="0"/>
                                              <w:marBottom w:val="0"/>
                                              <w:divBdr>
                                                <w:top w:val="none" w:sz="0" w:space="0" w:color="auto"/>
                                                <w:left w:val="none" w:sz="0" w:space="0" w:color="auto"/>
                                                <w:bottom w:val="none" w:sz="0" w:space="0" w:color="auto"/>
                                                <w:right w:val="none" w:sz="0" w:space="0" w:color="auto"/>
                                              </w:divBdr>
                                              <w:divsChild>
                                                <w:div w:id="1525631062">
                                                  <w:marLeft w:val="0"/>
                                                  <w:marRight w:val="0"/>
                                                  <w:marTop w:val="0"/>
                                                  <w:marBottom w:val="0"/>
                                                  <w:divBdr>
                                                    <w:top w:val="none" w:sz="0" w:space="0" w:color="auto"/>
                                                    <w:left w:val="none" w:sz="0" w:space="0" w:color="auto"/>
                                                    <w:bottom w:val="none" w:sz="0" w:space="0" w:color="auto"/>
                                                    <w:right w:val="none" w:sz="0" w:space="0" w:color="auto"/>
                                                  </w:divBdr>
                                                  <w:divsChild>
                                                    <w:div w:id="1219509438">
                                                      <w:marLeft w:val="0"/>
                                                      <w:marRight w:val="0"/>
                                                      <w:marTop w:val="0"/>
                                                      <w:marBottom w:val="180"/>
                                                      <w:divBdr>
                                                        <w:top w:val="none" w:sz="0" w:space="0" w:color="auto"/>
                                                        <w:left w:val="none" w:sz="0" w:space="0" w:color="auto"/>
                                                        <w:bottom w:val="none" w:sz="0" w:space="0" w:color="auto"/>
                                                        <w:right w:val="none" w:sz="0" w:space="0" w:color="auto"/>
                                                      </w:divBdr>
                                                      <w:divsChild>
                                                        <w:div w:id="1370645690">
                                                          <w:marLeft w:val="0"/>
                                                          <w:marRight w:val="0"/>
                                                          <w:marTop w:val="0"/>
                                                          <w:marBottom w:val="0"/>
                                                          <w:divBdr>
                                                            <w:top w:val="none" w:sz="0" w:space="0" w:color="auto"/>
                                                            <w:left w:val="none" w:sz="0" w:space="0" w:color="auto"/>
                                                            <w:bottom w:val="none" w:sz="0" w:space="0" w:color="auto"/>
                                                            <w:right w:val="none" w:sz="0" w:space="0" w:color="auto"/>
                                                          </w:divBdr>
                                                          <w:divsChild>
                                                            <w:div w:id="1667896977">
                                                              <w:marLeft w:val="0"/>
                                                              <w:marRight w:val="0"/>
                                                              <w:marTop w:val="0"/>
                                                              <w:marBottom w:val="0"/>
                                                              <w:divBdr>
                                                                <w:top w:val="none" w:sz="0" w:space="0" w:color="auto"/>
                                                                <w:left w:val="none" w:sz="0" w:space="0" w:color="auto"/>
                                                                <w:bottom w:val="none" w:sz="0" w:space="0" w:color="auto"/>
                                                                <w:right w:val="none" w:sz="0" w:space="0" w:color="auto"/>
                                                              </w:divBdr>
                                                              <w:divsChild>
                                                                <w:div w:id="441920891">
                                                                  <w:marLeft w:val="0"/>
                                                                  <w:marRight w:val="0"/>
                                                                  <w:marTop w:val="0"/>
                                                                  <w:marBottom w:val="0"/>
                                                                  <w:divBdr>
                                                                    <w:top w:val="none" w:sz="0" w:space="0" w:color="auto"/>
                                                                    <w:left w:val="none" w:sz="0" w:space="0" w:color="auto"/>
                                                                    <w:bottom w:val="none" w:sz="0" w:space="0" w:color="auto"/>
                                                                    <w:right w:val="none" w:sz="0" w:space="0" w:color="auto"/>
                                                                  </w:divBdr>
                                                                  <w:divsChild>
                                                                    <w:div w:id="142016656">
                                                                      <w:marLeft w:val="0"/>
                                                                      <w:marRight w:val="0"/>
                                                                      <w:marTop w:val="0"/>
                                                                      <w:marBottom w:val="0"/>
                                                                      <w:divBdr>
                                                                        <w:top w:val="none" w:sz="0" w:space="0" w:color="auto"/>
                                                                        <w:left w:val="none" w:sz="0" w:space="0" w:color="auto"/>
                                                                        <w:bottom w:val="none" w:sz="0" w:space="0" w:color="auto"/>
                                                                        <w:right w:val="none" w:sz="0" w:space="0" w:color="auto"/>
                                                                      </w:divBdr>
                                                                      <w:divsChild>
                                                                        <w:div w:id="1247350688">
                                                                          <w:marLeft w:val="0"/>
                                                                          <w:marRight w:val="0"/>
                                                                          <w:marTop w:val="0"/>
                                                                          <w:marBottom w:val="0"/>
                                                                          <w:divBdr>
                                                                            <w:top w:val="none" w:sz="0" w:space="0" w:color="auto"/>
                                                                            <w:left w:val="none" w:sz="0" w:space="0" w:color="auto"/>
                                                                            <w:bottom w:val="none" w:sz="0" w:space="0" w:color="auto"/>
                                                                            <w:right w:val="none" w:sz="0" w:space="0" w:color="auto"/>
                                                                          </w:divBdr>
                                                                          <w:divsChild>
                                                                            <w:div w:id="3678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468176">
      <w:bodyDiv w:val="1"/>
      <w:marLeft w:val="0"/>
      <w:marRight w:val="0"/>
      <w:marTop w:val="0"/>
      <w:marBottom w:val="0"/>
      <w:divBdr>
        <w:top w:val="none" w:sz="0" w:space="0" w:color="auto"/>
        <w:left w:val="none" w:sz="0" w:space="0" w:color="auto"/>
        <w:bottom w:val="none" w:sz="0" w:space="0" w:color="auto"/>
        <w:right w:val="none" w:sz="0" w:space="0" w:color="auto"/>
      </w:divBdr>
    </w:div>
    <w:div w:id="905458010">
      <w:bodyDiv w:val="1"/>
      <w:marLeft w:val="0"/>
      <w:marRight w:val="0"/>
      <w:marTop w:val="0"/>
      <w:marBottom w:val="0"/>
      <w:divBdr>
        <w:top w:val="none" w:sz="0" w:space="0" w:color="auto"/>
        <w:left w:val="none" w:sz="0" w:space="0" w:color="auto"/>
        <w:bottom w:val="none" w:sz="0" w:space="0" w:color="auto"/>
        <w:right w:val="none" w:sz="0" w:space="0" w:color="auto"/>
      </w:divBdr>
      <w:divsChild>
        <w:div w:id="2061634952">
          <w:marLeft w:val="0"/>
          <w:marRight w:val="0"/>
          <w:marTop w:val="0"/>
          <w:marBottom w:val="0"/>
          <w:divBdr>
            <w:top w:val="none" w:sz="0" w:space="0" w:color="auto"/>
            <w:left w:val="none" w:sz="0" w:space="0" w:color="auto"/>
            <w:bottom w:val="none" w:sz="0" w:space="0" w:color="auto"/>
            <w:right w:val="none" w:sz="0" w:space="0" w:color="auto"/>
          </w:divBdr>
          <w:divsChild>
            <w:div w:id="1562327441">
              <w:marLeft w:val="0"/>
              <w:marRight w:val="0"/>
              <w:marTop w:val="0"/>
              <w:marBottom w:val="0"/>
              <w:divBdr>
                <w:top w:val="none" w:sz="0" w:space="0" w:color="auto"/>
                <w:left w:val="none" w:sz="0" w:space="0" w:color="auto"/>
                <w:bottom w:val="none" w:sz="0" w:space="0" w:color="auto"/>
                <w:right w:val="none" w:sz="0" w:space="0" w:color="auto"/>
              </w:divBdr>
              <w:divsChild>
                <w:div w:id="1826162657">
                  <w:marLeft w:val="0"/>
                  <w:marRight w:val="0"/>
                  <w:marTop w:val="195"/>
                  <w:marBottom w:val="0"/>
                  <w:divBdr>
                    <w:top w:val="none" w:sz="0" w:space="0" w:color="auto"/>
                    <w:left w:val="none" w:sz="0" w:space="0" w:color="auto"/>
                    <w:bottom w:val="none" w:sz="0" w:space="0" w:color="auto"/>
                    <w:right w:val="none" w:sz="0" w:space="0" w:color="auto"/>
                  </w:divBdr>
                  <w:divsChild>
                    <w:div w:id="1153134389">
                      <w:marLeft w:val="0"/>
                      <w:marRight w:val="0"/>
                      <w:marTop w:val="0"/>
                      <w:marBottom w:val="0"/>
                      <w:divBdr>
                        <w:top w:val="none" w:sz="0" w:space="0" w:color="auto"/>
                        <w:left w:val="none" w:sz="0" w:space="0" w:color="auto"/>
                        <w:bottom w:val="none" w:sz="0" w:space="0" w:color="auto"/>
                        <w:right w:val="none" w:sz="0" w:space="0" w:color="auto"/>
                      </w:divBdr>
                      <w:divsChild>
                        <w:div w:id="714155246">
                          <w:marLeft w:val="0"/>
                          <w:marRight w:val="0"/>
                          <w:marTop w:val="0"/>
                          <w:marBottom w:val="0"/>
                          <w:divBdr>
                            <w:top w:val="none" w:sz="0" w:space="0" w:color="auto"/>
                            <w:left w:val="none" w:sz="0" w:space="0" w:color="auto"/>
                            <w:bottom w:val="none" w:sz="0" w:space="0" w:color="auto"/>
                            <w:right w:val="none" w:sz="0" w:space="0" w:color="auto"/>
                          </w:divBdr>
                          <w:divsChild>
                            <w:div w:id="1082721632">
                              <w:marLeft w:val="0"/>
                              <w:marRight w:val="0"/>
                              <w:marTop w:val="0"/>
                              <w:marBottom w:val="0"/>
                              <w:divBdr>
                                <w:top w:val="none" w:sz="0" w:space="0" w:color="auto"/>
                                <w:left w:val="none" w:sz="0" w:space="0" w:color="auto"/>
                                <w:bottom w:val="none" w:sz="0" w:space="0" w:color="auto"/>
                                <w:right w:val="none" w:sz="0" w:space="0" w:color="auto"/>
                              </w:divBdr>
                              <w:divsChild>
                                <w:div w:id="530148258">
                                  <w:marLeft w:val="0"/>
                                  <w:marRight w:val="0"/>
                                  <w:marTop w:val="0"/>
                                  <w:marBottom w:val="0"/>
                                  <w:divBdr>
                                    <w:top w:val="none" w:sz="0" w:space="0" w:color="auto"/>
                                    <w:left w:val="none" w:sz="0" w:space="0" w:color="auto"/>
                                    <w:bottom w:val="none" w:sz="0" w:space="0" w:color="auto"/>
                                    <w:right w:val="none" w:sz="0" w:space="0" w:color="auto"/>
                                  </w:divBdr>
                                  <w:divsChild>
                                    <w:div w:id="1969361011">
                                      <w:marLeft w:val="0"/>
                                      <w:marRight w:val="0"/>
                                      <w:marTop w:val="0"/>
                                      <w:marBottom w:val="0"/>
                                      <w:divBdr>
                                        <w:top w:val="none" w:sz="0" w:space="0" w:color="auto"/>
                                        <w:left w:val="none" w:sz="0" w:space="0" w:color="auto"/>
                                        <w:bottom w:val="none" w:sz="0" w:space="0" w:color="auto"/>
                                        <w:right w:val="none" w:sz="0" w:space="0" w:color="auto"/>
                                      </w:divBdr>
                                      <w:divsChild>
                                        <w:div w:id="1116362921">
                                          <w:marLeft w:val="0"/>
                                          <w:marRight w:val="0"/>
                                          <w:marTop w:val="0"/>
                                          <w:marBottom w:val="0"/>
                                          <w:divBdr>
                                            <w:top w:val="none" w:sz="0" w:space="0" w:color="auto"/>
                                            <w:left w:val="none" w:sz="0" w:space="0" w:color="auto"/>
                                            <w:bottom w:val="none" w:sz="0" w:space="0" w:color="auto"/>
                                            <w:right w:val="none" w:sz="0" w:space="0" w:color="auto"/>
                                          </w:divBdr>
                                          <w:divsChild>
                                            <w:div w:id="1447625606">
                                              <w:marLeft w:val="0"/>
                                              <w:marRight w:val="0"/>
                                              <w:marTop w:val="0"/>
                                              <w:marBottom w:val="0"/>
                                              <w:divBdr>
                                                <w:top w:val="none" w:sz="0" w:space="0" w:color="auto"/>
                                                <w:left w:val="none" w:sz="0" w:space="0" w:color="auto"/>
                                                <w:bottom w:val="none" w:sz="0" w:space="0" w:color="auto"/>
                                                <w:right w:val="none" w:sz="0" w:space="0" w:color="auto"/>
                                              </w:divBdr>
                                              <w:divsChild>
                                                <w:div w:id="2112701847">
                                                  <w:marLeft w:val="0"/>
                                                  <w:marRight w:val="0"/>
                                                  <w:marTop w:val="0"/>
                                                  <w:marBottom w:val="0"/>
                                                  <w:divBdr>
                                                    <w:top w:val="none" w:sz="0" w:space="0" w:color="auto"/>
                                                    <w:left w:val="none" w:sz="0" w:space="0" w:color="auto"/>
                                                    <w:bottom w:val="none" w:sz="0" w:space="0" w:color="auto"/>
                                                    <w:right w:val="none" w:sz="0" w:space="0" w:color="auto"/>
                                                  </w:divBdr>
                                                  <w:divsChild>
                                                    <w:div w:id="1706171347">
                                                      <w:marLeft w:val="0"/>
                                                      <w:marRight w:val="0"/>
                                                      <w:marTop w:val="0"/>
                                                      <w:marBottom w:val="180"/>
                                                      <w:divBdr>
                                                        <w:top w:val="none" w:sz="0" w:space="0" w:color="auto"/>
                                                        <w:left w:val="none" w:sz="0" w:space="0" w:color="auto"/>
                                                        <w:bottom w:val="none" w:sz="0" w:space="0" w:color="auto"/>
                                                        <w:right w:val="none" w:sz="0" w:space="0" w:color="auto"/>
                                                      </w:divBdr>
                                                      <w:divsChild>
                                                        <w:div w:id="214202055">
                                                          <w:marLeft w:val="0"/>
                                                          <w:marRight w:val="0"/>
                                                          <w:marTop w:val="0"/>
                                                          <w:marBottom w:val="0"/>
                                                          <w:divBdr>
                                                            <w:top w:val="none" w:sz="0" w:space="0" w:color="auto"/>
                                                            <w:left w:val="none" w:sz="0" w:space="0" w:color="auto"/>
                                                            <w:bottom w:val="none" w:sz="0" w:space="0" w:color="auto"/>
                                                            <w:right w:val="none" w:sz="0" w:space="0" w:color="auto"/>
                                                          </w:divBdr>
                                                          <w:divsChild>
                                                            <w:div w:id="736899589">
                                                              <w:marLeft w:val="0"/>
                                                              <w:marRight w:val="0"/>
                                                              <w:marTop w:val="0"/>
                                                              <w:marBottom w:val="0"/>
                                                              <w:divBdr>
                                                                <w:top w:val="none" w:sz="0" w:space="0" w:color="auto"/>
                                                                <w:left w:val="none" w:sz="0" w:space="0" w:color="auto"/>
                                                                <w:bottom w:val="none" w:sz="0" w:space="0" w:color="auto"/>
                                                                <w:right w:val="none" w:sz="0" w:space="0" w:color="auto"/>
                                                              </w:divBdr>
                                                              <w:divsChild>
                                                                <w:div w:id="857475507">
                                                                  <w:marLeft w:val="0"/>
                                                                  <w:marRight w:val="0"/>
                                                                  <w:marTop w:val="0"/>
                                                                  <w:marBottom w:val="0"/>
                                                                  <w:divBdr>
                                                                    <w:top w:val="none" w:sz="0" w:space="0" w:color="auto"/>
                                                                    <w:left w:val="none" w:sz="0" w:space="0" w:color="auto"/>
                                                                    <w:bottom w:val="none" w:sz="0" w:space="0" w:color="auto"/>
                                                                    <w:right w:val="none" w:sz="0" w:space="0" w:color="auto"/>
                                                                  </w:divBdr>
                                                                  <w:divsChild>
                                                                    <w:div w:id="2139643178">
                                                                      <w:marLeft w:val="0"/>
                                                                      <w:marRight w:val="0"/>
                                                                      <w:marTop w:val="0"/>
                                                                      <w:marBottom w:val="0"/>
                                                                      <w:divBdr>
                                                                        <w:top w:val="none" w:sz="0" w:space="0" w:color="auto"/>
                                                                        <w:left w:val="none" w:sz="0" w:space="0" w:color="auto"/>
                                                                        <w:bottom w:val="none" w:sz="0" w:space="0" w:color="auto"/>
                                                                        <w:right w:val="none" w:sz="0" w:space="0" w:color="auto"/>
                                                                      </w:divBdr>
                                                                      <w:divsChild>
                                                                        <w:div w:id="1573156515">
                                                                          <w:marLeft w:val="0"/>
                                                                          <w:marRight w:val="0"/>
                                                                          <w:marTop w:val="0"/>
                                                                          <w:marBottom w:val="0"/>
                                                                          <w:divBdr>
                                                                            <w:top w:val="none" w:sz="0" w:space="0" w:color="auto"/>
                                                                            <w:left w:val="none" w:sz="0" w:space="0" w:color="auto"/>
                                                                            <w:bottom w:val="none" w:sz="0" w:space="0" w:color="auto"/>
                                                                            <w:right w:val="none" w:sz="0" w:space="0" w:color="auto"/>
                                                                          </w:divBdr>
                                                                          <w:divsChild>
                                                                            <w:div w:id="12244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902320">
      <w:bodyDiv w:val="1"/>
      <w:marLeft w:val="0"/>
      <w:marRight w:val="0"/>
      <w:marTop w:val="0"/>
      <w:marBottom w:val="0"/>
      <w:divBdr>
        <w:top w:val="none" w:sz="0" w:space="0" w:color="auto"/>
        <w:left w:val="none" w:sz="0" w:space="0" w:color="auto"/>
        <w:bottom w:val="none" w:sz="0" w:space="0" w:color="auto"/>
        <w:right w:val="none" w:sz="0" w:space="0" w:color="auto"/>
      </w:divBdr>
    </w:div>
    <w:div w:id="1520700550">
      <w:bodyDiv w:val="1"/>
      <w:marLeft w:val="0"/>
      <w:marRight w:val="0"/>
      <w:marTop w:val="0"/>
      <w:marBottom w:val="0"/>
      <w:divBdr>
        <w:top w:val="none" w:sz="0" w:space="0" w:color="auto"/>
        <w:left w:val="none" w:sz="0" w:space="0" w:color="auto"/>
        <w:bottom w:val="none" w:sz="0" w:space="0" w:color="auto"/>
        <w:right w:val="none" w:sz="0" w:space="0" w:color="auto"/>
      </w:divBdr>
    </w:div>
    <w:div w:id="1583097606">
      <w:bodyDiv w:val="1"/>
      <w:marLeft w:val="0"/>
      <w:marRight w:val="0"/>
      <w:marTop w:val="0"/>
      <w:marBottom w:val="0"/>
      <w:divBdr>
        <w:top w:val="none" w:sz="0" w:space="0" w:color="auto"/>
        <w:left w:val="none" w:sz="0" w:space="0" w:color="auto"/>
        <w:bottom w:val="none" w:sz="0" w:space="0" w:color="auto"/>
        <w:right w:val="none" w:sz="0" w:space="0" w:color="auto"/>
      </w:divBdr>
      <w:divsChild>
        <w:div w:id="1392847477">
          <w:marLeft w:val="0"/>
          <w:marRight w:val="0"/>
          <w:marTop w:val="0"/>
          <w:marBottom w:val="0"/>
          <w:divBdr>
            <w:top w:val="none" w:sz="0" w:space="0" w:color="auto"/>
            <w:left w:val="none" w:sz="0" w:space="0" w:color="auto"/>
            <w:bottom w:val="none" w:sz="0" w:space="0" w:color="auto"/>
            <w:right w:val="none" w:sz="0" w:space="0" w:color="auto"/>
          </w:divBdr>
          <w:divsChild>
            <w:div w:id="2027051670">
              <w:marLeft w:val="0"/>
              <w:marRight w:val="0"/>
              <w:marTop w:val="0"/>
              <w:marBottom w:val="0"/>
              <w:divBdr>
                <w:top w:val="none" w:sz="0" w:space="0" w:color="auto"/>
                <w:left w:val="none" w:sz="0" w:space="0" w:color="auto"/>
                <w:bottom w:val="none" w:sz="0" w:space="0" w:color="auto"/>
                <w:right w:val="none" w:sz="0" w:space="0" w:color="auto"/>
              </w:divBdr>
              <w:divsChild>
                <w:div w:id="1762288163">
                  <w:marLeft w:val="0"/>
                  <w:marRight w:val="0"/>
                  <w:marTop w:val="195"/>
                  <w:marBottom w:val="0"/>
                  <w:divBdr>
                    <w:top w:val="none" w:sz="0" w:space="0" w:color="auto"/>
                    <w:left w:val="none" w:sz="0" w:space="0" w:color="auto"/>
                    <w:bottom w:val="none" w:sz="0" w:space="0" w:color="auto"/>
                    <w:right w:val="none" w:sz="0" w:space="0" w:color="auto"/>
                  </w:divBdr>
                  <w:divsChild>
                    <w:div w:id="1254624526">
                      <w:marLeft w:val="0"/>
                      <w:marRight w:val="0"/>
                      <w:marTop w:val="0"/>
                      <w:marBottom w:val="0"/>
                      <w:divBdr>
                        <w:top w:val="none" w:sz="0" w:space="0" w:color="auto"/>
                        <w:left w:val="none" w:sz="0" w:space="0" w:color="auto"/>
                        <w:bottom w:val="none" w:sz="0" w:space="0" w:color="auto"/>
                        <w:right w:val="none" w:sz="0" w:space="0" w:color="auto"/>
                      </w:divBdr>
                      <w:divsChild>
                        <w:div w:id="1858807699">
                          <w:marLeft w:val="0"/>
                          <w:marRight w:val="0"/>
                          <w:marTop w:val="0"/>
                          <w:marBottom w:val="0"/>
                          <w:divBdr>
                            <w:top w:val="none" w:sz="0" w:space="0" w:color="auto"/>
                            <w:left w:val="none" w:sz="0" w:space="0" w:color="auto"/>
                            <w:bottom w:val="none" w:sz="0" w:space="0" w:color="auto"/>
                            <w:right w:val="none" w:sz="0" w:space="0" w:color="auto"/>
                          </w:divBdr>
                          <w:divsChild>
                            <w:div w:id="1394112820">
                              <w:marLeft w:val="0"/>
                              <w:marRight w:val="0"/>
                              <w:marTop w:val="0"/>
                              <w:marBottom w:val="0"/>
                              <w:divBdr>
                                <w:top w:val="none" w:sz="0" w:space="0" w:color="auto"/>
                                <w:left w:val="none" w:sz="0" w:space="0" w:color="auto"/>
                                <w:bottom w:val="none" w:sz="0" w:space="0" w:color="auto"/>
                                <w:right w:val="none" w:sz="0" w:space="0" w:color="auto"/>
                              </w:divBdr>
                              <w:divsChild>
                                <w:div w:id="856626957">
                                  <w:marLeft w:val="0"/>
                                  <w:marRight w:val="0"/>
                                  <w:marTop w:val="0"/>
                                  <w:marBottom w:val="0"/>
                                  <w:divBdr>
                                    <w:top w:val="none" w:sz="0" w:space="0" w:color="auto"/>
                                    <w:left w:val="none" w:sz="0" w:space="0" w:color="auto"/>
                                    <w:bottom w:val="none" w:sz="0" w:space="0" w:color="auto"/>
                                    <w:right w:val="none" w:sz="0" w:space="0" w:color="auto"/>
                                  </w:divBdr>
                                  <w:divsChild>
                                    <w:div w:id="1437868309">
                                      <w:marLeft w:val="0"/>
                                      <w:marRight w:val="0"/>
                                      <w:marTop w:val="0"/>
                                      <w:marBottom w:val="0"/>
                                      <w:divBdr>
                                        <w:top w:val="none" w:sz="0" w:space="0" w:color="auto"/>
                                        <w:left w:val="none" w:sz="0" w:space="0" w:color="auto"/>
                                        <w:bottom w:val="none" w:sz="0" w:space="0" w:color="auto"/>
                                        <w:right w:val="none" w:sz="0" w:space="0" w:color="auto"/>
                                      </w:divBdr>
                                      <w:divsChild>
                                        <w:div w:id="2051952201">
                                          <w:marLeft w:val="0"/>
                                          <w:marRight w:val="0"/>
                                          <w:marTop w:val="0"/>
                                          <w:marBottom w:val="0"/>
                                          <w:divBdr>
                                            <w:top w:val="none" w:sz="0" w:space="0" w:color="auto"/>
                                            <w:left w:val="none" w:sz="0" w:space="0" w:color="auto"/>
                                            <w:bottom w:val="none" w:sz="0" w:space="0" w:color="auto"/>
                                            <w:right w:val="none" w:sz="0" w:space="0" w:color="auto"/>
                                          </w:divBdr>
                                          <w:divsChild>
                                            <w:div w:id="1176379567">
                                              <w:marLeft w:val="0"/>
                                              <w:marRight w:val="0"/>
                                              <w:marTop w:val="0"/>
                                              <w:marBottom w:val="0"/>
                                              <w:divBdr>
                                                <w:top w:val="none" w:sz="0" w:space="0" w:color="auto"/>
                                                <w:left w:val="none" w:sz="0" w:space="0" w:color="auto"/>
                                                <w:bottom w:val="none" w:sz="0" w:space="0" w:color="auto"/>
                                                <w:right w:val="none" w:sz="0" w:space="0" w:color="auto"/>
                                              </w:divBdr>
                                              <w:divsChild>
                                                <w:div w:id="1255866623">
                                                  <w:marLeft w:val="0"/>
                                                  <w:marRight w:val="0"/>
                                                  <w:marTop w:val="0"/>
                                                  <w:marBottom w:val="0"/>
                                                  <w:divBdr>
                                                    <w:top w:val="none" w:sz="0" w:space="0" w:color="auto"/>
                                                    <w:left w:val="none" w:sz="0" w:space="0" w:color="auto"/>
                                                    <w:bottom w:val="none" w:sz="0" w:space="0" w:color="auto"/>
                                                    <w:right w:val="none" w:sz="0" w:space="0" w:color="auto"/>
                                                  </w:divBdr>
                                                  <w:divsChild>
                                                    <w:div w:id="1849248481">
                                                      <w:marLeft w:val="0"/>
                                                      <w:marRight w:val="0"/>
                                                      <w:marTop w:val="0"/>
                                                      <w:marBottom w:val="180"/>
                                                      <w:divBdr>
                                                        <w:top w:val="none" w:sz="0" w:space="0" w:color="auto"/>
                                                        <w:left w:val="none" w:sz="0" w:space="0" w:color="auto"/>
                                                        <w:bottom w:val="none" w:sz="0" w:space="0" w:color="auto"/>
                                                        <w:right w:val="none" w:sz="0" w:space="0" w:color="auto"/>
                                                      </w:divBdr>
                                                      <w:divsChild>
                                                        <w:div w:id="1427578681">
                                                          <w:marLeft w:val="0"/>
                                                          <w:marRight w:val="0"/>
                                                          <w:marTop w:val="0"/>
                                                          <w:marBottom w:val="0"/>
                                                          <w:divBdr>
                                                            <w:top w:val="none" w:sz="0" w:space="0" w:color="auto"/>
                                                            <w:left w:val="none" w:sz="0" w:space="0" w:color="auto"/>
                                                            <w:bottom w:val="none" w:sz="0" w:space="0" w:color="auto"/>
                                                            <w:right w:val="none" w:sz="0" w:space="0" w:color="auto"/>
                                                          </w:divBdr>
                                                          <w:divsChild>
                                                            <w:div w:id="571425582">
                                                              <w:marLeft w:val="0"/>
                                                              <w:marRight w:val="0"/>
                                                              <w:marTop w:val="0"/>
                                                              <w:marBottom w:val="0"/>
                                                              <w:divBdr>
                                                                <w:top w:val="none" w:sz="0" w:space="0" w:color="auto"/>
                                                                <w:left w:val="none" w:sz="0" w:space="0" w:color="auto"/>
                                                                <w:bottom w:val="none" w:sz="0" w:space="0" w:color="auto"/>
                                                                <w:right w:val="none" w:sz="0" w:space="0" w:color="auto"/>
                                                              </w:divBdr>
                                                              <w:divsChild>
                                                                <w:div w:id="2132167299">
                                                                  <w:marLeft w:val="0"/>
                                                                  <w:marRight w:val="0"/>
                                                                  <w:marTop w:val="0"/>
                                                                  <w:marBottom w:val="0"/>
                                                                  <w:divBdr>
                                                                    <w:top w:val="none" w:sz="0" w:space="0" w:color="auto"/>
                                                                    <w:left w:val="none" w:sz="0" w:space="0" w:color="auto"/>
                                                                    <w:bottom w:val="none" w:sz="0" w:space="0" w:color="auto"/>
                                                                    <w:right w:val="none" w:sz="0" w:space="0" w:color="auto"/>
                                                                  </w:divBdr>
                                                                  <w:divsChild>
                                                                    <w:div w:id="1042482863">
                                                                      <w:marLeft w:val="0"/>
                                                                      <w:marRight w:val="0"/>
                                                                      <w:marTop w:val="0"/>
                                                                      <w:marBottom w:val="0"/>
                                                                      <w:divBdr>
                                                                        <w:top w:val="none" w:sz="0" w:space="0" w:color="auto"/>
                                                                        <w:left w:val="none" w:sz="0" w:space="0" w:color="auto"/>
                                                                        <w:bottom w:val="none" w:sz="0" w:space="0" w:color="auto"/>
                                                                        <w:right w:val="none" w:sz="0" w:space="0" w:color="auto"/>
                                                                      </w:divBdr>
                                                                      <w:divsChild>
                                                                        <w:div w:id="1737700217">
                                                                          <w:marLeft w:val="0"/>
                                                                          <w:marRight w:val="0"/>
                                                                          <w:marTop w:val="0"/>
                                                                          <w:marBottom w:val="0"/>
                                                                          <w:divBdr>
                                                                            <w:top w:val="none" w:sz="0" w:space="0" w:color="auto"/>
                                                                            <w:left w:val="none" w:sz="0" w:space="0" w:color="auto"/>
                                                                            <w:bottom w:val="none" w:sz="0" w:space="0" w:color="auto"/>
                                                                            <w:right w:val="none" w:sz="0" w:space="0" w:color="auto"/>
                                                                          </w:divBdr>
                                                                          <w:divsChild>
                                                                            <w:div w:id="12390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905">
      <w:bodyDiv w:val="1"/>
      <w:marLeft w:val="0"/>
      <w:marRight w:val="0"/>
      <w:marTop w:val="0"/>
      <w:marBottom w:val="0"/>
      <w:divBdr>
        <w:top w:val="none" w:sz="0" w:space="0" w:color="auto"/>
        <w:left w:val="none" w:sz="0" w:space="0" w:color="auto"/>
        <w:bottom w:val="none" w:sz="0" w:space="0" w:color="auto"/>
        <w:right w:val="none" w:sz="0" w:space="0" w:color="auto"/>
      </w:divBdr>
    </w:div>
    <w:div w:id="1823614217">
      <w:bodyDiv w:val="1"/>
      <w:marLeft w:val="0"/>
      <w:marRight w:val="0"/>
      <w:marTop w:val="0"/>
      <w:marBottom w:val="0"/>
      <w:divBdr>
        <w:top w:val="none" w:sz="0" w:space="0" w:color="auto"/>
        <w:left w:val="none" w:sz="0" w:space="0" w:color="auto"/>
        <w:bottom w:val="none" w:sz="0" w:space="0" w:color="auto"/>
        <w:right w:val="none" w:sz="0" w:space="0" w:color="auto"/>
      </w:divBdr>
    </w:div>
    <w:div w:id="1839299741">
      <w:bodyDiv w:val="1"/>
      <w:marLeft w:val="0"/>
      <w:marRight w:val="0"/>
      <w:marTop w:val="0"/>
      <w:marBottom w:val="0"/>
      <w:divBdr>
        <w:top w:val="none" w:sz="0" w:space="0" w:color="auto"/>
        <w:left w:val="none" w:sz="0" w:space="0" w:color="auto"/>
        <w:bottom w:val="none" w:sz="0" w:space="0" w:color="auto"/>
        <w:right w:val="none" w:sz="0" w:space="0" w:color="auto"/>
      </w:divBdr>
    </w:div>
    <w:div w:id="19867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gfi.fina.hr/JavnaObjava-web/jsp/prijavaKorisnika.jsp" TargetMode="External"/><Relationship Id="rId18" Type="http://schemas.openxmlformats.org/officeDocument/2006/relationships/hyperlink" Target="mailto:rgfi@fina.h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hr/url?sa=i&amp;rct=j&amp;q=&amp;esrc=s&amp;source=images&amp;cd=&amp;cad=rja&amp;uact=8&amp;ved=0CAUQjRxqFQoTCJ6R-JOs7scCFYVtFAodiXwCIQ&amp;url=http://www.rijeka.hr/lgs.axd?t=16&amp;id=88360&amp;psig=AFQjCNH8E3dSKGMKt8hOq74bTKredCBGNQ&amp;ust=1442039022414839" TargetMode="External"/><Relationship Id="rId12" Type="http://schemas.openxmlformats.org/officeDocument/2006/relationships/image" Target="media/image4.png"/><Relationship Id="rId17" Type="http://schemas.openxmlformats.org/officeDocument/2006/relationships/hyperlink" Target="http://rgfi.fina.hr/IzvjestajiRGFI.web/main/home.jsp" TargetMode="External"/><Relationship Id="rId2" Type="http://schemas.openxmlformats.org/officeDocument/2006/relationships/styles" Target="styles.xml"/><Relationship Id="rId16" Type="http://schemas.openxmlformats.org/officeDocument/2006/relationships/hyperlink" Target="https://servisi.fina.hr/IPaket-login.web/pSubjektTrazi.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transparentno.hr/" TargetMode="External"/><Relationship Id="rId10" Type="http://schemas.openxmlformats.org/officeDocument/2006/relationships/image" Target="media/image2.png"/><Relationship Id="rId19" Type="http://schemas.openxmlformats.org/officeDocument/2006/relationships/hyperlink" Target="http://rgfi.fina.hr/JavnaObjava-web/jsp/prijavaKorisnika.jsp"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rgfi.fina.hr/JavnaObjava-web/jsp/prijavaKorisnika.j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ojarijeka.hr/vijesti/devet-opcina-i-gradova-u-rijeckoj-urbanoj-aglomeraciji/" TargetMode="External"/><Relationship Id="rId1" Type="http://schemas.openxmlformats.org/officeDocument/2006/relationships/hyperlink" Target="http://www.mojarijeka.hr/vijesti/devet-opcina-i-gradova-u-rijeckoj-urbanoj-aglomeracij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FEAF-7CD8-421E-880B-D3ED9959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1627</Words>
  <Characters>9275</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Nikolac Ivica</cp:lastModifiedBy>
  <cp:revision>2</cp:revision>
  <cp:lastPrinted>2015-09-11T12:33:00Z</cp:lastPrinted>
  <dcterms:created xsi:type="dcterms:W3CDTF">2016-01-29T11:19:00Z</dcterms:created>
  <dcterms:modified xsi:type="dcterms:W3CDTF">2016-01-29T11:19:00Z</dcterms:modified>
</cp:coreProperties>
</file>