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5D89" w:rsidRPr="00785D89">
        <w:rPr>
          <w:rFonts w:asciiTheme="minorHAnsi" w:hAnsiTheme="minorHAnsi" w:cstheme="minorHAnsi"/>
          <w:b/>
          <w:color w:val="000000"/>
          <w:sz w:val="24"/>
          <w:szCs w:val="24"/>
        </w:rPr>
        <w:t>Izvođenje radova u poslovnom prostoru na adresi Pavla Rittera Vitezovića 11 – ponovljeni postupak, Ev.br.: 17-00-33/2021</w:t>
      </w:r>
      <w:bookmarkStart w:id="2" w:name="_GoBack"/>
      <w:bookmarkEnd w:id="2"/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7A25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7A2555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2E43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5D89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255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617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15</cp:revision>
  <cp:lastPrinted>2018-11-27T13:04:00Z</cp:lastPrinted>
  <dcterms:created xsi:type="dcterms:W3CDTF">2018-11-21T10:03:00Z</dcterms:created>
  <dcterms:modified xsi:type="dcterms:W3CDTF">2021-11-25T08:46:00Z</dcterms:modified>
</cp:coreProperties>
</file>