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E9C" w:rsidRPr="00A73102" w:rsidRDefault="00233104">
      <w:pPr>
        <w:rPr>
          <w:b/>
        </w:rPr>
      </w:pPr>
      <w:bookmarkStart w:id="0" w:name="_GoBack"/>
      <w:bookmarkEnd w:id="0"/>
      <w:r w:rsidRPr="00A73102">
        <w:rPr>
          <w:b/>
        </w:rPr>
        <w:t xml:space="preserve">                           </w:t>
      </w:r>
      <w:r w:rsidR="00221098" w:rsidRPr="00A73102">
        <w:rPr>
          <w:b/>
        </w:rPr>
        <w:t xml:space="preserve"> </w:t>
      </w:r>
      <w:r w:rsidRPr="00A73102">
        <w:rPr>
          <w:b/>
        </w:rPr>
        <w:t xml:space="preserve"> </w:t>
      </w:r>
      <w:r w:rsidR="00221098" w:rsidRPr="00A73102">
        <w:rPr>
          <w:b/>
        </w:rPr>
        <w:t xml:space="preserve">  </w:t>
      </w:r>
      <w:r w:rsidR="00073E9C" w:rsidRPr="00A73102">
        <w:rPr>
          <w:b/>
          <w:noProof/>
          <w:lang w:val="en-US" w:eastAsia="en-US"/>
        </w:rPr>
        <w:drawing>
          <wp:inline distT="0" distB="0" distL="0" distR="0" wp14:anchorId="57A3D2E3" wp14:editId="42DE2681">
            <wp:extent cx="464653" cy="568960"/>
            <wp:effectExtent l="0" t="0" r="0" b="2540"/>
            <wp:docPr id="1" name="Picture 1" descr="grb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h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741" cy="577639"/>
                    </a:xfrm>
                    <a:prstGeom prst="rect">
                      <a:avLst/>
                    </a:prstGeom>
                    <a:noFill/>
                    <a:ln>
                      <a:noFill/>
                    </a:ln>
                  </pic:spPr>
                </pic:pic>
              </a:graphicData>
            </a:graphic>
          </wp:inline>
        </w:drawing>
      </w:r>
      <w:r w:rsidR="00221098" w:rsidRPr="00A73102">
        <w:rPr>
          <w:b/>
        </w:rPr>
        <w:t xml:space="preserve">  </w:t>
      </w:r>
    </w:p>
    <w:p w:rsidR="00233104" w:rsidRPr="00A73102" w:rsidRDefault="00233104">
      <w:pPr>
        <w:rPr>
          <w:b/>
          <w:sz w:val="16"/>
          <w:szCs w:val="16"/>
        </w:rPr>
      </w:pPr>
    </w:p>
    <w:p w:rsidR="00221098" w:rsidRPr="00A73102" w:rsidRDefault="00175D32">
      <w:pPr>
        <w:pStyle w:val="Heading1"/>
        <w:spacing w:line="240" w:lineRule="exact"/>
        <w:rPr>
          <w:rFonts w:ascii="Times New Roman" w:hAnsi="Times New Roman"/>
          <w:sz w:val="22"/>
          <w:szCs w:val="22"/>
        </w:rPr>
      </w:pPr>
      <w:r w:rsidRPr="00A73102">
        <w:rPr>
          <w:rFonts w:ascii="Times New Roman" w:hAnsi="Times New Roman"/>
          <w:sz w:val="22"/>
          <w:szCs w:val="22"/>
        </w:rPr>
        <w:t xml:space="preserve"> REPUBLIKA </w:t>
      </w:r>
      <w:r w:rsidR="00221098" w:rsidRPr="00A73102">
        <w:rPr>
          <w:rFonts w:ascii="Times New Roman" w:hAnsi="Times New Roman"/>
          <w:sz w:val="22"/>
          <w:szCs w:val="22"/>
        </w:rPr>
        <w:t>HRVATSKA</w:t>
      </w:r>
    </w:p>
    <w:p w:rsidR="00221098" w:rsidRPr="00A73102" w:rsidRDefault="00221098">
      <w:pPr>
        <w:spacing w:line="240" w:lineRule="exact"/>
        <w:ind w:right="4835"/>
        <w:jc w:val="both"/>
        <w:rPr>
          <w:b/>
          <w:sz w:val="22"/>
          <w:szCs w:val="22"/>
        </w:rPr>
      </w:pPr>
      <w:r w:rsidRPr="00A73102">
        <w:rPr>
          <w:b/>
          <w:sz w:val="22"/>
          <w:szCs w:val="22"/>
        </w:rPr>
        <w:t>PRIMORSKO - GORANSKA ŽUPANIJA</w:t>
      </w:r>
    </w:p>
    <w:p w:rsidR="00221098" w:rsidRPr="00A73102" w:rsidRDefault="00221098">
      <w:pPr>
        <w:ind w:left="-454" w:right="4564"/>
        <w:rPr>
          <w:b/>
        </w:rPr>
      </w:pPr>
      <w:r w:rsidRPr="00A73102">
        <w:rPr>
          <w:b/>
        </w:rPr>
        <w:t xml:space="preserve">        </w:t>
      </w:r>
      <w:r w:rsidR="00407BF7" w:rsidRPr="00A73102">
        <w:rPr>
          <w:b/>
        </w:rPr>
        <w:t xml:space="preserve">  </w:t>
      </w:r>
      <w:r w:rsidR="00407BF7" w:rsidRPr="00A73102">
        <w:rPr>
          <w:color w:val="1F497D"/>
        </w:rPr>
        <w:t xml:space="preserve"> </w:t>
      </w:r>
      <w:r w:rsidR="00407BF7" w:rsidRPr="00A73102">
        <w:rPr>
          <w:noProof/>
          <w:color w:val="1F497D"/>
          <w:lang w:val="en-US" w:eastAsia="en-US"/>
        </w:rPr>
        <w:drawing>
          <wp:inline distT="0" distB="0" distL="0" distR="0" wp14:anchorId="5F780D1C" wp14:editId="1B9BDABE">
            <wp:extent cx="2042160" cy="515952"/>
            <wp:effectExtent l="0" t="0" r="0" b="0"/>
            <wp:docPr id="15" name="Picture 15"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 3"/>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07981" cy="532582"/>
                    </a:xfrm>
                    <a:prstGeom prst="rect">
                      <a:avLst/>
                    </a:prstGeom>
                    <a:noFill/>
                    <a:ln>
                      <a:noFill/>
                    </a:ln>
                  </pic:spPr>
                </pic:pic>
              </a:graphicData>
            </a:graphic>
          </wp:inline>
        </w:drawing>
      </w:r>
      <w:r w:rsidR="00407BF7" w:rsidRPr="00A73102">
        <w:rPr>
          <w:color w:val="1F497D"/>
        </w:rPr>
        <w:t xml:space="preserve">  </w:t>
      </w:r>
    </w:p>
    <w:p w:rsidR="007E61C8" w:rsidRPr="00A73102" w:rsidRDefault="007E61C8" w:rsidP="007E61C8"/>
    <w:p w:rsidR="007E61C8" w:rsidRPr="001776E5" w:rsidRDefault="007E61C8" w:rsidP="007E61C8">
      <w:pPr>
        <w:keepNext/>
        <w:ind w:left="72"/>
        <w:jc w:val="both"/>
        <w:outlineLvl w:val="3"/>
        <w:rPr>
          <w:rFonts w:ascii="Arial" w:hAnsi="Arial"/>
          <w:b/>
          <w:sz w:val="22"/>
          <w:szCs w:val="22"/>
        </w:rPr>
      </w:pPr>
      <w:r w:rsidRPr="00A73102">
        <w:rPr>
          <w:rFonts w:ascii="Arial" w:hAnsi="Arial"/>
          <w:b/>
          <w:bCs/>
          <w:sz w:val="26"/>
          <w:szCs w:val="26"/>
        </w:rPr>
        <w:tab/>
      </w:r>
      <w:r w:rsidRPr="00A73102">
        <w:rPr>
          <w:rFonts w:ascii="Arial" w:hAnsi="Arial"/>
          <w:b/>
          <w:bCs/>
          <w:sz w:val="26"/>
          <w:szCs w:val="26"/>
        </w:rPr>
        <w:tab/>
      </w:r>
      <w:r w:rsidRPr="00A73102">
        <w:rPr>
          <w:rFonts w:ascii="Arial" w:hAnsi="Arial"/>
          <w:b/>
          <w:bCs/>
          <w:sz w:val="26"/>
          <w:szCs w:val="26"/>
        </w:rPr>
        <w:tab/>
      </w:r>
      <w:r w:rsidRPr="00A73102">
        <w:rPr>
          <w:rFonts w:ascii="Arial" w:hAnsi="Arial"/>
          <w:b/>
          <w:bCs/>
          <w:sz w:val="26"/>
          <w:szCs w:val="26"/>
        </w:rPr>
        <w:tab/>
      </w:r>
      <w:r w:rsidRPr="00A73102">
        <w:rPr>
          <w:rFonts w:ascii="Arial" w:hAnsi="Arial"/>
          <w:b/>
          <w:bCs/>
          <w:sz w:val="26"/>
          <w:szCs w:val="26"/>
        </w:rPr>
        <w:tab/>
      </w:r>
      <w:r w:rsidRPr="00A73102">
        <w:rPr>
          <w:rFonts w:ascii="Arial" w:hAnsi="Arial"/>
          <w:b/>
          <w:bCs/>
          <w:sz w:val="26"/>
          <w:szCs w:val="26"/>
        </w:rPr>
        <w:tab/>
      </w:r>
      <w:r w:rsidRPr="00A73102">
        <w:rPr>
          <w:rFonts w:ascii="Arial" w:hAnsi="Arial"/>
          <w:b/>
          <w:bCs/>
          <w:sz w:val="26"/>
          <w:szCs w:val="26"/>
        </w:rPr>
        <w:tab/>
      </w:r>
      <w:r w:rsidRPr="00A73102">
        <w:rPr>
          <w:rFonts w:ascii="Arial" w:hAnsi="Arial"/>
          <w:b/>
          <w:bCs/>
          <w:sz w:val="26"/>
          <w:szCs w:val="26"/>
        </w:rPr>
        <w:tab/>
      </w:r>
      <w:r w:rsidRPr="001776E5">
        <w:rPr>
          <w:rFonts w:ascii="Arial" w:hAnsi="Arial"/>
          <w:b/>
          <w:sz w:val="22"/>
          <w:szCs w:val="22"/>
        </w:rPr>
        <w:t>Razina</w:t>
      </w:r>
      <w:r w:rsidRPr="001776E5">
        <w:rPr>
          <w:rFonts w:ascii="Arial" w:hAnsi="Arial"/>
          <w:b/>
          <w:sz w:val="22"/>
          <w:szCs w:val="22"/>
        </w:rPr>
        <w:tab/>
      </w:r>
      <w:r w:rsidRPr="001776E5">
        <w:rPr>
          <w:rFonts w:ascii="Arial" w:hAnsi="Arial"/>
          <w:b/>
          <w:sz w:val="22"/>
          <w:szCs w:val="22"/>
        </w:rPr>
        <w:tab/>
      </w:r>
      <w:r w:rsidRPr="001776E5">
        <w:rPr>
          <w:rFonts w:ascii="Arial" w:hAnsi="Arial"/>
          <w:b/>
          <w:sz w:val="22"/>
          <w:szCs w:val="22"/>
        </w:rPr>
        <w:tab/>
      </w:r>
      <w:r w:rsidRPr="001776E5">
        <w:rPr>
          <w:rFonts w:ascii="Arial" w:hAnsi="Arial"/>
          <w:b/>
          <w:sz w:val="22"/>
          <w:szCs w:val="22"/>
        </w:rPr>
        <w:tab/>
        <w:t xml:space="preserve"> </w:t>
      </w:r>
      <w:r w:rsidR="001776E5">
        <w:rPr>
          <w:rFonts w:ascii="Arial" w:hAnsi="Arial"/>
          <w:b/>
          <w:sz w:val="22"/>
          <w:szCs w:val="22"/>
        </w:rPr>
        <w:t xml:space="preserve">   </w:t>
      </w:r>
      <w:r w:rsidRPr="001776E5">
        <w:rPr>
          <w:rFonts w:ascii="Arial" w:hAnsi="Arial"/>
          <w:b/>
          <w:sz w:val="22"/>
          <w:szCs w:val="22"/>
        </w:rPr>
        <w:t>22</w:t>
      </w:r>
    </w:p>
    <w:p w:rsidR="007E61C8" w:rsidRPr="001776E5" w:rsidRDefault="007E61C8" w:rsidP="007E61C8">
      <w:pPr>
        <w:keepNext/>
        <w:ind w:left="72"/>
        <w:jc w:val="both"/>
        <w:outlineLvl w:val="3"/>
        <w:rPr>
          <w:rFonts w:ascii="Arial" w:hAnsi="Arial"/>
          <w:b/>
          <w:bCs/>
          <w:sz w:val="22"/>
          <w:szCs w:val="22"/>
        </w:rPr>
      </w:pPr>
      <w:r w:rsidRPr="001776E5">
        <w:rPr>
          <w:rFonts w:ascii="Arial" w:hAnsi="Arial"/>
          <w:b/>
          <w:sz w:val="22"/>
          <w:szCs w:val="22"/>
        </w:rPr>
        <w:tab/>
      </w:r>
      <w:r w:rsidRPr="001776E5">
        <w:rPr>
          <w:rFonts w:ascii="Arial" w:hAnsi="Arial"/>
          <w:b/>
          <w:sz w:val="22"/>
          <w:szCs w:val="22"/>
        </w:rPr>
        <w:tab/>
      </w:r>
      <w:r w:rsidRPr="001776E5">
        <w:rPr>
          <w:rFonts w:ascii="Arial" w:hAnsi="Arial"/>
          <w:b/>
          <w:sz w:val="22"/>
          <w:szCs w:val="22"/>
        </w:rPr>
        <w:tab/>
      </w:r>
      <w:r w:rsidRPr="001776E5">
        <w:rPr>
          <w:rFonts w:ascii="Arial" w:hAnsi="Arial"/>
          <w:b/>
          <w:sz w:val="22"/>
          <w:szCs w:val="22"/>
        </w:rPr>
        <w:tab/>
      </w:r>
      <w:r w:rsidRPr="001776E5">
        <w:rPr>
          <w:rFonts w:ascii="Arial" w:hAnsi="Arial"/>
          <w:b/>
          <w:sz w:val="22"/>
          <w:szCs w:val="22"/>
        </w:rPr>
        <w:tab/>
      </w:r>
      <w:r w:rsidRPr="001776E5">
        <w:rPr>
          <w:rFonts w:ascii="Arial" w:hAnsi="Arial"/>
          <w:b/>
          <w:sz w:val="22"/>
          <w:szCs w:val="22"/>
        </w:rPr>
        <w:tab/>
      </w:r>
      <w:r w:rsidRPr="001776E5">
        <w:rPr>
          <w:rFonts w:ascii="Arial" w:hAnsi="Arial"/>
          <w:b/>
          <w:sz w:val="22"/>
          <w:szCs w:val="22"/>
        </w:rPr>
        <w:tab/>
      </w:r>
      <w:r w:rsidRPr="001776E5">
        <w:rPr>
          <w:rFonts w:ascii="Arial" w:hAnsi="Arial"/>
          <w:b/>
          <w:sz w:val="22"/>
          <w:szCs w:val="22"/>
        </w:rPr>
        <w:tab/>
        <w:t>Matični broj</w:t>
      </w:r>
      <w:r w:rsidRPr="001776E5">
        <w:rPr>
          <w:rFonts w:ascii="Arial" w:hAnsi="Arial"/>
          <w:b/>
          <w:sz w:val="22"/>
          <w:szCs w:val="22"/>
        </w:rPr>
        <w:tab/>
      </w:r>
      <w:r w:rsidRPr="001776E5">
        <w:rPr>
          <w:rFonts w:ascii="Arial" w:hAnsi="Arial"/>
          <w:b/>
          <w:sz w:val="22"/>
          <w:szCs w:val="22"/>
        </w:rPr>
        <w:tab/>
        <w:t xml:space="preserve">   </w:t>
      </w:r>
      <w:r w:rsidR="001776E5">
        <w:rPr>
          <w:rFonts w:ascii="Arial" w:hAnsi="Arial"/>
          <w:b/>
          <w:sz w:val="22"/>
          <w:szCs w:val="22"/>
        </w:rPr>
        <w:t xml:space="preserve"> </w:t>
      </w:r>
      <w:r w:rsidRPr="001776E5">
        <w:rPr>
          <w:rFonts w:ascii="Arial" w:hAnsi="Arial"/>
          <w:b/>
          <w:sz w:val="22"/>
          <w:szCs w:val="22"/>
        </w:rPr>
        <w:t>02664763</w:t>
      </w:r>
    </w:p>
    <w:p w:rsidR="007E61C8" w:rsidRPr="001776E5" w:rsidRDefault="007E61C8" w:rsidP="007E61C8">
      <w:pPr>
        <w:keepNext/>
        <w:ind w:firstLine="720"/>
        <w:jc w:val="both"/>
        <w:outlineLvl w:val="3"/>
        <w:rPr>
          <w:rFonts w:ascii="Arial" w:hAnsi="Arial"/>
          <w:b/>
          <w:sz w:val="22"/>
          <w:szCs w:val="22"/>
        </w:rPr>
      </w:pPr>
      <w:r w:rsidRPr="001776E5">
        <w:rPr>
          <w:rFonts w:ascii="Arial" w:hAnsi="Arial"/>
          <w:b/>
          <w:bCs/>
          <w:sz w:val="22"/>
          <w:szCs w:val="22"/>
        </w:rPr>
        <w:tab/>
      </w:r>
      <w:r w:rsidRPr="001776E5">
        <w:rPr>
          <w:rFonts w:ascii="Arial" w:hAnsi="Arial"/>
          <w:b/>
          <w:bCs/>
          <w:sz w:val="22"/>
          <w:szCs w:val="22"/>
        </w:rPr>
        <w:tab/>
      </w:r>
      <w:r w:rsidRPr="001776E5">
        <w:rPr>
          <w:rFonts w:ascii="Arial" w:hAnsi="Arial"/>
          <w:b/>
          <w:bCs/>
          <w:sz w:val="22"/>
          <w:szCs w:val="22"/>
        </w:rPr>
        <w:tab/>
      </w:r>
      <w:r w:rsidRPr="001776E5">
        <w:rPr>
          <w:rFonts w:ascii="Arial" w:hAnsi="Arial"/>
          <w:b/>
          <w:bCs/>
          <w:sz w:val="22"/>
          <w:szCs w:val="22"/>
        </w:rPr>
        <w:tab/>
      </w:r>
      <w:r w:rsidRPr="001776E5">
        <w:rPr>
          <w:rFonts w:ascii="Arial" w:hAnsi="Arial"/>
          <w:b/>
          <w:bCs/>
          <w:sz w:val="22"/>
          <w:szCs w:val="22"/>
        </w:rPr>
        <w:tab/>
      </w:r>
      <w:r w:rsidRPr="001776E5">
        <w:rPr>
          <w:rFonts w:ascii="Arial" w:hAnsi="Arial"/>
          <w:b/>
          <w:bCs/>
          <w:sz w:val="22"/>
          <w:szCs w:val="22"/>
        </w:rPr>
        <w:tab/>
      </w:r>
      <w:r w:rsidRPr="001776E5">
        <w:rPr>
          <w:rFonts w:ascii="Arial" w:hAnsi="Arial"/>
          <w:b/>
          <w:bCs/>
          <w:sz w:val="22"/>
          <w:szCs w:val="22"/>
        </w:rPr>
        <w:tab/>
      </w:r>
      <w:r w:rsidRPr="001776E5">
        <w:rPr>
          <w:rFonts w:ascii="Arial" w:hAnsi="Arial"/>
          <w:b/>
          <w:sz w:val="22"/>
          <w:szCs w:val="22"/>
        </w:rPr>
        <w:t>RKP</w:t>
      </w:r>
      <w:r w:rsidRPr="001776E5">
        <w:rPr>
          <w:rFonts w:ascii="Arial" w:hAnsi="Arial"/>
          <w:b/>
          <w:sz w:val="22"/>
          <w:szCs w:val="22"/>
        </w:rPr>
        <w:tab/>
      </w:r>
      <w:r w:rsidRPr="001776E5">
        <w:rPr>
          <w:rFonts w:ascii="Arial" w:hAnsi="Arial"/>
          <w:b/>
          <w:sz w:val="22"/>
          <w:szCs w:val="22"/>
        </w:rPr>
        <w:tab/>
      </w:r>
      <w:r w:rsidRPr="001776E5">
        <w:rPr>
          <w:rFonts w:ascii="Arial" w:hAnsi="Arial"/>
          <w:b/>
          <w:sz w:val="22"/>
          <w:szCs w:val="22"/>
        </w:rPr>
        <w:tab/>
        <w:t xml:space="preserve">         </w:t>
      </w:r>
      <w:r w:rsidR="001776E5">
        <w:rPr>
          <w:rFonts w:ascii="Arial" w:hAnsi="Arial"/>
          <w:b/>
          <w:sz w:val="22"/>
          <w:szCs w:val="22"/>
        </w:rPr>
        <w:t xml:space="preserve"> </w:t>
      </w:r>
      <w:r w:rsidRPr="001776E5">
        <w:rPr>
          <w:rFonts w:ascii="Arial" w:hAnsi="Arial"/>
          <w:b/>
          <w:sz w:val="22"/>
          <w:szCs w:val="22"/>
        </w:rPr>
        <w:t>31059</w:t>
      </w:r>
    </w:p>
    <w:p w:rsidR="007E61C8" w:rsidRPr="001776E5" w:rsidRDefault="007E61C8" w:rsidP="007E61C8">
      <w:pPr>
        <w:keepNext/>
        <w:jc w:val="both"/>
        <w:outlineLvl w:val="3"/>
        <w:rPr>
          <w:rFonts w:ascii="Arial" w:hAnsi="Arial"/>
          <w:b/>
          <w:bCs/>
          <w:sz w:val="22"/>
          <w:szCs w:val="22"/>
        </w:rPr>
      </w:pPr>
      <w:r w:rsidRPr="001776E5">
        <w:rPr>
          <w:rFonts w:ascii="Arial" w:hAnsi="Arial"/>
          <w:b/>
          <w:bCs/>
          <w:sz w:val="22"/>
          <w:szCs w:val="22"/>
        </w:rPr>
        <w:tab/>
      </w:r>
      <w:r w:rsidRPr="001776E5">
        <w:rPr>
          <w:rFonts w:ascii="Arial" w:hAnsi="Arial"/>
          <w:b/>
          <w:bCs/>
          <w:sz w:val="22"/>
          <w:szCs w:val="22"/>
        </w:rPr>
        <w:tab/>
      </w:r>
      <w:r w:rsidRPr="001776E5">
        <w:rPr>
          <w:rFonts w:ascii="Arial" w:hAnsi="Arial"/>
          <w:b/>
          <w:bCs/>
          <w:sz w:val="22"/>
          <w:szCs w:val="22"/>
        </w:rPr>
        <w:tab/>
      </w:r>
      <w:r w:rsidRPr="001776E5">
        <w:rPr>
          <w:rFonts w:ascii="Arial" w:hAnsi="Arial"/>
          <w:b/>
          <w:bCs/>
          <w:sz w:val="22"/>
          <w:szCs w:val="22"/>
        </w:rPr>
        <w:tab/>
      </w:r>
      <w:r w:rsidRPr="001776E5">
        <w:rPr>
          <w:rFonts w:ascii="Arial" w:hAnsi="Arial"/>
          <w:b/>
          <w:bCs/>
          <w:sz w:val="22"/>
          <w:szCs w:val="22"/>
        </w:rPr>
        <w:tab/>
      </w:r>
      <w:r w:rsidRPr="001776E5">
        <w:rPr>
          <w:rFonts w:ascii="Arial" w:hAnsi="Arial"/>
          <w:b/>
          <w:bCs/>
          <w:sz w:val="22"/>
          <w:szCs w:val="22"/>
        </w:rPr>
        <w:tab/>
      </w:r>
      <w:r w:rsidRPr="001776E5">
        <w:rPr>
          <w:rFonts w:ascii="Arial" w:hAnsi="Arial"/>
          <w:b/>
          <w:bCs/>
          <w:sz w:val="22"/>
          <w:szCs w:val="22"/>
        </w:rPr>
        <w:tab/>
      </w:r>
      <w:r w:rsidRPr="001776E5">
        <w:rPr>
          <w:rFonts w:ascii="Arial" w:hAnsi="Arial"/>
          <w:b/>
          <w:bCs/>
          <w:sz w:val="22"/>
          <w:szCs w:val="22"/>
        </w:rPr>
        <w:tab/>
        <w:t>Šifra djelatnosti</w:t>
      </w:r>
      <w:r w:rsidRPr="001776E5">
        <w:rPr>
          <w:rFonts w:ascii="Arial" w:hAnsi="Arial"/>
          <w:b/>
          <w:bCs/>
          <w:sz w:val="22"/>
          <w:szCs w:val="22"/>
        </w:rPr>
        <w:tab/>
        <w:t xml:space="preserve">           </w:t>
      </w:r>
      <w:r w:rsidR="001776E5">
        <w:rPr>
          <w:rFonts w:ascii="Arial" w:hAnsi="Arial"/>
          <w:b/>
          <w:bCs/>
          <w:sz w:val="22"/>
          <w:szCs w:val="22"/>
        </w:rPr>
        <w:t xml:space="preserve"> </w:t>
      </w:r>
      <w:r w:rsidRPr="001776E5">
        <w:rPr>
          <w:rFonts w:ascii="Arial" w:hAnsi="Arial"/>
          <w:b/>
          <w:bCs/>
          <w:sz w:val="22"/>
          <w:szCs w:val="22"/>
        </w:rPr>
        <w:t>8411</w:t>
      </w:r>
    </w:p>
    <w:p w:rsidR="007E61C8" w:rsidRPr="001776E5" w:rsidRDefault="007E61C8" w:rsidP="007E61C8">
      <w:pPr>
        <w:rPr>
          <w:rFonts w:ascii="Arial" w:hAnsi="Arial"/>
          <w:b/>
          <w:sz w:val="22"/>
          <w:szCs w:val="22"/>
        </w:rPr>
      </w:pPr>
      <w:r w:rsidRPr="001776E5">
        <w:rPr>
          <w:rFonts w:ascii="Arial" w:hAnsi="Arial"/>
          <w:b/>
          <w:sz w:val="22"/>
          <w:szCs w:val="22"/>
        </w:rPr>
        <w:tab/>
      </w:r>
      <w:r w:rsidRPr="001776E5">
        <w:rPr>
          <w:rFonts w:ascii="Arial" w:hAnsi="Arial"/>
          <w:b/>
          <w:sz w:val="22"/>
          <w:szCs w:val="22"/>
        </w:rPr>
        <w:tab/>
      </w:r>
      <w:r w:rsidRPr="001776E5">
        <w:rPr>
          <w:rFonts w:ascii="Arial" w:hAnsi="Arial"/>
          <w:b/>
          <w:sz w:val="22"/>
          <w:szCs w:val="22"/>
        </w:rPr>
        <w:tab/>
      </w:r>
      <w:r w:rsidRPr="001776E5">
        <w:rPr>
          <w:rFonts w:ascii="Arial" w:hAnsi="Arial"/>
          <w:b/>
          <w:sz w:val="22"/>
          <w:szCs w:val="22"/>
        </w:rPr>
        <w:tab/>
      </w:r>
      <w:r w:rsidRPr="001776E5">
        <w:rPr>
          <w:rFonts w:ascii="Arial" w:hAnsi="Arial"/>
          <w:b/>
          <w:sz w:val="22"/>
          <w:szCs w:val="22"/>
        </w:rPr>
        <w:tab/>
      </w:r>
      <w:r w:rsidRPr="001776E5">
        <w:rPr>
          <w:rFonts w:ascii="Arial" w:hAnsi="Arial"/>
          <w:b/>
          <w:sz w:val="22"/>
          <w:szCs w:val="22"/>
        </w:rPr>
        <w:tab/>
      </w:r>
      <w:r w:rsidRPr="001776E5">
        <w:rPr>
          <w:rFonts w:ascii="Arial" w:hAnsi="Arial"/>
          <w:b/>
          <w:sz w:val="22"/>
          <w:szCs w:val="22"/>
        </w:rPr>
        <w:tab/>
      </w:r>
      <w:r w:rsidRPr="001776E5">
        <w:rPr>
          <w:rFonts w:ascii="Arial" w:hAnsi="Arial"/>
          <w:b/>
          <w:sz w:val="22"/>
          <w:szCs w:val="22"/>
        </w:rPr>
        <w:tab/>
        <w:t xml:space="preserve">OIB </w:t>
      </w:r>
      <w:r w:rsidRPr="001776E5">
        <w:rPr>
          <w:rFonts w:ascii="Arial" w:hAnsi="Arial"/>
          <w:b/>
          <w:sz w:val="22"/>
          <w:szCs w:val="22"/>
        </w:rPr>
        <w:tab/>
      </w:r>
      <w:r w:rsidRPr="001776E5">
        <w:rPr>
          <w:rFonts w:ascii="Arial" w:hAnsi="Arial"/>
          <w:b/>
          <w:sz w:val="22"/>
          <w:szCs w:val="22"/>
        </w:rPr>
        <w:tab/>
        <w:t xml:space="preserve">          54382731928</w:t>
      </w:r>
    </w:p>
    <w:p w:rsidR="007E61C8" w:rsidRPr="001776E5" w:rsidRDefault="007E61C8" w:rsidP="007E61C8">
      <w:pPr>
        <w:rPr>
          <w:rFonts w:ascii="Arial" w:hAnsi="Arial"/>
          <w:b/>
          <w:sz w:val="22"/>
          <w:szCs w:val="22"/>
        </w:rPr>
      </w:pPr>
    </w:p>
    <w:p w:rsidR="005A5732" w:rsidRPr="00A73102" w:rsidRDefault="005A5732">
      <w:pPr>
        <w:pStyle w:val="Header"/>
        <w:tabs>
          <w:tab w:val="clear" w:pos="4320"/>
          <w:tab w:val="clear" w:pos="8640"/>
        </w:tabs>
        <w:rPr>
          <w:rFonts w:cs="Arial"/>
          <w:sz w:val="22"/>
          <w:szCs w:val="22"/>
        </w:rPr>
      </w:pPr>
    </w:p>
    <w:p w:rsidR="00845713" w:rsidRPr="00A73102" w:rsidRDefault="00845713" w:rsidP="000E69DA">
      <w:pPr>
        <w:rPr>
          <w:rFonts w:ascii="Arial" w:hAnsi="Arial"/>
          <w:b/>
        </w:rPr>
      </w:pPr>
    </w:p>
    <w:p w:rsidR="000E69DA" w:rsidRPr="00A73102" w:rsidRDefault="000E69DA" w:rsidP="000E69DA">
      <w:pPr>
        <w:rPr>
          <w:rFonts w:ascii="Arial" w:hAnsi="Arial"/>
          <w:b/>
        </w:rPr>
      </w:pPr>
    </w:p>
    <w:p w:rsidR="000E69DA" w:rsidRPr="00A73102" w:rsidRDefault="000E69DA" w:rsidP="000E69DA">
      <w:pPr>
        <w:spacing w:before="240" w:after="60"/>
        <w:jc w:val="center"/>
        <w:outlineLvl w:val="0"/>
        <w:rPr>
          <w:rFonts w:ascii="Arial" w:hAnsi="Arial" w:cs="Arial"/>
          <w:b/>
          <w:bCs/>
          <w:kern w:val="28"/>
          <w:sz w:val="24"/>
          <w:szCs w:val="24"/>
        </w:rPr>
      </w:pPr>
      <w:r w:rsidRPr="00A73102">
        <w:rPr>
          <w:rFonts w:ascii="Arial" w:hAnsi="Arial" w:cs="Arial"/>
          <w:b/>
          <w:bCs/>
          <w:kern w:val="28"/>
          <w:sz w:val="24"/>
          <w:szCs w:val="24"/>
        </w:rPr>
        <w:t>BILJEŠKE UZ FINANCIJSKI IZVJEŠTAJ</w:t>
      </w:r>
    </w:p>
    <w:p w:rsidR="000E69DA" w:rsidRPr="00A73102" w:rsidRDefault="000E69DA" w:rsidP="000E69DA">
      <w:pPr>
        <w:keepNext/>
        <w:jc w:val="center"/>
        <w:outlineLvl w:val="4"/>
        <w:rPr>
          <w:rFonts w:ascii="Calibri" w:eastAsia="SimSun" w:hAnsi="Calibri"/>
          <w:b/>
          <w:bCs/>
          <w:i/>
          <w:iCs/>
          <w:sz w:val="16"/>
          <w:szCs w:val="16"/>
        </w:rPr>
      </w:pPr>
    </w:p>
    <w:p w:rsidR="000E69DA" w:rsidRPr="00A73102" w:rsidRDefault="000E69DA" w:rsidP="000E69DA">
      <w:pPr>
        <w:jc w:val="center"/>
        <w:rPr>
          <w:rFonts w:ascii="Arial" w:hAnsi="Arial"/>
          <w:b/>
          <w:sz w:val="24"/>
          <w:szCs w:val="24"/>
        </w:rPr>
      </w:pPr>
      <w:r w:rsidRPr="00A73102">
        <w:rPr>
          <w:rFonts w:ascii="Arial" w:hAnsi="Arial"/>
          <w:b/>
          <w:sz w:val="24"/>
          <w:szCs w:val="24"/>
        </w:rPr>
        <w:t xml:space="preserve">za razdoblje od </w:t>
      </w:r>
      <w:r w:rsidR="00EB25D5" w:rsidRPr="00A73102">
        <w:rPr>
          <w:rFonts w:ascii="Arial" w:hAnsi="Arial"/>
          <w:b/>
          <w:sz w:val="24"/>
          <w:szCs w:val="24"/>
        </w:rPr>
        <w:t>1. siječnja do 31. prosinca 2022</w:t>
      </w:r>
      <w:r w:rsidRPr="00A73102">
        <w:rPr>
          <w:rFonts w:ascii="Arial" w:hAnsi="Arial"/>
          <w:b/>
          <w:sz w:val="24"/>
          <w:szCs w:val="24"/>
        </w:rPr>
        <w:t>. god.</w:t>
      </w:r>
    </w:p>
    <w:p w:rsidR="000E69DA" w:rsidRPr="00A73102" w:rsidRDefault="000E69DA" w:rsidP="000E69DA">
      <w:pPr>
        <w:rPr>
          <w:rFonts w:ascii="Arial" w:hAnsi="Arial"/>
        </w:rPr>
      </w:pPr>
    </w:p>
    <w:p w:rsidR="000E69DA" w:rsidRPr="00A73102" w:rsidRDefault="000E69DA" w:rsidP="000E69DA">
      <w:pPr>
        <w:keepNext/>
        <w:outlineLvl w:val="0"/>
        <w:rPr>
          <w:rFonts w:ascii="Arial" w:hAnsi="Arial"/>
          <w:b/>
          <w:color w:val="1F3864" w:themeColor="accent5" w:themeShade="80"/>
          <w:sz w:val="24"/>
          <w:szCs w:val="24"/>
        </w:rPr>
      </w:pPr>
    </w:p>
    <w:p w:rsidR="000E69DA" w:rsidRPr="007F0E49" w:rsidRDefault="000E69DA" w:rsidP="000E69DA">
      <w:pPr>
        <w:jc w:val="both"/>
        <w:rPr>
          <w:rFonts w:ascii="Arial" w:hAnsi="Arial" w:cs="Arial"/>
          <w:sz w:val="22"/>
          <w:szCs w:val="22"/>
        </w:rPr>
      </w:pPr>
      <w:r w:rsidRPr="007F0E49">
        <w:rPr>
          <w:rFonts w:ascii="Arial" w:hAnsi="Arial" w:cs="Arial"/>
          <w:sz w:val="22"/>
          <w:szCs w:val="22"/>
        </w:rPr>
        <w:t xml:space="preserve">Obveza sastavljanja financijskih izvještaja u sustavu proračuna propisana je </w:t>
      </w:r>
      <w:r w:rsidR="00726AFE" w:rsidRPr="007F0E49">
        <w:rPr>
          <w:rFonts w:ascii="Arial" w:hAnsi="Arial" w:cs="Arial"/>
          <w:sz w:val="22"/>
          <w:szCs w:val="22"/>
        </w:rPr>
        <w:t xml:space="preserve">člankom 139. </w:t>
      </w:r>
      <w:r w:rsidRPr="007F0E49">
        <w:rPr>
          <w:rFonts w:ascii="Arial" w:hAnsi="Arial" w:cs="Arial"/>
          <w:sz w:val="22"/>
          <w:szCs w:val="22"/>
        </w:rPr>
        <w:t>Zakon</w:t>
      </w:r>
      <w:r w:rsidR="00726AFE" w:rsidRPr="007F0E49">
        <w:rPr>
          <w:rFonts w:ascii="Arial" w:hAnsi="Arial" w:cs="Arial"/>
          <w:sz w:val="22"/>
          <w:szCs w:val="22"/>
        </w:rPr>
        <w:t>a</w:t>
      </w:r>
      <w:r w:rsidRPr="007F0E49">
        <w:rPr>
          <w:rFonts w:ascii="Arial" w:hAnsi="Arial" w:cs="Arial"/>
          <w:sz w:val="22"/>
          <w:szCs w:val="22"/>
        </w:rPr>
        <w:t xml:space="preserve"> o proračunu (Narod</w:t>
      </w:r>
      <w:r w:rsidR="006F0BE7" w:rsidRPr="007F0E49">
        <w:rPr>
          <w:rFonts w:ascii="Arial" w:hAnsi="Arial" w:cs="Arial"/>
          <w:sz w:val="22"/>
          <w:szCs w:val="22"/>
        </w:rPr>
        <w:t xml:space="preserve">ne novine, broj </w:t>
      </w:r>
      <w:r w:rsidR="00C82152" w:rsidRPr="007F0E49">
        <w:rPr>
          <w:rFonts w:ascii="Arial" w:hAnsi="Arial" w:cs="Arial"/>
          <w:sz w:val="22"/>
          <w:szCs w:val="22"/>
        </w:rPr>
        <w:t>144/21</w:t>
      </w:r>
      <w:r w:rsidRPr="007F0E49">
        <w:rPr>
          <w:rFonts w:ascii="Arial" w:hAnsi="Arial" w:cs="Arial"/>
          <w:sz w:val="22"/>
          <w:szCs w:val="22"/>
        </w:rPr>
        <w:t>)</w:t>
      </w:r>
      <w:r w:rsidR="00726AFE" w:rsidRPr="007F0E49">
        <w:rPr>
          <w:rFonts w:ascii="Arial" w:hAnsi="Arial" w:cs="Arial"/>
          <w:sz w:val="22"/>
          <w:szCs w:val="22"/>
        </w:rPr>
        <w:t xml:space="preserve"> dok su oblik, sadržaj, razdoblja za koja se sastavljaju te rokovi njihovog podnošenja propisani </w:t>
      </w:r>
      <w:r w:rsidRPr="007F0E49">
        <w:rPr>
          <w:rFonts w:ascii="Arial" w:hAnsi="Arial" w:cs="Arial"/>
          <w:sz w:val="22"/>
          <w:szCs w:val="22"/>
        </w:rPr>
        <w:t>Pravilnik</w:t>
      </w:r>
      <w:r w:rsidR="00726AFE" w:rsidRPr="007F0E49">
        <w:rPr>
          <w:rFonts w:ascii="Arial" w:hAnsi="Arial" w:cs="Arial"/>
          <w:sz w:val="22"/>
          <w:szCs w:val="22"/>
        </w:rPr>
        <w:t>om</w:t>
      </w:r>
      <w:r w:rsidRPr="007F0E49">
        <w:rPr>
          <w:rFonts w:ascii="Arial" w:hAnsi="Arial" w:cs="Arial"/>
          <w:sz w:val="22"/>
          <w:szCs w:val="22"/>
        </w:rPr>
        <w:t xml:space="preserve"> o financijskom izvještavanju u proračunskom računovodstvu (Narodne Novine, br</w:t>
      </w:r>
      <w:r w:rsidR="00C82152" w:rsidRPr="007F0E49">
        <w:rPr>
          <w:rFonts w:ascii="Arial" w:hAnsi="Arial" w:cs="Arial"/>
          <w:sz w:val="22"/>
          <w:szCs w:val="22"/>
        </w:rPr>
        <w:t>oj</w:t>
      </w:r>
      <w:r w:rsidRPr="007F0E49">
        <w:rPr>
          <w:rFonts w:ascii="Arial" w:hAnsi="Arial" w:cs="Arial"/>
          <w:sz w:val="22"/>
          <w:szCs w:val="22"/>
        </w:rPr>
        <w:t xml:space="preserve"> </w:t>
      </w:r>
      <w:r w:rsidR="000E375E" w:rsidRPr="007F0E49">
        <w:rPr>
          <w:rFonts w:ascii="Arial" w:hAnsi="Arial" w:cs="Arial"/>
          <w:sz w:val="22"/>
          <w:szCs w:val="22"/>
        </w:rPr>
        <w:t>37/22</w:t>
      </w:r>
      <w:r w:rsidRPr="007F0E49">
        <w:rPr>
          <w:rFonts w:ascii="Arial" w:hAnsi="Arial" w:cs="Arial"/>
          <w:sz w:val="22"/>
          <w:szCs w:val="22"/>
        </w:rPr>
        <w:t>)</w:t>
      </w:r>
      <w:r w:rsidR="00726AFE" w:rsidRPr="007F0E49">
        <w:rPr>
          <w:rFonts w:ascii="Arial" w:hAnsi="Arial" w:cs="Arial"/>
          <w:sz w:val="22"/>
          <w:szCs w:val="22"/>
        </w:rPr>
        <w:t>.</w:t>
      </w:r>
      <w:r w:rsidRPr="007F0E49">
        <w:rPr>
          <w:rFonts w:ascii="Arial" w:hAnsi="Arial" w:cs="Arial"/>
          <w:sz w:val="22"/>
          <w:szCs w:val="22"/>
        </w:rPr>
        <w:t xml:space="preserve"> </w:t>
      </w:r>
      <w:r w:rsidR="00726AFE" w:rsidRPr="007F0E49">
        <w:rPr>
          <w:rFonts w:ascii="Arial" w:hAnsi="Arial" w:cs="Arial"/>
          <w:sz w:val="22"/>
          <w:szCs w:val="22"/>
        </w:rPr>
        <w:t xml:space="preserve">U skladu s odredbama navedenog Pravilnika </w:t>
      </w:r>
      <w:r w:rsidRPr="007F0E49">
        <w:rPr>
          <w:rFonts w:ascii="Arial" w:hAnsi="Arial" w:cs="Arial"/>
          <w:sz w:val="22"/>
          <w:szCs w:val="22"/>
        </w:rPr>
        <w:t xml:space="preserve">i Okružnice o predaji i konsolidaciji financijskih izvještaja proračuna, proračunskih i izvanproračunskih korisnika državnog proračuna te proračunskih i izvanproračunskih korisnika proračuna jedinica lokalne i područne (regionalne) samouprave za razdoblje </w:t>
      </w:r>
      <w:r w:rsidR="000E375E" w:rsidRPr="007F0E49">
        <w:rPr>
          <w:rFonts w:ascii="Arial" w:hAnsi="Arial" w:cs="Arial"/>
          <w:sz w:val="22"/>
          <w:szCs w:val="22"/>
        </w:rPr>
        <w:t>1. siječnja do 31. prosinca 2022</w:t>
      </w:r>
      <w:r w:rsidRPr="007F0E49">
        <w:rPr>
          <w:rFonts w:ascii="Arial" w:hAnsi="Arial" w:cs="Arial"/>
          <w:sz w:val="22"/>
          <w:szCs w:val="22"/>
        </w:rPr>
        <w:t>. godine, Ministar</w:t>
      </w:r>
      <w:r w:rsidR="00FC1BE7" w:rsidRPr="007F0E49">
        <w:rPr>
          <w:rFonts w:ascii="Arial" w:hAnsi="Arial" w:cs="Arial"/>
          <w:sz w:val="22"/>
          <w:szCs w:val="22"/>
        </w:rPr>
        <w:t>stva financija, Klasa: 40</w:t>
      </w:r>
      <w:r w:rsidR="000E375E" w:rsidRPr="007F0E49">
        <w:rPr>
          <w:rFonts w:ascii="Arial" w:hAnsi="Arial" w:cs="Arial"/>
          <w:sz w:val="22"/>
          <w:szCs w:val="22"/>
        </w:rPr>
        <w:t>0-02/22-01/26</w:t>
      </w:r>
      <w:r w:rsidRPr="007F0E49">
        <w:rPr>
          <w:rFonts w:ascii="Arial" w:hAnsi="Arial" w:cs="Arial"/>
          <w:sz w:val="22"/>
          <w:szCs w:val="22"/>
        </w:rPr>
        <w:t>; Urbroj: 513-05-</w:t>
      </w:r>
      <w:r w:rsidR="000E375E" w:rsidRPr="007F0E49">
        <w:rPr>
          <w:rFonts w:ascii="Arial" w:hAnsi="Arial" w:cs="Arial"/>
          <w:sz w:val="22"/>
          <w:szCs w:val="22"/>
        </w:rPr>
        <w:t>03-23-6</w:t>
      </w:r>
      <w:r w:rsidR="007E0018" w:rsidRPr="007F0E49">
        <w:rPr>
          <w:rFonts w:ascii="Arial" w:hAnsi="Arial" w:cs="Arial"/>
          <w:sz w:val="22"/>
          <w:szCs w:val="22"/>
        </w:rPr>
        <w:t xml:space="preserve"> od 12</w:t>
      </w:r>
      <w:r w:rsidR="00EA2F82" w:rsidRPr="007F0E49">
        <w:rPr>
          <w:rFonts w:ascii="Arial" w:hAnsi="Arial" w:cs="Arial"/>
          <w:sz w:val="22"/>
          <w:szCs w:val="22"/>
        </w:rPr>
        <w:t>.</w:t>
      </w:r>
      <w:r w:rsidR="00B34914" w:rsidRPr="007F0E49">
        <w:rPr>
          <w:rFonts w:ascii="Arial" w:hAnsi="Arial" w:cs="Arial"/>
          <w:sz w:val="22"/>
          <w:szCs w:val="22"/>
        </w:rPr>
        <w:t xml:space="preserve"> </w:t>
      </w:r>
      <w:r w:rsidR="007E0018" w:rsidRPr="007F0E49">
        <w:rPr>
          <w:rFonts w:ascii="Arial" w:hAnsi="Arial" w:cs="Arial"/>
          <w:sz w:val="22"/>
          <w:szCs w:val="22"/>
        </w:rPr>
        <w:t>siječnja 2023</w:t>
      </w:r>
      <w:r w:rsidRPr="007F0E49">
        <w:rPr>
          <w:rFonts w:ascii="Arial" w:hAnsi="Arial" w:cs="Arial"/>
          <w:sz w:val="22"/>
          <w:szCs w:val="22"/>
        </w:rPr>
        <w:t>. godine, sastavljen je Financijski izvještaj Grada Rijeke za ra</w:t>
      </w:r>
      <w:r w:rsidR="007E0018" w:rsidRPr="007F0E49">
        <w:rPr>
          <w:rFonts w:ascii="Arial" w:hAnsi="Arial" w:cs="Arial"/>
          <w:sz w:val="22"/>
          <w:szCs w:val="22"/>
        </w:rPr>
        <w:t>zdoblje siječanj – prosinac 2022</w:t>
      </w:r>
      <w:r w:rsidRPr="007F0E49">
        <w:rPr>
          <w:rFonts w:ascii="Arial" w:hAnsi="Arial" w:cs="Arial"/>
          <w:sz w:val="22"/>
          <w:szCs w:val="22"/>
        </w:rPr>
        <w:t xml:space="preserve">. godine koji se sastoji od: Bilance (Obrazac BIL), Izvještaja o prihodima i rashodima, primicima i izdacima (Obrazac PR-RAS), Izvještaja o rashodima prema funkcijskoj klasifikaciji (Obrazac RAS-funkcijski), Izvještaja o promjenama u vrijednosti i obujmu imovine i obveza (Obrazac P-VRIO), Izvještaja o obvezama (Obrazac OBVEZE) i ovih Bilješki. </w:t>
      </w:r>
    </w:p>
    <w:p w:rsidR="000E69DA" w:rsidRPr="007F0E49" w:rsidRDefault="000E69DA" w:rsidP="000E69DA">
      <w:pPr>
        <w:jc w:val="both"/>
        <w:rPr>
          <w:rFonts w:ascii="Arial" w:hAnsi="Arial" w:cs="Arial"/>
          <w:sz w:val="22"/>
          <w:szCs w:val="22"/>
        </w:rPr>
      </w:pPr>
    </w:p>
    <w:p w:rsidR="00364CBB" w:rsidRPr="007F0E49" w:rsidRDefault="000E69DA" w:rsidP="000E69DA">
      <w:pPr>
        <w:jc w:val="both"/>
        <w:rPr>
          <w:rFonts w:ascii="Arial" w:hAnsi="Arial" w:cs="Arial"/>
          <w:sz w:val="22"/>
          <w:szCs w:val="22"/>
        </w:rPr>
      </w:pPr>
      <w:r w:rsidRPr="007F0E49">
        <w:rPr>
          <w:rFonts w:ascii="Arial" w:hAnsi="Arial" w:cs="Arial"/>
          <w:b/>
          <w:sz w:val="22"/>
          <w:szCs w:val="22"/>
        </w:rPr>
        <w:t>Bilješka broj 1</w:t>
      </w:r>
      <w:r w:rsidRPr="007F0E49">
        <w:rPr>
          <w:rFonts w:ascii="Arial" w:hAnsi="Arial" w:cs="Arial"/>
          <w:sz w:val="22"/>
          <w:szCs w:val="22"/>
        </w:rPr>
        <w:t xml:space="preserve"> – Grad Rijeka primjenjuje proračunsko računovodstvo u skladu sa Zakonom o proračunu i Pravilnikom o proračunskom računovodstvu i računskom planu (Narodne novine, br</w:t>
      </w:r>
      <w:r w:rsidR="003E042B" w:rsidRPr="007F0E49">
        <w:rPr>
          <w:rFonts w:ascii="Arial" w:hAnsi="Arial" w:cs="Arial"/>
          <w:sz w:val="22"/>
          <w:szCs w:val="22"/>
        </w:rPr>
        <w:t>oj</w:t>
      </w:r>
      <w:r w:rsidR="00A25B2A" w:rsidRPr="007F0E49">
        <w:rPr>
          <w:rFonts w:ascii="Arial" w:hAnsi="Arial" w:cs="Arial"/>
          <w:sz w:val="22"/>
          <w:szCs w:val="22"/>
        </w:rPr>
        <w:t xml:space="preserve"> 124/14, 115/15, 87/16, 3/18, 126/19, 108/20 i</w:t>
      </w:r>
      <w:r w:rsidR="003E042B" w:rsidRPr="007F0E49">
        <w:rPr>
          <w:rFonts w:ascii="Arial" w:hAnsi="Arial" w:cs="Arial"/>
          <w:sz w:val="22"/>
          <w:szCs w:val="22"/>
        </w:rPr>
        <w:t xml:space="preserve"> </w:t>
      </w:r>
      <w:r w:rsidR="005A65B2" w:rsidRPr="007F0E49">
        <w:rPr>
          <w:rFonts w:ascii="Arial" w:hAnsi="Arial" w:cs="Arial"/>
          <w:sz w:val="22"/>
          <w:szCs w:val="22"/>
        </w:rPr>
        <w:t>144/21</w:t>
      </w:r>
      <w:r w:rsidRPr="007F0E49">
        <w:rPr>
          <w:rFonts w:ascii="Arial" w:hAnsi="Arial" w:cs="Arial"/>
          <w:sz w:val="22"/>
          <w:szCs w:val="22"/>
        </w:rPr>
        <w:t>). Grad Rijeka u svojim knjigovodstvenim evidencijama osigurava pojedinačne podatke o vrstama prihoda i primitaka, rashoda i izdataka, stanju imovine, obveza i vlastitih izvora. Knjigovodstvo se vodi po načelu dvojnog knjigovodstva prema propisanom računskom planu, vode se poslovne knjige: dnevnik, glavna knjiga i pomoćne knjige. Prihodi i primici te rashodi i izdaci iskazuju se prema modificiranom računovodstvenom načelu nastanka događaja. Prihodi i primici priznaju se u izvještajnom razdoblju u kojem su postali raspoloživi i pod uvjetom da su mjerljivi. Rashodi se priznaju na temelju nastanka događaja (obveza) i u izvještajnom razdoblju na koje se odnose neovisno o plaćanju. Imovina i obveze iskazuju se po računovodstvenom načelu nastanka događaja uz primjenu metode povijesnog troška.</w:t>
      </w:r>
    </w:p>
    <w:p w:rsidR="000E69DA" w:rsidRPr="007F0E49" w:rsidRDefault="000E69DA" w:rsidP="000E69DA">
      <w:pPr>
        <w:jc w:val="both"/>
        <w:rPr>
          <w:rFonts w:ascii="Arial" w:hAnsi="Arial" w:cs="Arial"/>
          <w:sz w:val="22"/>
          <w:szCs w:val="22"/>
        </w:rPr>
      </w:pPr>
      <w:r w:rsidRPr="007F0E49">
        <w:rPr>
          <w:rFonts w:ascii="Arial" w:hAnsi="Arial" w:cs="Arial"/>
          <w:sz w:val="22"/>
          <w:szCs w:val="22"/>
        </w:rPr>
        <w:t xml:space="preserve"> </w:t>
      </w:r>
    </w:p>
    <w:p w:rsidR="000E69DA" w:rsidRPr="007F0E49" w:rsidRDefault="00844632" w:rsidP="000E69DA">
      <w:pPr>
        <w:autoSpaceDE w:val="0"/>
        <w:autoSpaceDN w:val="0"/>
        <w:adjustRightInd w:val="0"/>
        <w:jc w:val="both"/>
        <w:rPr>
          <w:rFonts w:ascii="Arial" w:eastAsia="SimSun" w:hAnsi="Arial" w:cs="Arial"/>
          <w:iCs/>
          <w:sz w:val="22"/>
          <w:szCs w:val="22"/>
          <w:lang w:eastAsia="zh-CN"/>
        </w:rPr>
      </w:pPr>
      <w:r w:rsidRPr="007F0E49">
        <w:rPr>
          <w:rFonts w:ascii="Arial" w:eastAsia="SimSun" w:hAnsi="Arial" w:cs="Arial"/>
          <w:bCs/>
          <w:color w:val="000000"/>
          <w:sz w:val="22"/>
          <w:szCs w:val="22"/>
          <w:lang w:eastAsia="zh-CN"/>
        </w:rPr>
        <w:t xml:space="preserve">U skladu s odredbama Zakona o porezu na dodanu vrijednost (Narodne novine, </w:t>
      </w:r>
      <w:r w:rsidRPr="007F0E49">
        <w:rPr>
          <w:rFonts w:ascii="Arial" w:eastAsia="SimSun" w:hAnsi="Arial" w:cs="Arial"/>
          <w:iCs/>
          <w:sz w:val="22"/>
          <w:szCs w:val="22"/>
          <w:lang w:eastAsia="zh-CN"/>
        </w:rPr>
        <w:t xml:space="preserve">broj 73/13, 99/13, 148/13, 153/13, 143/14, 115/16, 106/18, 121/19, 138/20, 39/22, i 113/22) </w:t>
      </w:r>
      <w:r w:rsidR="000E69DA" w:rsidRPr="007F0E49">
        <w:rPr>
          <w:rFonts w:ascii="Arial" w:eastAsia="SimSun" w:hAnsi="Arial" w:cs="Arial"/>
          <w:iCs/>
          <w:sz w:val="22"/>
          <w:szCs w:val="22"/>
          <w:lang w:eastAsia="zh-CN"/>
        </w:rPr>
        <w:t xml:space="preserve">Grad Rijeka je od 1. siječnja 2014. godine obveznik poreza na dodanu vrijednost s osnova obavljanja gospodarske djelatnosti iskorištavanja materijalne imovine (najam, zakup poslovnih prostora). </w:t>
      </w:r>
    </w:p>
    <w:p w:rsidR="000E69DA" w:rsidRPr="007F0E49" w:rsidRDefault="000E69DA" w:rsidP="000E69DA">
      <w:pPr>
        <w:autoSpaceDE w:val="0"/>
        <w:autoSpaceDN w:val="0"/>
        <w:adjustRightInd w:val="0"/>
        <w:jc w:val="both"/>
        <w:rPr>
          <w:rFonts w:ascii="Arial" w:eastAsia="SimSun" w:hAnsi="Arial" w:cs="Arial"/>
          <w:iCs/>
          <w:sz w:val="22"/>
          <w:szCs w:val="22"/>
          <w:lang w:eastAsia="zh-CN"/>
        </w:rPr>
      </w:pPr>
    </w:p>
    <w:p w:rsidR="007F0E49" w:rsidRPr="007F0E49" w:rsidRDefault="000E69DA" w:rsidP="00E93CDA">
      <w:pPr>
        <w:autoSpaceDE w:val="0"/>
        <w:autoSpaceDN w:val="0"/>
        <w:adjustRightInd w:val="0"/>
        <w:jc w:val="both"/>
        <w:rPr>
          <w:rFonts w:ascii="Arial" w:eastAsia="SimSun" w:hAnsi="Arial" w:cs="Arial"/>
          <w:color w:val="000000"/>
          <w:sz w:val="22"/>
          <w:szCs w:val="22"/>
          <w:lang w:eastAsia="zh-CN"/>
        </w:rPr>
      </w:pPr>
      <w:r w:rsidRPr="007F0E49">
        <w:rPr>
          <w:rFonts w:ascii="Arial" w:eastAsia="SimSun" w:hAnsi="Arial" w:cs="Arial"/>
          <w:color w:val="000000"/>
          <w:sz w:val="22"/>
          <w:szCs w:val="22"/>
          <w:lang w:eastAsia="zh-CN"/>
        </w:rPr>
        <w:t xml:space="preserve">Nastavno se u Bilješkama obrazlažu numerički podaci </w:t>
      </w:r>
      <w:r w:rsidR="00A66BCD" w:rsidRPr="007F0E49">
        <w:rPr>
          <w:rFonts w:ascii="Arial" w:eastAsia="SimSun" w:hAnsi="Arial" w:cs="Arial"/>
          <w:color w:val="000000"/>
          <w:sz w:val="22"/>
          <w:szCs w:val="22"/>
          <w:lang w:eastAsia="zh-CN"/>
        </w:rPr>
        <w:t xml:space="preserve">i </w:t>
      </w:r>
      <w:r w:rsidRPr="007F0E49">
        <w:rPr>
          <w:rFonts w:ascii="Arial" w:eastAsia="SimSun" w:hAnsi="Arial" w:cs="Arial"/>
          <w:color w:val="000000"/>
          <w:sz w:val="22"/>
          <w:szCs w:val="22"/>
          <w:lang w:eastAsia="zh-CN"/>
        </w:rPr>
        <w:t>veća odstupanja iskazana u obrascima Financijskog izvještaja</w:t>
      </w:r>
      <w:r w:rsidR="00E93CDA" w:rsidRPr="007F0E49">
        <w:rPr>
          <w:rFonts w:ascii="Arial" w:eastAsia="SimSun" w:hAnsi="Arial" w:cs="Arial"/>
          <w:color w:val="000000"/>
          <w:sz w:val="22"/>
          <w:szCs w:val="22"/>
          <w:lang w:eastAsia="zh-CN"/>
        </w:rPr>
        <w:t>.</w:t>
      </w:r>
    </w:p>
    <w:p w:rsidR="000E69DA" w:rsidRPr="00A73102" w:rsidRDefault="000E69DA" w:rsidP="00D907B7">
      <w:pPr>
        <w:keepNext/>
        <w:numPr>
          <w:ilvl w:val="0"/>
          <w:numId w:val="2"/>
        </w:numPr>
        <w:tabs>
          <w:tab w:val="num" w:pos="567"/>
        </w:tabs>
        <w:ind w:hanging="720"/>
        <w:jc w:val="both"/>
        <w:outlineLvl w:val="1"/>
        <w:rPr>
          <w:rFonts w:ascii="Arial" w:hAnsi="Arial"/>
          <w:b/>
          <w:color w:val="1F3864" w:themeColor="accent5" w:themeShade="80"/>
          <w:sz w:val="24"/>
          <w:szCs w:val="24"/>
        </w:rPr>
      </w:pPr>
      <w:r w:rsidRPr="00A73102">
        <w:rPr>
          <w:rFonts w:ascii="Arial" w:hAnsi="Arial"/>
          <w:b/>
          <w:color w:val="1F3864" w:themeColor="accent5" w:themeShade="80"/>
          <w:sz w:val="24"/>
          <w:szCs w:val="24"/>
        </w:rPr>
        <w:lastRenderedPageBreak/>
        <w:t>BILANCA</w:t>
      </w:r>
      <w:r w:rsidR="00C74052" w:rsidRPr="00A73102">
        <w:rPr>
          <w:rFonts w:ascii="Arial" w:hAnsi="Arial"/>
          <w:b/>
          <w:color w:val="1F3864" w:themeColor="accent5" w:themeShade="80"/>
          <w:sz w:val="24"/>
          <w:szCs w:val="24"/>
        </w:rPr>
        <w:t xml:space="preserve"> </w:t>
      </w:r>
    </w:p>
    <w:p w:rsidR="000E69DA" w:rsidRPr="00A73102" w:rsidRDefault="000E69DA" w:rsidP="000E69DA">
      <w:pPr>
        <w:jc w:val="both"/>
        <w:rPr>
          <w:rFonts w:ascii="Arial" w:hAnsi="Arial"/>
          <w:highlight w:val="green"/>
        </w:rPr>
      </w:pPr>
    </w:p>
    <w:p w:rsidR="00A101BE" w:rsidRPr="00A73102" w:rsidRDefault="00A101BE" w:rsidP="000E69DA">
      <w:pPr>
        <w:jc w:val="both"/>
        <w:rPr>
          <w:rFonts w:ascii="Arial" w:hAnsi="Arial"/>
          <w:highlight w:val="green"/>
        </w:rPr>
      </w:pPr>
    </w:p>
    <w:p w:rsidR="000E69DA" w:rsidRPr="007F0E49" w:rsidRDefault="000E69DA" w:rsidP="000E69DA">
      <w:pPr>
        <w:jc w:val="both"/>
        <w:rPr>
          <w:rFonts w:ascii="Arial" w:hAnsi="Arial" w:cs="Arial"/>
          <w:sz w:val="22"/>
          <w:szCs w:val="22"/>
        </w:rPr>
      </w:pPr>
      <w:r w:rsidRPr="007F0E49">
        <w:rPr>
          <w:rFonts w:ascii="Arial" w:hAnsi="Arial" w:cs="Arial"/>
          <w:sz w:val="22"/>
          <w:szCs w:val="22"/>
        </w:rPr>
        <w:t>Vrijednost aktive – ukupne imovine Grada (</w:t>
      </w:r>
      <w:r w:rsidR="00321D91" w:rsidRPr="007F0E49">
        <w:rPr>
          <w:rFonts w:ascii="Arial" w:hAnsi="Arial" w:cs="Arial"/>
          <w:sz w:val="22"/>
          <w:szCs w:val="22"/>
        </w:rPr>
        <w:t>B001) na dan 31. prosinca 2022</w:t>
      </w:r>
      <w:r w:rsidR="004E6C6E" w:rsidRPr="007F0E49">
        <w:rPr>
          <w:rFonts w:ascii="Arial" w:hAnsi="Arial" w:cs="Arial"/>
          <w:sz w:val="22"/>
          <w:szCs w:val="22"/>
        </w:rPr>
        <w:t xml:space="preserve">. godine iznosi </w:t>
      </w:r>
      <w:r w:rsidR="00DA60E4" w:rsidRPr="007F0E49">
        <w:rPr>
          <w:rFonts w:ascii="Arial" w:hAnsi="Arial" w:cs="Arial"/>
          <w:sz w:val="22"/>
          <w:szCs w:val="22"/>
        </w:rPr>
        <w:t>8.629.944.356,19</w:t>
      </w:r>
      <w:r w:rsidRPr="007F0E49">
        <w:rPr>
          <w:rFonts w:ascii="Arial" w:hAnsi="Arial" w:cs="Arial"/>
          <w:sz w:val="22"/>
          <w:szCs w:val="22"/>
        </w:rPr>
        <w:t xml:space="preserve"> kn i u odnosu na</w:t>
      </w:r>
      <w:r w:rsidR="00F50B75" w:rsidRPr="007F0E49">
        <w:rPr>
          <w:rFonts w:ascii="Arial" w:hAnsi="Arial" w:cs="Arial"/>
          <w:sz w:val="22"/>
          <w:szCs w:val="22"/>
        </w:rPr>
        <w:t xml:space="preserve"> stanje imovine 1. siječnja 2022</w:t>
      </w:r>
      <w:r w:rsidRPr="007F0E49">
        <w:rPr>
          <w:rFonts w:ascii="Arial" w:hAnsi="Arial" w:cs="Arial"/>
          <w:sz w:val="22"/>
          <w:szCs w:val="22"/>
        </w:rPr>
        <w:t xml:space="preserve">. godine </w:t>
      </w:r>
      <w:r w:rsidR="00CF1CB6" w:rsidRPr="007F0E49">
        <w:rPr>
          <w:rFonts w:ascii="Arial" w:hAnsi="Arial" w:cs="Arial"/>
          <w:sz w:val="22"/>
          <w:szCs w:val="22"/>
        </w:rPr>
        <w:t>za</w:t>
      </w:r>
      <w:r w:rsidR="00EB3334" w:rsidRPr="007F0E49">
        <w:rPr>
          <w:rFonts w:ascii="Arial" w:hAnsi="Arial" w:cs="Arial"/>
          <w:sz w:val="22"/>
          <w:szCs w:val="22"/>
        </w:rPr>
        <w:t>biljež</w:t>
      </w:r>
      <w:r w:rsidR="00CF1CB6" w:rsidRPr="007F0E49">
        <w:rPr>
          <w:rFonts w:ascii="Arial" w:hAnsi="Arial" w:cs="Arial"/>
          <w:sz w:val="22"/>
          <w:szCs w:val="22"/>
        </w:rPr>
        <w:t>eno je</w:t>
      </w:r>
      <w:r w:rsidRPr="007F0E49">
        <w:rPr>
          <w:rFonts w:ascii="Arial" w:hAnsi="Arial" w:cs="Arial"/>
          <w:sz w:val="22"/>
          <w:szCs w:val="22"/>
        </w:rPr>
        <w:t xml:space="preserve"> povećanje vrijednosti gradske imovine za </w:t>
      </w:r>
      <w:r w:rsidR="00FD176F" w:rsidRPr="007F0E49">
        <w:rPr>
          <w:rFonts w:ascii="Arial" w:hAnsi="Arial" w:cs="Arial"/>
          <w:sz w:val="22"/>
          <w:szCs w:val="22"/>
        </w:rPr>
        <w:t>209.554.673,19</w:t>
      </w:r>
      <w:r w:rsidRPr="007F0E49">
        <w:rPr>
          <w:rFonts w:ascii="Arial" w:hAnsi="Arial" w:cs="Arial"/>
          <w:sz w:val="22"/>
          <w:szCs w:val="22"/>
        </w:rPr>
        <w:t xml:space="preserve"> kn. Ud</w:t>
      </w:r>
      <w:r w:rsidR="00384F6F" w:rsidRPr="007F0E49">
        <w:rPr>
          <w:rFonts w:ascii="Arial" w:hAnsi="Arial" w:cs="Arial"/>
          <w:sz w:val="22"/>
          <w:szCs w:val="22"/>
        </w:rPr>
        <w:t>jel</w:t>
      </w:r>
      <w:r w:rsidRPr="007F0E49">
        <w:rPr>
          <w:rFonts w:ascii="Arial" w:hAnsi="Arial" w:cs="Arial"/>
          <w:sz w:val="22"/>
          <w:szCs w:val="22"/>
        </w:rPr>
        <w:t xml:space="preserve"> nefinancijske imovine u ukupnoj aktivi iz</w:t>
      </w:r>
      <w:r w:rsidR="003324D4" w:rsidRPr="007F0E49">
        <w:rPr>
          <w:rFonts w:ascii="Arial" w:hAnsi="Arial" w:cs="Arial"/>
          <w:sz w:val="22"/>
          <w:szCs w:val="22"/>
        </w:rPr>
        <w:t xml:space="preserve">nosi </w:t>
      </w:r>
      <w:r w:rsidR="00F50B75" w:rsidRPr="007F0E49">
        <w:rPr>
          <w:rFonts w:ascii="Arial" w:hAnsi="Arial" w:cs="Arial"/>
          <w:sz w:val="22"/>
          <w:szCs w:val="22"/>
        </w:rPr>
        <w:t>84,</w:t>
      </w:r>
      <w:r w:rsidR="00FD176F" w:rsidRPr="007F0E49">
        <w:rPr>
          <w:rFonts w:ascii="Arial" w:hAnsi="Arial" w:cs="Arial"/>
          <w:sz w:val="22"/>
          <w:szCs w:val="22"/>
        </w:rPr>
        <w:t>09</w:t>
      </w:r>
      <w:r w:rsidRPr="007F0E49">
        <w:rPr>
          <w:rFonts w:ascii="Arial" w:hAnsi="Arial" w:cs="Arial"/>
          <w:sz w:val="22"/>
          <w:szCs w:val="22"/>
        </w:rPr>
        <w:t xml:space="preserve">% dok </w:t>
      </w:r>
      <w:r w:rsidR="000B5AEE" w:rsidRPr="007F0E49">
        <w:rPr>
          <w:rFonts w:ascii="Arial" w:hAnsi="Arial" w:cs="Arial"/>
          <w:sz w:val="22"/>
          <w:szCs w:val="22"/>
        </w:rPr>
        <w:t xml:space="preserve">udjel </w:t>
      </w:r>
      <w:r w:rsidRPr="007F0E49">
        <w:rPr>
          <w:rFonts w:ascii="Arial" w:hAnsi="Arial" w:cs="Arial"/>
          <w:sz w:val="22"/>
          <w:szCs w:val="22"/>
        </w:rPr>
        <w:t>financijsk</w:t>
      </w:r>
      <w:r w:rsidR="000B5AEE" w:rsidRPr="007F0E49">
        <w:rPr>
          <w:rFonts w:ascii="Arial" w:hAnsi="Arial" w:cs="Arial"/>
          <w:sz w:val="22"/>
          <w:szCs w:val="22"/>
        </w:rPr>
        <w:t>e</w:t>
      </w:r>
      <w:r w:rsidRPr="007F0E49">
        <w:rPr>
          <w:rFonts w:ascii="Arial" w:hAnsi="Arial" w:cs="Arial"/>
          <w:sz w:val="22"/>
          <w:szCs w:val="22"/>
        </w:rPr>
        <w:t xml:space="preserve"> imovin</w:t>
      </w:r>
      <w:r w:rsidR="000B5AEE" w:rsidRPr="007F0E49">
        <w:rPr>
          <w:rFonts w:ascii="Arial" w:hAnsi="Arial" w:cs="Arial"/>
          <w:sz w:val="22"/>
          <w:szCs w:val="22"/>
        </w:rPr>
        <w:t>e</w:t>
      </w:r>
      <w:r w:rsidRPr="007F0E49">
        <w:rPr>
          <w:rFonts w:ascii="Arial" w:hAnsi="Arial" w:cs="Arial"/>
          <w:sz w:val="22"/>
          <w:szCs w:val="22"/>
        </w:rPr>
        <w:t xml:space="preserve"> u ukupnoj </w:t>
      </w:r>
      <w:r w:rsidR="00CF1CB6" w:rsidRPr="007F0E49">
        <w:rPr>
          <w:rFonts w:ascii="Arial" w:hAnsi="Arial" w:cs="Arial"/>
          <w:sz w:val="22"/>
          <w:szCs w:val="22"/>
        </w:rPr>
        <w:t>aktivi</w:t>
      </w:r>
      <w:r w:rsidR="004E6C6E" w:rsidRPr="007F0E49">
        <w:rPr>
          <w:rFonts w:ascii="Arial" w:hAnsi="Arial" w:cs="Arial"/>
          <w:sz w:val="22"/>
          <w:szCs w:val="22"/>
        </w:rPr>
        <w:t xml:space="preserve"> Grada </w:t>
      </w:r>
      <w:r w:rsidR="000B5AEE" w:rsidRPr="007F0E49">
        <w:rPr>
          <w:rFonts w:ascii="Arial" w:hAnsi="Arial" w:cs="Arial"/>
          <w:sz w:val="22"/>
          <w:szCs w:val="22"/>
        </w:rPr>
        <w:t xml:space="preserve">iznosi </w:t>
      </w:r>
      <w:r w:rsidR="00FD176F" w:rsidRPr="007F0E49">
        <w:rPr>
          <w:rFonts w:ascii="Arial" w:hAnsi="Arial" w:cs="Arial"/>
          <w:sz w:val="22"/>
          <w:szCs w:val="22"/>
        </w:rPr>
        <w:t>15,91</w:t>
      </w:r>
      <w:r w:rsidRPr="007F0E49">
        <w:rPr>
          <w:rFonts w:ascii="Arial" w:hAnsi="Arial" w:cs="Arial"/>
          <w:sz w:val="22"/>
          <w:szCs w:val="22"/>
        </w:rPr>
        <w:t xml:space="preserve">%. </w:t>
      </w:r>
    </w:p>
    <w:p w:rsidR="000E69DA" w:rsidRPr="007F0E49" w:rsidRDefault="000E69DA" w:rsidP="000E69DA">
      <w:pPr>
        <w:keepNext/>
        <w:jc w:val="both"/>
        <w:outlineLvl w:val="3"/>
        <w:rPr>
          <w:rFonts w:ascii="Arial" w:hAnsi="Arial" w:cs="Arial"/>
          <w:b/>
          <w:sz w:val="22"/>
          <w:szCs w:val="22"/>
          <w:highlight w:val="green"/>
        </w:rPr>
      </w:pPr>
    </w:p>
    <w:p w:rsidR="00631056" w:rsidRPr="007F0E49" w:rsidRDefault="00631056" w:rsidP="000E69DA">
      <w:pPr>
        <w:jc w:val="both"/>
        <w:rPr>
          <w:rFonts w:ascii="Arial" w:hAnsi="Arial" w:cs="Arial"/>
          <w:b/>
          <w:sz w:val="22"/>
          <w:szCs w:val="22"/>
        </w:rPr>
      </w:pPr>
    </w:p>
    <w:p w:rsidR="000E69DA" w:rsidRPr="007F0E49" w:rsidRDefault="000E69DA" w:rsidP="000E69DA">
      <w:pPr>
        <w:jc w:val="both"/>
        <w:rPr>
          <w:rFonts w:ascii="Arial" w:hAnsi="Arial" w:cs="Arial"/>
          <w:b/>
          <w:color w:val="FF0000"/>
          <w:sz w:val="22"/>
          <w:szCs w:val="22"/>
          <w:highlight w:val="yellow"/>
        </w:rPr>
      </w:pPr>
      <w:r w:rsidRPr="007F0E49">
        <w:rPr>
          <w:rFonts w:ascii="Arial" w:hAnsi="Arial" w:cs="Arial"/>
          <w:b/>
          <w:sz w:val="22"/>
          <w:szCs w:val="22"/>
        </w:rPr>
        <w:t xml:space="preserve">Bilješka broj 2 – </w:t>
      </w:r>
      <w:r w:rsidR="00321D91" w:rsidRPr="007F0E49">
        <w:rPr>
          <w:rFonts w:ascii="Arial" w:hAnsi="Arial" w:cs="Arial"/>
          <w:b/>
          <w:sz w:val="22"/>
          <w:szCs w:val="22"/>
        </w:rPr>
        <w:t>B002</w:t>
      </w:r>
      <w:r w:rsidRPr="007F0E49">
        <w:rPr>
          <w:rFonts w:ascii="Arial" w:hAnsi="Arial" w:cs="Arial"/>
          <w:b/>
          <w:sz w:val="22"/>
          <w:szCs w:val="22"/>
        </w:rPr>
        <w:t xml:space="preserve">  NEFINANCIJSKA IMOVINA </w:t>
      </w:r>
    </w:p>
    <w:p w:rsidR="00D46488" w:rsidRPr="007F0E49" w:rsidRDefault="00D46488" w:rsidP="000E69DA">
      <w:pPr>
        <w:jc w:val="both"/>
        <w:rPr>
          <w:rFonts w:ascii="Arial" w:hAnsi="Arial" w:cs="Arial"/>
          <w:sz w:val="22"/>
          <w:szCs w:val="22"/>
          <w:highlight w:val="yellow"/>
        </w:rPr>
      </w:pPr>
    </w:p>
    <w:p w:rsidR="000E69DA" w:rsidRPr="007F0E49" w:rsidRDefault="000E69DA" w:rsidP="009A02EC">
      <w:pPr>
        <w:jc w:val="both"/>
        <w:rPr>
          <w:rFonts w:ascii="Arial" w:hAnsi="Arial" w:cs="Arial"/>
          <w:sz w:val="22"/>
          <w:szCs w:val="22"/>
        </w:rPr>
      </w:pPr>
      <w:r w:rsidRPr="007F0E49">
        <w:rPr>
          <w:rFonts w:ascii="Arial" w:hAnsi="Arial" w:cs="Arial"/>
          <w:sz w:val="22"/>
          <w:szCs w:val="22"/>
        </w:rPr>
        <w:t xml:space="preserve">Ukupna vrijednost </w:t>
      </w:r>
      <w:r w:rsidRPr="007F0E49">
        <w:rPr>
          <w:rFonts w:ascii="Arial" w:hAnsi="Arial" w:cs="Arial"/>
          <w:b/>
          <w:sz w:val="22"/>
          <w:szCs w:val="22"/>
        </w:rPr>
        <w:t>nefi</w:t>
      </w:r>
      <w:r w:rsidR="00321D91" w:rsidRPr="007F0E49">
        <w:rPr>
          <w:rFonts w:ascii="Arial" w:hAnsi="Arial" w:cs="Arial"/>
          <w:b/>
          <w:sz w:val="22"/>
          <w:szCs w:val="22"/>
        </w:rPr>
        <w:t>nancijske imovine Grada (B002</w:t>
      </w:r>
      <w:r w:rsidRPr="007F0E49">
        <w:rPr>
          <w:rFonts w:ascii="Arial" w:hAnsi="Arial" w:cs="Arial"/>
          <w:b/>
          <w:sz w:val="22"/>
          <w:szCs w:val="22"/>
        </w:rPr>
        <w:t>)</w:t>
      </w:r>
      <w:r w:rsidRPr="007F0E49">
        <w:rPr>
          <w:rFonts w:ascii="Arial" w:hAnsi="Arial" w:cs="Arial"/>
          <w:sz w:val="22"/>
          <w:szCs w:val="22"/>
        </w:rPr>
        <w:t xml:space="preserve"> na dan bilance iznosi </w:t>
      </w:r>
      <w:r w:rsidR="00F50B75" w:rsidRPr="007F0E49">
        <w:rPr>
          <w:rFonts w:ascii="Arial" w:hAnsi="Arial" w:cs="Arial"/>
          <w:sz w:val="22"/>
          <w:szCs w:val="22"/>
        </w:rPr>
        <w:t>7.257.732.430,52</w:t>
      </w:r>
      <w:r w:rsidRPr="007F0E49">
        <w:rPr>
          <w:rFonts w:ascii="Arial" w:hAnsi="Arial" w:cs="Arial"/>
          <w:sz w:val="22"/>
          <w:szCs w:val="22"/>
        </w:rPr>
        <w:t xml:space="preserve"> kn </w:t>
      </w:r>
      <w:r w:rsidR="00FF36EE" w:rsidRPr="007F0E49">
        <w:rPr>
          <w:rFonts w:ascii="Arial" w:hAnsi="Arial" w:cs="Arial"/>
          <w:sz w:val="22"/>
          <w:szCs w:val="22"/>
        </w:rPr>
        <w:t>što</w:t>
      </w:r>
      <w:r w:rsidR="00CF1CB6" w:rsidRPr="007F0E49">
        <w:rPr>
          <w:rFonts w:ascii="Arial" w:hAnsi="Arial" w:cs="Arial"/>
          <w:sz w:val="22"/>
          <w:szCs w:val="22"/>
        </w:rPr>
        <w:t xml:space="preserve">, </w:t>
      </w:r>
      <w:r w:rsidRPr="007F0E49">
        <w:rPr>
          <w:rFonts w:ascii="Arial" w:hAnsi="Arial" w:cs="Arial"/>
          <w:sz w:val="22"/>
          <w:szCs w:val="22"/>
        </w:rPr>
        <w:t xml:space="preserve">u odnosu na </w:t>
      </w:r>
      <w:r w:rsidR="00FF36EE" w:rsidRPr="007F0E49">
        <w:rPr>
          <w:rFonts w:ascii="Arial" w:hAnsi="Arial" w:cs="Arial"/>
          <w:sz w:val="22"/>
          <w:szCs w:val="22"/>
        </w:rPr>
        <w:t xml:space="preserve">njenu </w:t>
      </w:r>
      <w:r w:rsidR="00294A40" w:rsidRPr="007F0E49">
        <w:rPr>
          <w:rFonts w:ascii="Arial" w:hAnsi="Arial" w:cs="Arial"/>
          <w:sz w:val="22"/>
          <w:szCs w:val="22"/>
        </w:rPr>
        <w:t>vrijednost kraj</w:t>
      </w:r>
      <w:r w:rsidR="00FF36EE" w:rsidRPr="007F0E49">
        <w:rPr>
          <w:rFonts w:ascii="Arial" w:hAnsi="Arial" w:cs="Arial"/>
          <w:sz w:val="22"/>
          <w:szCs w:val="22"/>
        </w:rPr>
        <w:t>em</w:t>
      </w:r>
      <w:r w:rsidR="00294A40" w:rsidRPr="007F0E49">
        <w:rPr>
          <w:rFonts w:ascii="Arial" w:hAnsi="Arial" w:cs="Arial"/>
          <w:sz w:val="22"/>
          <w:szCs w:val="22"/>
        </w:rPr>
        <w:t xml:space="preserve"> </w:t>
      </w:r>
      <w:r w:rsidRPr="007F0E49">
        <w:rPr>
          <w:rFonts w:ascii="Arial" w:hAnsi="Arial" w:cs="Arial"/>
          <w:sz w:val="22"/>
          <w:szCs w:val="22"/>
        </w:rPr>
        <w:t>prethodn</w:t>
      </w:r>
      <w:r w:rsidR="00294A40" w:rsidRPr="007F0E49">
        <w:rPr>
          <w:rFonts w:ascii="Arial" w:hAnsi="Arial" w:cs="Arial"/>
          <w:sz w:val="22"/>
          <w:szCs w:val="22"/>
        </w:rPr>
        <w:t>e</w:t>
      </w:r>
      <w:r w:rsidRPr="007F0E49">
        <w:rPr>
          <w:rFonts w:ascii="Arial" w:hAnsi="Arial" w:cs="Arial"/>
          <w:sz w:val="22"/>
          <w:szCs w:val="22"/>
        </w:rPr>
        <w:t xml:space="preserve"> godin</w:t>
      </w:r>
      <w:r w:rsidR="00294A40" w:rsidRPr="007F0E49">
        <w:rPr>
          <w:rFonts w:ascii="Arial" w:hAnsi="Arial" w:cs="Arial"/>
          <w:sz w:val="22"/>
          <w:szCs w:val="22"/>
        </w:rPr>
        <w:t>e</w:t>
      </w:r>
      <w:r w:rsidR="00CF1CB6" w:rsidRPr="007F0E49">
        <w:rPr>
          <w:rFonts w:ascii="Arial" w:hAnsi="Arial" w:cs="Arial"/>
          <w:sz w:val="22"/>
          <w:szCs w:val="22"/>
        </w:rPr>
        <w:t>,</w:t>
      </w:r>
      <w:r w:rsidRPr="007F0E49">
        <w:rPr>
          <w:rFonts w:ascii="Arial" w:hAnsi="Arial" w:cs="Arial"/>
          <w:sz w:val="22"/>
          <w:szCs w:val="22"/>
        </w:rPr>
        <w:t xml:space="preserve"> </w:t>
      </w:r>
      <w:r w:rsidR="00FF36EE" w:rsidRPr="007F0E49">
        <w:rPr>
          <w:rFonts w:ascii="Arial" w:hAnsi="Arial" w:cs="Arial"/>
          <w:sz w:val="22"/>
          <w:szCs w:val="22"/>
        </w:rPr>
        <w:t xml:space="preserve">predstavlja </w:t>
      </w:r>
      <w:r w:rsidR="00CF1CB6" w:rsidRPr="007F0E49">
        <w:rPr>
          <w:rFonts w:ascii="Arial" w:hAnsi="Arial" w:cs="Arial"/>
          <w:sz w:val="22"/>
          <w:szCs w:val="22"/>
        </w:rPr>
        <w:t>povećanje</w:t>
      </w:r>
      <w:r w:rsidRPr="007F0E49">
        <w:rPr>
          <w:rFonts w:ascii="Arial" w:hAnsi="Arial" w:cs="Arial"/>
          <w:sz w:val="22"/>
          <w:szCs w:val="22"/>
        </w:rPr>
        <w:t xml:space="preserve"> za </w:t>
      </w:r>
      <w:r w:rsidR="00F50B75" w:rsidRPr="007F0E49">
        <w:rPr>
          <w:rFonts w:ascii="Arial" w:hAnsi="Arial" w:cs="Arial"/>
          <w:sz w:val="22"/>
          <w:szCs w:val="22"/>
        </w:rPr>
        <w:t>32.217.164,52</w:t>
      </w:r>
      <w:r w:rsidR="004E6C6E" w:rsidRPr="007F0E49">
        <w:rPr>
          <w:rFonts w:ascii="Arial" w:hAnsi="Arial" w:cs="Arial"/>
          <w:sz w:val="22"/>
          <w:szCs w:val="22"/>
        </w:rPr>
        <w:t xml:space="preserve"> kn</w:t>
      </w:r>
      <w:r w:rsidR="00F50B75" w:rsidRPr="007F0E49">
        <w:rPr>
          <w:rFonts w:ascii="Arial" w:hAnsi="Arial" w:cs="Arial"/>
          <w:sz w:val="22"/>
          <w:szCs w:val="22"/>
        </w:rPr>
        <w:t>.</w:t>
      </w:r>
      <w:r w:rsidR="004E6C6E" w:rsidRPr="007F0E49">
        <w:rPr>
          <w:rFonts w:ascii="Arial" w:hAnsi="Arial" w:cs="Arial"/>
          <w:sz w:val="22"/>
          <w:szCs w:val="22"/>
        </w:rPr>
        <w:t xml:space="preserve"> </w:t>
      </w:r>
    </w:p>
    <w:p w:rsidR="00B80EE1" w:rsidRPr="007F0E49" w:rsidRDefault="000E69DA" w:rsidP="00B80EE1">
      <w:pPr>
        <w:jc w:val="both"/>
        <w:rPr>
          <w:rFonts w:ascii="Arial" w:hAnsi="Arial" w:cs="Arial"/>
          <w:sz w:val="22"/>
          <w:szCs w:val="22"/>
        </w:rPr>
      </w:pPr>
      <w:r w:rsidRPr="007F0E49">
        <w:rPr>
          <w:rFonts w:ascii="Arial" w:hAnsi="Arial" w:cs="Arial"/>
          <w:sz w:val="22"/>
          <w:szCs w:val="22"/>
        </w:rPr>
        <w:t>U strukturi ukupne nefinancijske imovine vrijednosno najveći ud</w:t>
      </w:r>
      <w:r w:rsidR="00F31C37" w:rsidRPr="007F0E49">
        <w:rPr>
          <w:rFonts w:ascii="Arial" w:hAnsi="Arial" w:cs="Arial"/>
          <w:sz w:val="22"/>
          <w:szCs w:val="22"/>
        </w:rPr>
        <w:t>jel</w:t>
      </w:r>
      <w:r w:rsidRPr="007F0E49">
        <w:rPr>
          <w:rFonts w:ascii="Arial" w:hAnsi="Arial" w:cs="Arial"/>
          <w:sz w:val="22"/>
          <w:szCs w:val="22"/>
        </w:rPr>
        <w:t xml:space="preserve"> zauzima </w:t>
      </w:r>
      <w:r w:rsidRPr="007F0E49">
        <w:rPr>
          <w:rFonts w:ascii="Arial" w:hAnsi="Arial" w:cs="Arial"/>
          <w:b/>
          <w:sz w:val="22"/>
          <w:szCs w:val="22"/>
        </w:rPr>
        <w:t>neproizve</w:t>
      </w:r>
      <w:r w:rsidR="00321D91" w:rsidRPr="007F0E49">
        <w:rPr>
          <w:rFonts w:ascii="Arial" w:hAnsi="Arial" w:cs="Arial"/>
          <w:b/>
          <w:sz w:val="22"/>
          <w:szCs w:val="22"/>
        </w:rPr>
        <w:t>dena dugotrajna imovina (01</w:t>
      </w:r>
      <w:r w:rsidRPr="007F0E49">
        <w:rPr>
          <w:rFonts w:ascii="Arial" w:hAnsi="Arial" w:cs="Arial"/>
          <w:b/>
          <w:sz w:val="22"/>
          <w:szCs w:val="22"/>
        </w:rPr>
        <w:t>)</w:t>
      </w:r>
      <w:r w:rsidR="00FF36EE" w:rsidRPr="007F0E49">
        <w:rPr>
          <w:rFonts w:ascii="Arial" w:hAnsi="Arial" w:cs="Arial"/>
          <w:b/>
          <w:sz w:val="22"/>
          <w:szCs w:val="22"/>
        </w:rPr>
        <w:t>.</w:t>
      </w:r>
      <w:r w:rsidR="00FF36EE" w:rsidRPr="007F0E49">
        <w:rPr>
          <w:rFonts w:ascii="Arial" w:hAnsi="Arial" w:cs="Arial"/>
          <w:sz w:val="22"/>
          <w:szCs w:val="22"/>
        </w:rPr>
        <w:t xml:space="preserve"> </w:t>
      </w:r>
      <w:r w:rsidR="00B80EE1" w:rsidRPr="007F0E49">
        <w:rPr>
          <w:rFonts w:ascii="Arial" w:hAnsi="Arial" w:cs="Arial"/>
          <w:sz w:val="22"/>
          <w:szCs w:val="22"/>
        </w:rPr>
        <w:t xml:space="preserve">Grad Rijeka vlasnik je, odnosno suvlasnik sveukupno </w:t>
      </w:r>
      <w:r w:rsidR="00BA7B7E" w:rsidRPr="007F0E49">
        <w:rPr>
          <w:rFonts w:ascii="Arial" w:hAnsi="Arial" w:cs="Arial"/>
          <w:sz w:val="22"/>
          <w:szCs w:val="22"/>
        </w:rPr>
        <w:t>12.036</w:t>
      </w:r>
      <w:r w:rsidR="00B80EE1" w:rsidRPr="007F0E49">
        <w:rPr>
          <w:rFonts w:ascii="Arial" w:hAnsi="Arial" w:cs="Arial"/>
          <w:sz w:val="22"/>
          <w:szCs w:val="22"/>
        </w:rPr>
        <w:t xml:space="preserve"> zemljišnih čestica, sveukupne površine </w:t>
      </w:r>
      <w:r w:rsidR="00BA7B7E" w:rsidRPr="007F0E49">
        <w:rPr>
          <w:rFonts w:ascii="Arial" w:hAnsi="Arial" w:cs="Arial"/>
          <w:sz w:val="22"/>
          <w:szCs w:val="22"/>
        </w:rPr>
        <w:t>8.728.823,50</w:t>
      </w:r>
      <w:r w:rsidR="00B80EE1" w:rsidRPr="007F0E49">
        <w:rPr>
          <w:rFonts w:ascii="Arial" w:hAnsi="Arial" w:cs="Arial"/>
          <w:sz w:val="22"/>
          <w:szCs w:val="22"/>
        </w:rPr>
        <w:t xml:space="preserve"> m</w:t>
      </w:r>
      <w:r w:rsidR="00B80EE1" w:rsidRPr="007F0E49">
        <w:rPr>
          <w:rFonts w:ascii="Arial" w:hAnsi="Arial" w:cs="Arial"/>
          <w:sz w:val="22"/>
          <w:szCs w:val="22"/>
          <w:vertAlign w:val="superscript"/>
        </w:rPr>
        <w:t>2</w:t>
      </w:r>
      <w:r w:rsidR="008B252E" w:rsidRPr="007F0E49">
        <w:rPr>
          <w:rFonts w:ascii="Arial" w:hAnsi="Arial" w:cs="Arial"/>
          <w:sz w:val="22"/>
          <w:szCs w:val="22"/>
        </w:rPr>
        <w:t xml:space="preserve">, </w:t>
      </w:r>
      <w:r w:rsidR="00B80EE1" w:rsidRPr="007F0E49">
        <w:rPr>
          <w:rFonts w:ascii="Arial" w:hAnsi="Arial" w:cs="Arial"/>
          <w:sz w:val="22"/>
          <w:szCs w:val="22"/>
        </w:rPr>
        <w:t xml:space="preserve">vrijednosti </w:t>
      </w:r>
      <w:r w:rsidR="00F50B75" w:rsidRPr="007F0E49">
        <w:rPr>
          <w:rFonts w:ascii="Arial" w:hAnsi="Arial" w:cs="Arial"/>
          <w:sz w:val="22"/>
          <w:szCs w:val="22"/>
        </w:rPr>
        <w:t>5.008.973.257,13</w:t>
      </w:r>
      <w:r w:rsidR="00B80EE1" w:rsidRPr="007F0E49">
        <w:rPr>
          <w:rFonts w:ascii="Arial" w:hAnsi="Arial" w:cs="Arial"/>
          <w:sz w:val="22"/>
          <w:szCs w:val="22"/>
        </w:rPr>
        <w:t xml:space="preserve"> kn.</w:t>
      </w:r>
    </w:p>
    <w:p w:rsidR="00112F4C" w:rsidRPr="007F0E49" w:rsidRDefault="00112F4C" w:rsidP="000E69DA">
      <w:pPr>
        <w:jc w:val="both"/>
        <w:rPr>
          <w:rFonts w:ascii="Arial" w:hAnsi="Arial" w:cs="Arial"/>
          <w:sz w:val="22"/>
          <w:szCs w:val="22"/>
          <w:highlight w:val="yellow"/>
        </w:rPr>
      </w:pPr>
    </w:p>
    <w:p w:rsidR="000E69DA" w:rsidRPr="007F0E49" w:rsidRDefault="004E6C6E" w:rsidP="000E69DA">
      <w:pPr>
        <w:jc w:val="both"/>
        <w:rPr>
          <w:rFonts w:ascii="Arial" w:hAnsi="Arial" w:cs="Arial"/>
          <w:sz w:val="22"/>
          <w:szCs w:val="22"/>
        </w:rPr>
      </w:pPr>
      <w:r w:rsidRPr="007F0E49">
        <w:rPr>
          <w:rFonts w:ascii="Arial" w:hAnsi="Arial" w:cs="Arial"/>
          <w:b/>
          <w:sz w:val="22"/>
          <w:szCs w:val="22"/>
        </w:rPr>
        <w:t>Dugotrajna n</w:t>
      </w:r>
      <w:r w:rsidR="000E69DA" w:rsidRPr="007F0E49">
        <w:rPr>
          <w:rFonts w:ascii="Arial" w:hAnsi="Arial" w:cs="Arial"/>
          <w:b/>
          <w:sz w:val="22"/>
          <w:szCs w:val="22"/>
        </w:rPr>
        <w:t>efinanci</w:t>
      </w:r>
      <w:r w:rsidR="00BA1EFA" w:rsidRPr="007F0E49">
        <w:rPr>
          <w:rFonts w:ascii="Arial" w:hAnsi="Arial" w:cs="Arial"/>
          <w:b/>
          <w:sz w:val="22"/>
          <w:szCs w:val="22"/>
        </w:rPr>
        <w:t>jska imovina u pripremi (05</w:t>
      </w:r>
      <w:r w:rsidR="000E69DA" w:rsidRPr="007F0E49">
        <w:rPr>
          <w:rFonts w:ascii="Arial" w:hAnsi="Arial" w:cs="Arial"/>
          <w:b/>
          <w:sz w:val="22"/>
          <w:szCs w:val="22"/>
        </w:rPr>
        <w:t xml:space="preserve">) </w:t>
      </w:r>
      <w:r w:rsidR="000E69DA" w:rsidRPr="007F0E49">
        <w:rPr>
          <w:rFonts w:ascii="Arial" w:hAnsi="Arial" w:cs="Arial"/>
          <w:sz w:val="22"/>
          <w:szCs w:val="22"/>
        </w:rPr>
        <w:t xml:space="preserve">– vrijednost </w:t>
      </w:r>
      <w:r w:rsidR="007C395E" w:rsidRPr="007F0E49">
        <w:rPr>
          <w:rFonts w:ascii="Arial" w:hAnsi="Arial" w:cs="Arial"/>
          <w:sz w:val="22"/>
          <w:szCs w:val="22"/>
        </w:rPr>
        <w:t xml:space="preserve">imovine u pripremi (investicija u tijeku) </w:t>
      </w:r>
      <w:r w:rsidR="007E6001" w:rsidRPr="007F0E49">
        <w:rPr>
          <w:rFonts w:ascii="Arial" w:hAnsi="Arial" w:cs="Arial"/>
          <w:sz w:val="22"/>
          <w:szCs w:val="22"/>
        </w:rPr>
        <w:t>veća</w:t>
      </w:r>
      <w:r w:rsidR="002D7210" w:rsidRPr="007F0E49">
        <w:rPr>
          <w:rFonts w:ascii="Arial" w:hAnsi="Arial" w:cs="Arial"/>
          <w:sz w:val="22"/>
          <w:szCs w:val="22"/>
        </w:rPr>
        <w:t xml:space="preserve"> je za </w:t>
      </w:r>
      <w:r w:rsidR="007E6001" w:rsidRPr="007F0E49">
        <w:rPr>
          <w:rFonts w:ascii="Arial" w:hAnsi="Arial" w:cs="Arial"/>
          <w:sz w:val="22"/>
          <w:szCs w:val="22"/>
        </w:rPr>
        <w:t>53.094.323,31</w:t>
      </w:r>
      <w:r w:rsidR="002D7210" w:rsidRPr="007F0E49">
        <w:rPr>
          <w:rFonts w:ascii="Arial" w:hAnsi="Arial" w:cs="Arial"/>
          <w:sz w:val="22"/>
          <w:szCs w:val="22"/>
        </w:rPr>
        <w:t xml:space="preserve"> kn ili </w:t>
      </w:r>
      <w:r w:rsidR="007E6001" w:rsidRPr="007F0E49">
        <w:rPr>
          <w:rFonts w:ascii="Arial" w:hAnsi="Arial" w:cs="Arial"/>
          <w:sz w:val="22"/>
          <w:szCs w:val="22"/>
        </w:rPr>
        <w:t>18,6</w:t>
      </w:r>
      <w:r w:rsidR="000E69DA" w:rsidRPr="007F0E49">
        <w:rPr>
          <w:rFonts w:ascii="Arial" w:hAnsi="Arial" w:cs="Arial"/>
          <w:sz w:val="22"/>
          <w:szCs w:val="22"/>
        </w:rPr>
        <w:t xml:space="preserve">% u odnosu na prethodnu godinu i ukupno iznosi </w:t>
      </w:r>
      <w:r w:rsidR="007E6001" w:rsidRPr="007F0E49">
        <w:rPr>
          <w:rFonts w:ascii="Arial" w:hAnsi="Arial" w:cs="Arial"/>
          <w:sz w:val="22"/>
          <w:szCs w:val="22"/>
        </w:rPr>
        <w:t>338.107.824,31</w:t>
      </w:r>
      <w:r w:rsidR="000E69DA" w:rsidRPr="007F0E49">
        <w:rPr>
          <w:rFonts w:ascii="Arial" w:hAnsi="Arial" w:cs="Arial"/>
          <w:sz w:val="22"/>
          <w:szCs w:val="22"/>
        </w:rPr>
        <w:t xml:space="preserve"> kn</w:t>
      </w:r>
      <w:r w:rsidR="00C05004" w:rsidRPr="007F0E49">
        <w:rPr>
          <w:rFonts w:ascii="Arial" w:hAnsi="Arial" w:cs="Arial"/>
          <w:sz w:val="22"/>
          <w:szCs w:val="22"/>
        </w:rPr>
        <w:t>.</w:t>
      </w:r>
      <w:r w:rsidR="00960C6D" w:rsidRPr="007F0E49">
        <w:rPr>
          <w:rFonts w:ascii="Arial" w:hAnsi="Arial" w:cs="Arial"/>
          <w:sz w:val="22"/>
          <w:szCs w:val="22"/>
        </w:rPr>
        <w:t xml:space="preserve"> </w:t>
      </w:r>
      <w:r w:rsidR="00231829" w:rsidRPr="007F0E49">
        <w:rPr>
          <w:rFonts w:ascii="Arial" w:hAnsi="Arial" w:cs="Arial"/>
          <w:sz w:val="22"/>
          <w:szCs w:val="22"/>
        </w:rPr>
        <w:t>U okviru ove skupine</w:t>
      </w:r>
      <w:r w:rsidR="00260D9D" w:rsidRPr="007F0E49">
        <w:rPr>
          <w:rFonts w:ascii="Arial" w:hAnsi="Arial" w:cs="Arial"/>
          <w:sz w:val="22"/>
          <w:szCs w:val="22"/>
        </w:rPr>
        <w:t xml:space="preserve">, veće povećanje </w:t>
      </w:r>
      <w:r w:rsidR="00231829" w:rsidRPr="007F0E49">
        <w:rPr>
          <w:rFonts w:ascii="Arial" w:hAnsi="Arial" w:cs="Arial"/>
          <w:sz w:val="22"/>
          <w:szCs w:val="22"/>
        </w:rPr>
        <w:t>evidentiran</w:t>
      </w:r>
      <w:r w:rsidR="00260D9D" w:rsidRPr="007F0E49">
        <w:rPr>
          <w:rFonts w:ascii="Arial" w:hAnsi="Arial" w:cs="Arial"/>
          <w:sz w:val="22"/>
          <w:szCs w:val="22"/>
        </w:rPr>
        <w:t>o</w:t>
      </w:r>
      <w:r w:rsidR="00231829" w:rsidRPr="007F0E49">
        <w:rPr>
          <w:rFonts w:ascii="Arial" w:hAnsi="Arial" w:cs="Arial"/>
          <w:sz w:val="22"/>
          <w:szCs w:val="22"/>
        </w:rPr>
        <w:t xml:space="preserve"> </w:t>
      </w:r>
      <w:r w:rsidR="00260D9D" w:rsidRPr="007F0E49">
        <w:rPr>
          <w:rFonts w:ascii="Arial" w:hAnsi="Arial" w:cs="Arial"/>
          <w:sz w:val="22"/>
          <w:szCs w:val="22"/>
        </w:rPr>
        <w:t xml:space="preserve">je kod sljedećih investicija: </w:t>
      </w:r>
      <w:r w:rsidR="00BA7B7E" w:rsidRPr="007F0E49">
        <w:rPr>
          <w:rFonts w:ascii="Arial" w:hAnsi="Arial" w:cs="Arial"/>
          <w:sz w:val="22"/>
          <w:szCs w:val="22"/>
        </w:rPr>
        <w:t>u</w:t>
      </w:r>
      <w:r w:rsidR="00960C6D" w:rsidRPr="007F0E49">
        <w:rPr>
          <w:rFonts w:ascii="Arial" w:hAnsi="Arial" w:cs="Arial"/>
          <w:sz w:val="22"/>
          <w:szCs w:val="22"/>
        </w:rPr>
        <w:t>laganja u Revitalizaciju kompleksa Benčić</w:t>
      </w:r>
      <w:r w:rsidR="00537056" w:rsidRPr="007F0E49">
        <w:rPr>
          <w:rFonts w:ascii="Arial" w:hAnsi="Arial" w:cs="Arial"/>
          <w:sz w:val="22"/>
          <w:szCs w:val="22"/>
        </w:rPr>
        <w:t xml:space="preserve"> </w:t>
      </w:r>
      <w:r w:rsidR="00960C6D" w:rsidRPr="007F0E49">
        <w:rPr>
          <w:rFonts w:ascii="Arial" w:hAnsi="Arial" w:cs="Arial"/>
          <w:sz w:val="22"/>
          <w:szCs w:val="22"/>
        </w:rPr>
        <w:t>- Cigleni i T-objekt</w:t>
      </w:r>
      <w:r w:rsidR="007C395E" w:rsidRPr="007F0E49">
        <w:rPr>
          <w:rFonts w:ascii="Arial" w:hAnsi="Arial" w:cs="Arial"/>
          <w:sz w:val="22"/>
          <w:szCs w:val="22"/>
        </w:rPr>
        <w:t xml:space="preserve"> i uređenj</w:t>
      </w:r>
      <w:r w:rsidR="00231829" w:rsidRPr="007F0E49">
        <w:rPr>
          <w:rFonts w:ascii="Arial" w:hAnsi="Arial" w:cs="Arial"/>
          <w:sz w:val="22"/>
          <w:szCs w:val="22"/>
        </w:rPr>
        <w:t>e</w:t>
      </w:r>
      <w:r w:rsidR="007C395E" w:rsidRPr="007F0E49">
        <w:rPr>
          <w:rFonts w:ascii="Arial" w:hAnsi="Arial" w:cs="Arial"/>
          <w:sz w:val="22"/>
          <w:szCs w:val="22"/>
        </w:rPr>
        <w:t xml:space="preserve"> javnih površina i izgradnje pripadajuće infrastrukture unutar bivšeg tvorničkog kompleksa Rikard Benčić</w:t>
      </w:r>
      <w:r w:rsidR="00BA7B7E" w:rsidRPr="007F0E49">
        <w:rPr>
          <w:rFonts w:ascii="Arial" w:hAnsi="Arial" w:cs="Arial"/>
          <w:sz w:val="22"/>
          <w:szCs w:val="22"/>
        </w:rPr>
        <w:t>, rekonstrukcij</w:t>
      </w:r>
      <w:r w:rsidR="00260D9D" w:rsidRPr="007F0E49">
        <w:rPr>
          <w:rFonts w:ascii="Arial" w:hAnsi="Arial" w:cs="Arial"/>
          <w:sz w:val="22"/>
          <w:szCs w:val="22"/>
        </w:rPr>
        <w:t>e</w:t>
      </w:r>
      <w:r w:rsidR="00BA7B7E" w:rsidRPr="007F0E49">
        <w:rPr>
          <w:rFonts w:ascii="Arial" w:hAnsi="Arial" w:cs="Arial"/>
          <w:sz w:val="22"/>
          <w:szCs w:val="22"/>
        </w:rPr>
        <w:t xml:space="preserve"> i opremanj</w:t>
      </w:r>
      <w:r w:rsidR="00260D9D" w:rsidRPr="007F0E49">
        <w:rPr>
          <w:rFonts w:ascii="Arial" w:hAnsi="Arial" w:cs="Arial"/>
          <w:sz w:val="22"/>
          <w:szCs w:val="22"/>
        </w:rPr>
        <w:t>a</w:t>
      </w:r>
      <w:r w:rsidR="00BA7B7E" w:rsidRPr="007F0E49">
        <w:rPr>
          <w:rFonts w:ascii="Arial" w:hAnsi="Arial" w:cs="Arial"/>
          <w:sz w:val="22"/>
          <w:szCs w:val="22"/>
        </w:rPr>
        <w:t xml:space="preserve"> broda-muzeja Galeb</w:t>
      </w:r>
      <w:r w:rsidR="00260D9D" w:rsidRPr="007F0E49">
        <w:rPr>
          <w:rFonts w:ascii="Arial" w:hAnsi="Arial" w:cs="Arial"/>
          <w:sz w:val="22"/>
          <w:szCs w:val="22"/>
        </w:rPr>
        <w:t xml:space="preserve"> (</w:t>
      </w:r>
      <w:r w:rsidR="00BC1838" w:rsidRPr="007F0E49">
        <w:rPr>
          <w:rFonts w:ascii="Arial" w:hAnsi="Arial" w:cs="Arial"/>
          <w:sz w:val="22"/>
          <w:szCs w:val="22"/>
        </w:rPr>
        <w:t xml:space="preserve">kapitalni </w:t>
      </w:r>
      <w:r w:rsidR="00260D9D" w:rsidRPr="007F0E49">
        <w:rPr>
          <w:rFonts w:ascii="Arial" w:hAnsi="Arial" w:cs="Arial"/>
          <w:sz w:val="22"/>
          <w:szCs w:val="22"/>
        </w:rPr>
        <w:t>projekt Turističke valorizacije</w:t>
      </w:r>
      <w:r w:rsidR="00BC1838" w:rsidRPr="007F0E49">
        <w:rPr>
          <w:rFonts w:ascii="Arial" w:hAnsi="Arial" w:cs="Arial"/>
          <w:color w:val="000000" w:themeColor="text1"/>
          <w:sz w:val="22"/>
          <w:szCs w:val="22"/>
        </w:rPr>
        <w:t xml:space="preserve"> reprezentativnih spomenika riječke industrijske baštine</w:t>
      </w:r>
      <w:r w:rsidR="00260D9D" w:rsidRPr="007F0E49">
        <w:rPr>
          <w:rFonts w:ascii="Arial" w:hAnsi="Arial" w:cs="Arial"/>
          <w:sz w:val="22"/>
          <w:szCs w:val="22"/>
        </w:rPr>
        <w:t>)</w:t>
      </w:r>
      <w:r w:rsidR="00BA7B7E" w:rsidRPr="007F0E49">
        <w:rPr>
          <w:rFonts w:ascii="Arial" w:hAnsi="Arial" w:cs="Arial"/>
          <w:sz w:val="22"/>
          <w:szCs w:val="22"/>
        </w:rPr>
        <w:t>,</w:t>
      </w:r>
      <w:r w:rsidR="00A61597" w:rsidRPr="007F0E49">
        <w:rPr>
          <w:rFonts w:ascii="Arial" w:hAnsi="Arial" w:cs="Arial"/>
          <w:sz w:val="22"/>
          <w:szCs w:val="22"/>
        </w:rPr>
        <w:t xml:space="preserve"> </w:t>
      </w:r>
      <w:r w:rsidR="00260D9D" w:rsidRPr="007F0E49">
        <w:rPr>
          <w:rFonts w:ascii="Arial" w:hAnsi="Arial" w:cs="Arial"/>
          <w:sz w:val="22"/>
          <w:szCs w:val="22"/>
        </w:rPr>
        <w:t xml:space="preserve">zatim </w:t>
      </w:r>
      <w:r w:rsidR="007C395E" w:rsidRPr="007F0E49">
        <w:rPr>
          <w:rFonts w:ascii="Arial" w:hAnsi="Arial" w:cs="Arial"/>
          <w:sz w:val="22"/>
          <w:szCs w:val="22"/>
        </w:rPr>
        <w:t xml:space="preserve">ulaganja u </w:t>
      </w:r>
      <w:r w:rsidR="00BA7B7E" w:rsidRPr="007F0E49">
        <w:rPr>
          <w:rFonts w:ascii="Arial" w:hAnsi="Arial" w:cs="Arial"/>
          <w:sz w:val="22"/>
          <w:szCs w:val="22"/>
        </w:rPr>
        <w:t>Poduzetničku zonu Bodulovo,</w:t>
      </w:r>
      <w:r w:rsidR="00FD176F" w:rsidRPr="007F0E49">
        <w:rPr>
          <w:rFonts w:ascii="Arial" w:hAnsi="Arial" w:cs="Arial"/>
          <w:sz w:val="22"/>
          <w:szCs w:val="22"/>
        </w:rPr>
        <w:t xml:space="preserve"> </w:t>
      </w:r>
      <w:r w:rsidR="00BA7B7E" w:rsidRPr="007F0E49">
        <w:rPr>
          <w:rFonts w:ascii="Arial" w:hAnsi="Arial" w:cs="Arial"/>
          <w:sz w:val="22"/>
          <w:szCs w:val="22"/>
        </w:rPr>
        <w:t xml:space="preserve">izgradnju sortirnice </w:t>
      </w:r>
      <w:r w:rsidR="00921B57" w:rsidRPr="007F0E49">
        <w:rPr>
          <w:rStyle w:val="Strong"/>
          <w:rFonts w:ascii="Arial" w:hAnsi="Arial" w:cs="Arial"/>
          <w:b w:val="0"/>
          <w:color w:val="2A2D30"/>
          <w:sz w:val="22"/>
          <w:szCs w:val="22"/>
          <w:shd w:val="clear" w:color="auto" w:fill="FFFFFF"/>
        </w:rPr>
        <w:t>odvojeno prikupljenog otpada</w:t>
      </w:r>
      <w:r w:rsidR="00921B57" w:rsidRPr="007F0E49">
        <w:rPr>
          <w:rFonts w:ascii="Arial" w:hAnsi="Arial" w:cs="Arial"/>
          <w:sz w:val="22"/>
          <w:szCs w:val="22"/>
        </w:rPr>
        <w:t xml:space="preserve"> </w:t>
      </w:r>
      <w:r w:rsidR="00BA7B7E" w:rsidRPr="007F0E49">
        <w:rPr>
          <w:rFonts w:ascii="Arial" w:hAnsi="Arial" w:cs="Arial"/>
          <w:sz w:val="22"/>
          <w:szCs w:val="22"/>
        </w:rPr>
        <w:t>na lokaciji M</w:t>
      </w:r>
      <w:r w:rsidR="00A61597" w:rsidRPr="007F0E49">
        <w:rPr>
          <w:rFonts w:ascii="Arial" w:hAnsi="Arial" w:cs="Arial"/>
          <w:sz w:val="22"/>
          <w:szCs w:val="22"/>
        </w:rPr>
        <w:t>ihačeva draga</w:t>
      </w:r>
      <w:r w:rsidR="00260D9D" w:rsidRPr="007F0E49">
        <w:rPr>
          <w:rFonts w:ascii="Arial" w:hAnsi="Arial" w:cs="Arial"/>
          <w:sz w:val="22"/>
          <w:szCs w:val="22"/>
        </w:rPr>
        <w:t xml:space="preserve"> i</w:t>
      </w:r>
      <w:r w:rsidR="00960C6D" w:rsidRPr="007F0E49">
        <w:rPr>
          <w:rFonts w:ascii="Arial" w:hAnsi="Arial" w:cs="Arial"/>
          <w:sz w:val="22"/>
          <w:szCs w:val="22"/>
        </w:rPr>
        <w:t xml:space="preserve"> ulaganja u pristupne ceste</w:t>
      </w:r>
      <w:r w:rsidR="00260D9D" w:rsidRPr="007F0E49">
        <w:rPr>
          <w:rFonts w:ascii="Arial" w:hAnsi="Arial" w:cs="Arial"/>
          <w:sz w:val="22"/>
          <w:szCs w:val="22"/>
        </w:rPr>
        <w:t>.</w:t>
      </w:r>
    </w:p>
    <w:p w:rsidR="003E4DD0" w:rsidRPr="007F0E49" w:rsidRDefault="003E4DD0" w:rsidP="000E69DA">
      <w:pPr>
        <w:jc w:val="both"/>
        <w:rPr>
          <w:rFonts w:ascii="Arial" w:hAnsi="Arial" w:cs="Arial"/>
          <w:b/>
          <w:sz w:val="22"/>
          <w:szCs w:val="22"/>
        </w:rPr>
      </w:pPr>
    </w:p>
    <w:p w:rsidR="00631056" w:rsidRPr="007F0E49" w:rsidRDefault="00631056" w:rsidP="000E69DA">
      <w:pPr>
        <w:jc w:val="both"/>
        <w:rPr>
          <w:rFonts w:ascii="Arial" w:hAnsi="Arial" w:cs="Arial"/>
          <w:b/>
          <w:sz w:val="22"/>
          <w:szCs w:val="22"/>
        </w:rPr>
      </w:pPr>
    </w:p>
    <w:p w:rsidR="000E69DA" w:rsidRPr="007F0E49" w:rsidRDefault="000E69DA" w:rsidP="000E69DA">
      <w:pPr>
        <w:jc w:val="both"/>
        <w:rPr>
          <w:rFonts w:ascii="Arial" w:hAnsi="Arial" w:cs="Arial"/>
          <w:b/>
          <w:sz w:val="22"/>
          <w:szCs w:val="22"/>
        </w:rPr>
      </w:pPr>
      <w:r w:rsidRPr="007F0E49">
        <w:rPr>
          <w:rFonts w:ascii="Arial" w:hAnsi="Arial" w:cs="Arial"/>
          <w:b/>
          <w:sz w:val="22"/>
          <w:szCs w:val="22"/>
        </w:rPr>
        <w:t>Bilješka broj 3 –</w:t>
      </w:r>
      <w:r w:rsidR="00BA1EFA" w:rsidRPr="007F0E49">
        <w:rPr>
          <w:rFonts w:ascii="Arial" w:hAnsi="Arial" w:cs="Arial"/>
          <w:b/>
          <w:sz w:val="22"/>
          <w:szCs w:val="22"/>
        </w:rPr>
        <w:t xml:space="preserve"> 1</w:t>
      </w:r>
      <w:r w:rsidRPr="007F0E49">
        <w:rPr>
          <w:rFonts w:ascii="Arial" w:hAnsi="Arial" w:cs="Arial"/>
          <w:b/>
          <w:sz w:val="22"/>
          <w:szCs w:val="22"/>
        </w:rPr>
        <w:t xml:space="preserve">  FINANCIJSKA IMOVINA </w:t>
      </w:r>
    </w:p>
    <w:p w:rsidR="000E69DA" w:rsidRPr="007F0E49" w:rsidRDefault="000E69DA" w:rsidP="000E69DA">
      <w:pPr>
        <w:jc w:val="both"/>
        <w:rPr>
          <w:rFonts w:ascii="Arial" w:hAnsi="Arial" w:cs="Arial"/>
          <w:sz w:val="22"/>
          <w:szCs w:val="22"/>
          <w:highlight w:val="green"/>
        </w:rPr>
      </w:pPr>
    </w:p>
    <w:p w:rsidR="000E69DA" w:rsidRPr="007F0E49" w:rsidRDefault="000E69DA" w:rsidP="000E69DA">
      <w:pPr>
        <w:jc w:val="both"/>
        <w:rPr>
          <w:rFonts w:ascii="Arial" w:hAnsi="Arial" w:cs="Arial"/>
          <w:sz w:val="22"/>
          <w:szCs w:val="22"/>
        </w:rPr>
      </w:pPr>
      <w:r w:rsidRPr="007F0E49">
        <w:rPr>
          <w:rFonts w:ascii="Arial" w:hAnsi="Arial" w:cs="Arial"/>
          <w:sz w:val="22"/>
          <w:szCs w:val="22"/>
        </w:rPr>
        <w:t xml:space="preserve">Vrijednost ukupne financijske imovine (novac i potraživanje) Grada iznosi </w:t>
      </w:r>
      <w:r w:rsidR="00FD176F" w:rsidRPr="007F0E49">
        <w:rPr>
          <w:rFonts w:ascii="Arial" w:hAnsi="Arial" w:cs="Arial"/>
          <w:sz w:val="22"/>
          <w:szCs w:val="22"/>
        </w:rPr>
        <w:t>1.372.211.925,67</w:t>
      </w:r>
      <w:r w:rsidRPr="007F0E49">
        <w:rPr>
          <w:rFonts w:ascii="Arial" w:hAnsi="Arial" w:cs="Arial"/>
          <w:sz w:val="22"/>
          <w:szCs w:val="22"/>
        </w:rPr>
        <w:t xml:space="preserve"> kn</w:t>
      </w:r>
      <w:r w:rsidR="00564196" w:rsidRPr="007F0E49">
        <w:rPr>
          <w:rFonts w:ascii="Arial" w:hAnsi="Arial" w:cs="Arial"/>
          <w:sz w:val="22"/>
          <w:szCs w:val="22"/>
        </w:rPr>
        <w:t>.</w:t>
      </w:r>
    </w:p>
    <w:p w:rsidR="000E69DA" w:rsidRPr="007F0E49" w:rsidRDefault="000E69DA" w:rsidP="000E69DA">
      <w:pPr>
        <w:jc w:val="both"/>
        <w:rPr>
          <w:rFonts w:ascii="Arial" w:hAnsi="Arial" w:cs="Arial"/>
          <w:sz w:val="22"/>
          <w:szCs w:val="22"/>
          <w:u w:val="single"/>
        </w:rPr>
      </w:pPr>
    </w:p>
    <w:p w:rsidR="00C061A8" w:rsidRPr="007F0E49" w:rsidRDefault="000E69DA" w:rsidP="000E69DA">
      <w:pPr>
        <w:jc w:val="both"/>
        <w:rPr>
          <w:rFonts w:ascii="Arial" w:hAnsi="Arial" w:cs="Arial"/>
          <w:sz w:val="22"/>
          <w:szCs w:val="22"/>
        </w:rPr>
      </w:pPr>
      <w:r w:rsidRPr="007F0E49">
        <w:rPr>
          <w:rFonts w:ascii="Arial" w:hAnsi="Arial" w:cs="Arial"/>
          <w:i/>
          <w:sz w:val="22"/>
          <w:szCs w:val="22"/>
          <w:u w:val="single"/>
        </w:rPr>
        <w:t>Novac u banci i blagajni</w:t>
      </w:r>
      <w:r w:rsidRPr="007F0E49">
        <w:rPr>
          <w:rFonts w:ascii="Arial" w:hAnsi="Arial" w:cs="Arial"/>
          <w:sz w:val="22"/>
          <w:szCs w:val="22"/>
          <w:u w:val="single"/>
        </w:rPr>
        <w:t xml:space="preserve"> </w:t>
      </w:r>
      <w:r w:rsidRPr="007F0E49">
        <w:rPr>
          <w:rFonts w:ascii="Arial" w:hAnsi="Arial" w:cs="Arial"/>
          <w:i/>
          <w:sz w:val="22"/>
          <w:szCs w:val="22"/>
          <w:u w:val="single"/>
        </w:rPr>
        <w:t>(</w:t>
      </w:r>
      <w:r w:rsidR="00BA1EFA" w:rsidRPr="007F0E49">
        <w:rPr>
          <w:rFonts w:ascii="Arial" w:hAnsi="Arial" w:cs="Arial"/>
          <w:i/>
          <w:sz w:val="22"/>
          <w:szCs w:val="22"/>
          <w:u w:val="single"/>
        </w:rPr>
        <w:t>11</w:t>
      </w:r>
      <w:r w:rsidRPr="007F0E49">
        <w:rPr>
          <w:rFonts w:ascii="Arial" w:hAnsi="Arial" w:cs="Arial"/>
          <w:i/>
          <w:sz w:val="22"/>
          <w:szCs w:val="22"/>
          <w:u w:val="single"/>
        </w:rPr>
        <w:t>)</w:t>
      </w:r>
      <w:r w:rsidRPr="007F0E49">
        <w:rPr>
          <w:rFonts w:ascii="Arial" w:hAnsi="Arial" w:cs="Arial"/>
          <w:sz w:val="22"/>
          <w:szCs w:val="22"/>
        </w:rPr>
        <w:t xml:space="preserve"> – stanja novčanih sredstava na računima i u blagajni iznose </w:t>
      </w:r>
      <w:r w:rsidR="00DE32AE" w:rsidRPr="007F0E49">
        <w:rPr>
          <w:rFonts w:ascii="Arial" w:hAnsi="Arial" w:cs="Arial"/>
          <w:sz w:val="22"/>
          <w:szCs w:val="22"/>
        </w:rPr>
        <w:t xml:space="preserve">ukupno </w:t>
      </w:r>
      <w:r w:rsidR="003B5363" w:rsidRPr="007F0E49">
        <w:rPr>
          <w:rFonts w:ascii="Arial" w:hAnsi="Arial" w:cs="Arial"/>
          <w:sz w:val="22"/>
          <w:szCs w:val="22"/>
        </w:rPr>
        <w:t>88.079.550,18</w:t>
      </w:r>
      <w:r w:rsidRPr="007F0E49">
        <w:rPr>
          <w:rFonts w:ascii="Arial" w:hAnsi="Arial" w:cs="Arial"/>
          <w:sz w:val="22"/>
          <w:szCs w:val="22"/>
        </w:rPr>
        <w:t xml:space="preserve"> kn.</w:t>
      </w:r>
      <w:r w:rsidR="00C061A8" w:rsidRPr="007F0E49">
        <w:rPr>
          <w:rFonts w:ascii="Arial" w:hAnsi="Arial" w:cs="Arial"/>
          <w:sz w:val="22"/>
          <w:szCs w:val="22"/>
        </w:rPr>
        <w:t xml:space="preserve"> Stanj</w:t>
      </w:r>
      <w:r w:rsidR="00422B21" w:rsidRPr="007F0E49">
        <w:rPr>
          <w:rFonts w:ascii="Arial" w:hAnsi="Arial" w:cs="Arial"/>
          <w:sz w:val="22"/>
          <w:szCs w:val="22"/>
        </w:rPr>
        <w:t>e</w:t>
      </w:r>
      <w:r w:rsidR="00C061A8" w:rsidRPr="007F0E49">
        <w:rPr>
          <w:rFonts w:ascii="Arial" w:hAnsi="Arial" w:cs="Arial"/>
          <w:sz w:val="22"/>
          <w:szCs w:val="22"/>
        </w:rPr>
        <w:t xml:space="preserve"> novca po računima:</w:t>
      </w:r>
    </w:p>
    <w:p w:rsidR="00C061A8" w:rsidRPr="007F0E49" w:rsidRDefault="00C061A8" w:rsidP="00C061A8">
      <w:pPr>
        <w:jc w:val="both"/>
        <w:rPr>
          <w:rFonts w:ascii="Arial" w:hAnsi="Arial" w:cs="Arial"/>
          <w:sz w:val="22"/>
          <w:szCs w:val="22"/>
        </w:rPr>
      </w:pPr>
    </w:p>
    <w:p w:rsidR="00C061A8" w:rsidRPr="007F0E49" w:rsidRDefault="00F8772E" w:rsidP="00C061A8">
      <w:pPr>
        <w:pStyle w:val="ListParagraph"/>
        <w:numPr>
          <w:ilvl w:val="0"/>
          <w:numId w:val="25"/>
        </w:numPr>
        <w:jc w:val="both"/>
        <w:rPr>
          <w:rFonts w:ascii="Arial" w:hAnsi="Arial" w:cs="Arial"/>
          <w:sz w:val="22"/>
          <w:szCs w:val="22"/>
        </w:rPr>
      </w:pPr>
      <w:r w:rsidRPr="007F0E49">
        <w:rPr>
          <w:rFonts w:ascii="Arial" w:hAnsi="Arial" w:cs="Arial"/>
          <w:sz w:val="22"/>
          <w:szCs w:val="22"/>
        </w:rPr>
        <w:t>J</w:t>
      </w:r>
      <w:r w:rsidR="00D81414" w:rsidRPr="007F0E49">
        <w:rPr>
          <w:rFonts w:ascii="Arial" w:hAnsi="Arial" w:cs="Arial"/>
          <w:sz w:val="22"/>
          <w:szCs w:val="22"/>
        </w:rPr>
        <w:t>edinstven</w:t>
      </w:r>
      <w:r w:rsidRPr="007F0E49">
        <w:rPr>
          <w:rFonts w:ascii="Arial" w:hAnsi="Arial" w:cs="Arial"/>
          <w:sz w:val="22"/>
          <w:szCs w:val="22"/>
        </w:rPr>
        <w:t>i</w:t>
      </w:r>
      <w:r w:rsidR="00D81414" w:rsidRPr="007F0E49">
        <w:rPr>
          <w:rFonts w:ascii="Arial" w:hAnsi="Arial" w:cs="Arial"/>
          <w:sz w:val="22"/>
          <w:szCs w:val="22"/>
        </w:rPr>
        <w:t xml:space="preserve"> račun riznice Grada Rijeke (račun </w:t>
      </w:r>
      <w:r w:rsidRPr="007F0E49">
        <w:rPr>
          <w:rFonts w:ascii="Arial" w:hAnsi="Arial" w:cs="Arial"/>
          <w:sz w:val="22"/>
          <w:szCs w:val="22"/>
        </w:rPr>
        <w:t xml:space="preserve">na kojem se nalaze novčana </w:t>
      </w:r>
    </w:p>
    <w:p w:rsidR="00D81414" w:rsidRPr="007F0E49" w:rsidRDefault="00C061A8" w:rsidP="00C061A8">
      <w:pPr>
        <w:jc w:val="both"/>
        <w:rPr>
          <w:rFonts w:ascii="Arial" w:hAnsi="Arial" w:cs="Arial"/>
          <w:sz w:val="22"/>
          <w:szCs w:val="22"/>
        </w:rPr>
      </w:pPr>
      <w:r w:rsidRPr="007F0E49">
        <w:rPr>
          <w:rFonts w:ascii="Arial" w:hAnsi="Arial" w:cs="Arial"/>
          <w:sz w:val="22"/>
          <w:szCs w:val="22"/>
        </w:rPr>
        <w:tab/>
      </w:r>
      <w:r w:rsidR="00F8772E" w:rsidRPr="007F0E49">
        <w:rPr>
          <w:rFonts w:ascii="Arial" w:hAnsi="Arial" w:cs="Arial"/>
          <w:sz w:val="22"/>
          <w:szCs w:val="22"/>
        </w:rPr>
        <w:t xml:space="preserve">sredstva </w:t>
      </w:r>
      <w:r w:rsidR="002978DC" w:rsidRPr="007F0E49">
        <w:rPr>
          <w:rFonts w:ascii="Arial" w:hAnsi="Arial" w:cs="Arial"/>
          <w:sz w:val="22"/>
          <w:szCs w:val="22"/>
        </w:rPr>
        <w:t xml:space="preserve">i </w:t>
      </w:r>
      <w:r w:rsidR="00D81414" w:rsidRPr="007F0E49">
        <w:rPr>
          <w:rFonts w:ascii="Arial" w:hAnsi="Arial" w:cs="Arial"/>
          <w:sz w:val="22"/>
          <w:szCs w:val="22"/>
        </w:rPr>
        <w:t>Grada i prora</w:t>
      </w:r>
      <w:r w:rsidR="00F8772E" w:rsidRPr="007F0E49">
        <w:rPr>
          <w:rFonts w:ascii="Arial" w:hAnsi="Arial" w:cs="Arial"/>
          <w:sz w:val="22"/>
          <w:szCs w:val="22"/>
        </w:rPr>
        <w:t>čunskih korisnika</w:t>
      </w:r>
      <w:r w:rsidR="00D81414" w:rsidRPr="007F0E49">
        <w:rPr>
          <w:rFonts w:ascii="Arial" w:hAnsi="Arial" w:cs="Arial"/>
          <w:sz w:val="22"/>
          <w:szCs w:val="22"/>
        </w:rPr>
        <w:t xml:space="preserve">) </w:t>
      </w:r>
      <w:r w:rsidR="00F8772E" w:rsidRPr="007F0E49">
        <w:rPr>
          <w:rFonts w:ascii="Arial" w:hAnsi="Arial" w:cs="Arial"/>
          <w:sz w:val="22"/>
          <w:szCs w:val="22"/>
        </w:rPr>
        <w:tab/>
      </w:r>
      <w:r w:rsidR="00F8772E" w:rsidRPr="007F0E49">
        <w:rPr>
          <w:rFonts w:ascii="Arial" w:hAnsi="Arial" w:cs="Arial"/>
          <w:sz w:val="22"/>
          <w:szCs w:val="22"/>
        </w:rPr>
        <w:tab/>
      </w:r>
      <w:r w:rsidR="00F8772E" w:rsidRPr="007F0E49">
        <w:rPr>
          <w:rFonts w:ascii="Arial" w:hAnsi="Arial" w:cs="Arial"/>
          <w:sz w:val="22"/>
          <w:szCs w:val="22"/>
        </w:rPr>
        <w:tab/>
      </w:r>
      <w:r w:rsidR="00F8772E" w:rsidRPr="007F0E49">
        <w:rPr>
          <w:rFonts w:ascii="Arial" w:hAnsi="Arial" w:cs="Arial"/>
          <w:sz w:val="22"/>
          <w:szCs w:val="22"/>
        </w:rPr>
        <w:tab/>
      </w:r>
      <w:r w:rsidRPr="007F0E49">
        <w:rPr>
          <w:rFonts w:ascii="Arial" w:hAnsi="Arial" w:cs="Arial"/>
          <w:sz w:val="22"/>
          <w:szCs w:val="22"/>
        </w:rPr>
        <w:tab/>
      </w:r>
      <w:r w:rsidR="00F8772E" w:rsidRPr="007F0E49">
        <w:rPr>
          <w:rFonts w:ascii="Arial" w:hAnsi="Arial" w:cs="Arial"/>
          <w:sz w:val="22"/>
          <w:szCs w:val="22"/>
        </w:rPr>
        <w:t>=</w:t>
      </w:r>
      <w:r w:rsidR="00D81414" w:rsidRPr="007F0E49">
        <w:rPr>
          <w:rFonts w:ascii="Arial" w:hAnsi="Arial" w:cs="Arial"/>
          <w:sz w:val="22"/>
          <w:szCs w:val="22"/>
        </w:rPr>
        <w:t>69.241.336,18 kn</w:t>
      </w:r>
    </w:p>
    <w:p w:rsidR="00F8772E" w:rsidRPr="007F0E49" w:rsidRDefault="00F8772E" w:rsidP="00C061A8">
      <w:pPr>
        <w:pStyle w:val="ListParagraph"/>
        <w:numPr>
          <w:ilvl w:val="0"/>
          <w:numId w:val="25"/>
        </w:numPr>
        <w:jc w:val="both"/>
        <w:rPr>
          <w:rFonts w:ascii="Arial" w:hAnsi="Arial" w:cs="Arial"/>
          <w:sz w:val="22"/>
          <w:szCs w:val="22"/>
        </w:rPr>
      </w:pPr>
      <w:r w:rsidRPr="007F0E49">
        <w:rPr>
          <w:rFonts w:ascii="Arial" w:hAnsi="Arial" w:cs="Arial"/>
          <w:sz w:val="22"/>
          <w:szCs w:val="22"/>
        </w:rPr>
        <w:t xml:space="preserve">Izdvojena novčana sredstva (računi depozita i posebne namjene) </w:t>
      </w:r>
      <w:r w:rsidR="00CC1319">
        <w:rPr>
          <w:rFonts w:ascii="Arial" w:hAnsi="Arial" w:cs="Arial"/>
          <w:sz w:val="22"/>
          <w:szCs w:val="22"/>
        </w:rPr>
        <w:tab/>
      </w:r>
      <w:r w:rsidR="00CC1319">
        <w:rPr>
          <w:rFonts w:ascii="Arial" w:hAnsi="Arial" w:cs="Arial"/>
          <w:sz w:val="22"/>
          <w:szCs w:val="22"/>
        </w:rPr>
        <w:tab/>
      </w:r>
      <w:r w:rsidRPr="007F0E49">
        <w:rPr>
          <w:rFonts w:ascii="Arial" w:hAnsi="Arial" w:cs="Arial"/>
          <w:sz w:val="22"/>
          <w:szCs w:val="22"/>
        </w:rPr>
        <w:t>=17.419.331,98 kn</w:t>
      </w:r>
    </w:p>
    <w:p w:rsidR="00F8772E" w:rsidRPr="007F0E49" w:rsidRDefault="00F8772E" w:rsidP="00C061A8">
      <w:pPr>
        <w:pStyle w:val="ListParagraph"/>
        <w:numPr>
          <w:ilvl w:val="0"/>
          <w:numId w:val="25"/>
        </w:numPr>
        <w:jc w:val="both"/>
        <w:rPr>
          <w:rFonts w:ascii="Arial" w:hAnsi="Arial" w:cs="Arial"/>
          <w:sz w:val="22"/>
          <w:szCs w:val="22"/>
        </w:rPr>
      </w:pPr>
      <w:r w:rsidRPr="007F0E49">
        <w:rPr>
          <w:rFonts w:ascii="Arial" w:hAnsi="Arial" w:cs="Arial"/>
          <w:sz w:val="22"/>
          <w:szCs w:val="22"/>
        </w:rPr>
        <w:t xml:space="preserve">Ostali računi </w:t>
      </w:r>
      <w:r w:rsidRPr="007F0E49">
        <w:rPr>
          <w:rFonts w:ascii="Arial" w:hAnsi="Arial" w:cs="Arial"/>
          <w:sz w:val="22"/>
          <w:szCs w:val="22"/>
        </w:rPr>
        <w:tab/>
      </w:r>
      <w:r w:rsidRPr="007F0E49">
        <w:rPr>
          <w:rFonts w:ascii="Arial" w:hAnsi="Arial" w:cs="Arial"/>
          <w:sz w:val="22"/>
          <w:szCs w:val="22"/>
        </w:rPr>
        <w:tab/>
      </w:r>
      <w:r w:rsidRPr="007F0E49">
        <w:rPr>
          <w:rFonts w:ascii="Arial" w:hAnsi="Arial" w:cs="Arial"/>
          <w:sz w:val="22"/>
          <w:szCs w:val="22"/>
        </w:rPr>
        <w:tab/>
      </w:r>
      <w:r w:rsidRPr="007F0E49">
        <w:rPr>
          <w:rFonts w:ascii="Arial" w:hAnsi="Arial" w:cs="Arial"/>
          <w:sz w:val="22"/>
          <w:szCs w:val="22"/>
        </w:rPr>
        <w:tab/>
      </w:r>
      <w:r w:rsidRPr="007F0E49">
        <w:rPr>
          <w:rFonts w:ascii="Arial" w:hAnsi="Arial" w:cs="Arial"/>
          <w:sz w:val="22"/>
          <w:szCs w:val="22"/>
        </w:rPr>
        <w:tab/>
      </w:r>
      <w:r w:rsidRPr="007F0E49">
        <w:rPr>
          <w:rFonts w:ascii="Arial" w:hAnsi="Arial" w:cs="Arial"/>
          <w:sz w:val="22"/>
          <w:szCs w:val="22"/>
        </w:rPr>
        <w:tab/>
      </w:r>
      <w:r w:rsidRPr="007F0E49">
        <w:rPr>
          <w:rFonts w:ascii="Arial" w:hAnsi="Arial" w:cs="Arial"/>
          <w:sz w:val="22"/>
          <w:szCs w:val="22"/>
        </w:rPr>
        <w:tab/>
      </w:r>
      <w:r w:rsidRPr="007F0E49">
        <w:rPr>
          <w:rFonts w:ascii="Arial" w:hAnsi="Arial" w:cs="Arial"/>
          <w:sz w:val="22"/>
          <w:szCs w:val="22"/>
        </w:rPr>
        <w:tab/>
      </w:r>
      <w:r w:rsidRPr="007F0E49">
        <w:rPr>
          <w:rFonts w:ascii="Arial" w:hAnsi="Arial" w:cs="Arial"/>
          <w:sz w:val="22"/>
          <w:szCs w:val="22"/>
        </w:rPr>
        <w:tab/>
        <w:t>=  1.271.048,06 kn</w:t>
      </w:r>
    </w:p>
    <w:p w:rsidR="00F8772E" w:rsidRPr="007F0E49" w:rsidRDefault="00F8772E" w:rsidP="00C061A8">
      <w:pPr>
        <w:pStyle w:val="ListParagraph"/>
        <w:numPr>
          <w:ilvl w:val="0"/>
          <w:numId w:val="25"/>
        </w:numPr>
        <w:jc w:val="both"/>
        <w:rPr>
          <w:rFonts w:ascii="Arial" w:hAnsi="Arial" w:cs="Arial"/>
          <w:sz w:val="22"/>
          <w:szCs w:val="22"/>
        </w:rPr>
      </w:pPr>
      <w:r w:rsidRPr="007F0E49">
        <w:rPr>
          <w:rFonts w:ascii="Arial" w:hAnsi="Arial" w:cs="Arial"/>
          <w:sz w:val="22"/>
          <w:szCs w:val="22"/>
        </w:rPr>
        <w:t>Prijelaz</w:t>
      </w:r>
      <w:r w:rsidR="00CC1319">
        <w:rPr>
          <w:rFonts w:ascii="Arial" w:hAnsi="Arial" w:cs="Arial"/>
          <w:sz w:val="22"/>
          <w:szCs w:val="22"/>
        </w:rPr>
        <w:t>ni račun</w:t>
      </w:r>
      <w:r w:rsidR="00CC1319">
        <w:rPr>
          <w:rFonts w:ascii="Arial" w:hAnsi="Arial" w:cs="Arial"/>
          <w:sz w:val="22"/>
          <w:szCs w:val="22"/>
        </w:rPr>
        <w:tab/>
      </w:r>
      <w:r w:rsidR="00CC1319">
        <w:rPr>
          <w:rFonts w:ascii="Arial" w:hAnsi="Arial" w:cs="Arial"/>
          <w:sz w:val="22"/>
          <w:szCs w:val="22"/>
        </w:rPr>
        <w:tab/>
      </w:r>
      <w:r w:rsidR="00CC1319">
        <w:rPr>
          <w:rFonts w:ascii="Arial" w:hAnsi="Arial" w:cs="Arial"/>
          <w:sz w:val="22"/>
          <w:szCs w:val="22"/>
        </w:rPr>
        <w:tab/>
      </w:r>
      <w:r w:rsidR="00CC1319">
        <w:rPr>
          <w:rFonts w:ascii="Arial" w:hAnsi="Arial" w:cs="Arial"/>
          <w:sz w:val="22"/>
          <w:szCs w:val="22"/>
        </w:rPr>
        <w:tab/>
      </w:r>
      <w:r w:rsidR="00CC1319">
        <w:rPr>
          <w:rFonts w:ascii="Arial" w:hAnsi="Arial" w:cs="Arial"/>
          <w:sz w:val="22"/>
          <w:szCs w:val="22"/>
        </w:rPr>
        <w:tab/>
      </w:r>
      <w:r w:rsidR="00CC1319">
        <w:rPr>
          <w:rFonts w:ascii="Arial" w:hAnsi="Arial" w:cs="Arial"/>
          <w:sz w:val="22"/>
          <w:szCs w:val="22"/>
        </w:rPr>
        <w:tab/>
      </w:r>
      <w:r w:rsidR="00CC1319">
        <w:rPr>
          <w:rFonts w:ascii="Arial" w:hAnsi="Arial" w:cs="Arial"/>
          <w:sz w:val="22"/>
          <w:szCs w:val="22"/>
        </w:rPr>
        <w:tab/>
      </w:r>
      <w:r w:rsidR="00CC1319">
        <w:rPr>
          <w:rFonts w:ascii="Arial" w:hAnsi="Arial" w:cs="Arial"/>
          <w:sz w:val="22"/>
          <w:szCs w:val="22"/>
        </w:rPr>
        <w:tab/>
      </w:r>
      <w:r w:rsidRPr="007F0E49">
        <w:rPr>
          <w:rFonts w:ascii="Arial" w:hAnsi="Arial" w:cs="Arial"/>
          <w:sz w:val="22"/>
          <w:szCs w:val="22"/>
        </w:rPr>
        <w:t>=     147.833,96 kn</w:t>
      </w:r>
    </w:p>
    <w:p w:rsidR="00F8772E" w:rsidRPr="007F0E49" w:rsidRDefault="00F8772E" w:rsidP="00C061A8">
      <w:pPr>
        <w:pStyle w:val="ListParagraph"/>
        <w:numPr>
          <w:ilvl w:val="0"/>
          <w:numId w:val="25"/>
        </w:numPr>
        <w:rPr>
          <w:rFonts w:ascii="Arial" w:hAnsi="Arial" w:cs="Arial"/>
          <w:sz w:val="22"/>
          <w:szCs w:val="22"/>
        </w:rPr>
      </w:pPr>
      <w:r w:rsidRPr="007F0E49">
        <w:rPr>
          <w:rFonts w:ascii="Arial" w:hAnsi="Arial" w:cs="Arial"/>
          <w:sz w:val="22"/>
          <w:szCs w:val="22"/>
        </w:rPr>
        <w:t>Novac u blagajni</w:t>
      </w:r>
      <w:r w:rsidRPr="007F0E49">
        <w:rPr>
          <w:rFonts w:ascii="Arial" w:hAnsi="Arial" w:cs="Arial"/>
          <w:sz w:val="22"/>
          <w:szCs w:val="22"/>
        </w:rPr>
        <w:tab/>
      </w:r>
      <w:r w:rsidRPr="007F0E49">
        <w:rPr>
          <w:rFonts w:ascii="Arial" w:hAnsi="Arial" w:cs="Arial"/>
          <w:sz w:val="22"/>
          <w:szCs w:val="22"/>
        </w:rPr>
        <w:tab/>
      </w:r>
      <w:r w:rsidRPr="007F0E49">
        <w:rPr>
          <w:rFonts w:ascii="Arial" w:hAnsi="Arial" w:cs="Arial"/>
          <w:sz w:val="22"/>
          <w:szCs w:val="22"/>
        </w:rPr>
        <w:tab/>
      </w:r>
      <w:r w:rsidRPr="007F0E49">
        <w:rPr>
          <w:rFonts w:ascii="Arial" w:hAnsi="Arial" w:cs="Arial"/>
          <w:sz w:val="22"/>
          <w:szCs w:val="22"/>
        </w:rPr>
        <w:tab/>
      </w:r>
      <w:r w:rsidRPr="007F0E49">
        <w:rPr>
          <w:rFonts w:ascii="Arial" w:hAnsi="Arial" w:cs="Arial"/>
          <w:sz w:val="22"/>
          <w:szCs w:val="22"/>
        </w:rPr>
        <w:tab/>
      </w:r>
      <w:r w:rsidRPr="007F0E49">
        <w:rPr>
          <w:rFonts w:ascii="Arial" w:hAnsi="Arial" w:cs="Arial"/>
          <w:sz w:val="22"/>
          <w:szCs w:val="22"/>
        </w:rPr>
        <w:tab/>
      </w:r>
      <w:r w:rsidRPr="007F0E49">
        <w:rPr>
          <w:rFonts w:ascii="Arial" w:hAnsi="Arial" w:cs="Arial"/>
          <w:sz w:val="22"/>
          <w:szCs w:val="22"/>
        </w:rPr>
        <w:tab/>
      </w:r>
      <w:r w:rsidRPr="007F0E49">
        <w:rPr>
          <w:rFonts w:ascii="Arial" w:hAnsi="Arial" w:cs="Arial"/>
          <w:sz w:val="22"/>
          <w:szCs w:val="22"/>
        </w:rPr>
        <w:tab/>
        <w:t xml:space="preserve">=                0,00 kn     </w:t>
      </w:r>
      <w:r w:rsidRPr="007F0E49">
        <w:rPr>
          <w:rFonts w:ascii="Arial" w:hAnsi="Arial" w:cs="Arial"/>
          <w:sz w:val="22"/>
          <w:szCs w:val="22"/>
        </w:rPr>
        <w:tab/>
      </w:r>
    </w:p>
    <w:p w:rsidR="00FD176F" w:rsidRPr="007F0E49" w:rsidRDefault="00FD176F" w:rsidP="000E69DA">
      <w:pPr>
        <w:jc w:val="both"/>
        <w:rPr>
          <w:rFonts w:ascii="Arial" w:hAnsi="Arial" w:cs="Arial"/>
          <w:sz w:val="22"/>
          <w:szCs w:val="22"/>
        </w:rPr>
      </w:pPr>
    </w:p>
    <w:p w:rsidR="00FD176F" w:rsidRPr="007F0E49" w:rsidRDefault="00FD176F" w:rsidP="000E69DA">
      <w:pPr>
        <w:jc w:val="both"/>
        <w:rPr>
          <w:rFonts w:ascii="Arial" w:hAnsi="Arial" w:cs="Arial"/>
          <w:sz w:val="22"/>
          <w:szCs w:val="22"/>
        </w:rPr>
      </w:pPr>
      <w:r w:rsidRPr="007F0E49">
        <w:rPr>
          <w:rFonts w:ascii="Arial" w:hAnsi="Arial" w:cs="Arial"/>
          <w:i/>
          <w:sz w:val="22"/>
          <w:szCs w:val="22"/>
          <w:u w:val="single"/>
        </w:rPr>
        <w:t>Depoziti u kreditnim i ostalim financijskim institucijama (1211</w:t>
      </w:r>
      <w:r w:rsidRPr="007F0E49">
        <w:rPr>
          <w:rFonts w:ascii="Arial" w:hAnsi="Arial" w:cs="Arial"/>
          <w:sz w:val="22"/>
          <w:szCs w:val="22"/>
        </w:rPr>
        <w:t>) iznose 6.133.967,97</w:t>
      </w:r>
      <w:r w:rsidR="00F76453" w:rsidRPr="007F0E49">
        <w:rPr>
          <w:rFonts w:ascii="Arial" w:hAnsi="Arial" w:cs="Arial"/>
          <w:sz w:val="22"/>
          <w:szCs w:val="22"/>
        </w:rPr>
        <w:t xml:space="preserve"> kn</w:t>
      </w:r>
      <w:r w:rsidRPr="007F0E49">
        <w:rPr>
          <w:rFonts w:ascii="Arial" w:hAnsi="Arial" w:cs="Arial"/>
          <w:sz w:val="22"/>
          <w:szCs w:val="22"/>
        </w:rPr>
        <w:t xml:space="preserve"> i bilježe rast od </w:t>
      </w:r>
      <w:r w:rsidR="00F76453" w:rsidRPr="007F0E49">
        <w:rPr>
          <w:rFonts w:ascii="Arial" w:hAnsi="Arial" w:cs="Arial"/>
          <w:sz w:val="22"/>
          <w:szCs w:val="22"/>
        </w:rPr>
        <w:t xml:space="preserve">1.452.999,97 kn odnosno </w:t>
      </w:r>
      <w:r w:rsidRPr="007F0E49">
        <w:rPr>
          <w:rFonts w:ascii="Arial" w:hAnsi="Arial" w:cs="Arial"/>
          <w:sz w:val="22"/>
          <w:szCs w:val="22"/>
        </w:rPr>
        <w:t>31%</w:t>
      </w:r>
      <w:r w:rsidR="00F76453" w:rsidRPr="007F0E49">
        <w:rPr>
          <w:rFonts w:ascii="Arial" w:hAnsi="Arial" w:cs="Arial"/>
          <w:sz w:val="22"/>
          <w:szCs w:val="22"/>
        </w:rPr>
        <w:t xml:space="preserve"> najvećim dijelom </w:t>
      </w:r>
      <w:r w:rsidR="008F6C26" w:rsidRPr="007F0E49">
        <w:rPr>
          <w:rFonts w:ascii="Arial" w:hAnsi="Arial" w:cs="Arial"/>
          <w:sz w:val="22"/>
          <w:szCs w:val="22"/>
        </w:rPr>
        <w:t xml:space="preserve">zbog </w:t>
      </w:r>
      <w:r w:rsidR="00F76453" w:rsidRPr="007F0E49">
        <w:rPr>
          <w:rFonts w:ascii="Arial" w:hAnsi="Arial" w:cs="Arial"/>
          <w:sz w:val="22"/>
          <w:szCs w:val="22"/>
        </w:rPr>
        <w:t xml:space="preserve">izdvajanja </w:t>
      </w:r>
      <w:r w:rsidR="008F6C26" w:rsidRPr="007F0E49">
        <w:rPr>
          <w:rFonts w:ascii="Arial" w:hAnsi="Arial" w:cs="Arial"/>
          <w:sz w:val="22"/>
          <w:szCs w:val="22"/>
        </w:rPr>
        <w:t xml:space="preserve">financijskih sredstava </w:t>
      </w:r>
      <w:r w:rsidR="00F76453" w:rsidRPr="007F0E49">
        <w:rPr>
          <w:rFonts w:ascii="Arial" w:hAnsi="Arial" w:cs="Arial"/>
          <w:sz w:val="22"/>
          <w:szCs w:val="22"/>
        </w:rPr>
        <w:t xml:space="preserve">na </w:t>
      </w:r>
      <w:r w:rsidR="008F6C26" w:rsidRPr="007F0E49">
        <w:rPr>
          <w:rFonts w:ascii="Arial" w:hAnsi="Arial" w:cs="Arial"/>
          <w:sz w:val="22"/>
          <w:szCs w:val="22"/>
        </w:rPr>
        <w:t xml:space="preserve">poseban račun </w:t>
      </w:r>
      <w:r w:rsidR="00F76453" w:rsidRPr="007F0E49">
        <w:rPr>
          <w:rFonts w:ascii="Arial" w:hAnsi="Arial" w:cs="Arial"/>
          <w:sz w:val="22"/>
          <w:szCs w:val="22"/>
        </w:rPr>
        <w:t>depozit</w:t>
      </w:r>
      <w:r w:rsidR="008F6C26" w:rsidRPr="007F0E49">
        <w:rPr>
          <w:rFonts w:ascii="Arial" w:hAnsi="Arial" w:cs="Arial"/>
          <w:sz w:val="22"/>
          <w:szCs w:val="22"/>
        </w:rPr>
        <w:t>a</w:t>
      </w:r>
      <w:r w:rsidR="00F76453" w:rsidRPr="007F0E49">
        <w:rPr>
          <w:rFonts w:ascii="Arial" w:hAnsi="Arial" w:cs="Arial"/>
          <w:sz w:val="22"/>
          <w:szCs w:val="22"/>
        </w:rPr>
        <w:t xml:space="preserve"> za </w:t>
      </w:r>
      <w:r w:rsidR="008F6C26" w:rsidRPr="007F0E49">
        <w:rPr>
          <w:rFonts w:ascii="Arial" w:hAnsi="Arial" w:cs="Arial"/>
          <w:sz w:val="22"/>
          <w:szCs w:val="22"/>
        </w:rPr>
        <w:t xml:space="preserve">potrebe </w:t>
      </w:r>
      <w:r w:rsidR="00F76453" w:rsidRPr="007F0E49">
        <w:rPr>
          <w:rFonts w:ascii="Arial" w:hAnsi="Arial" w:cs="Arial"/>
          <w:sz w:val="22"/>
          <w:szCs w:val="22"/>
        </w:rPr>
        <w:t xml:space="preserve">izvlaštenja </w:t>
      </w:r>
      <w:r w:rsidR="00D81414" w:rsidRPr="007F0E49">
        <w:rPr>
          <w:rFonts w:ascii="Arial" w:hAnsi="Arial" w:cs="Arial"/>
          <w:sz w:val="22"/>
          <w:szCs w:val="22"/>
        </w:rPr>
        <w:t xml:space="preserve">po kapitalnim projektima </w:t>
      </w:r>
      <w:r w:rsidR="00083825" w:rsidRPr="007F0E49">
        <w:rPr>
          <w:rFonts w:ascii="Arial" w:hAnsi="Arial" w:cs="Arial"/>
          <w:sz w:val="22"/>
          <w:szCs w:val="22"/>
        </w:rPr>
        <w:t xml:space="preserve">Rujevica - čvor Pilepići </w:t>
      </w:r>
      <w:r w:rsidR="00F76453" w:rsidRPr="007F0E49">
        <w:rPr>
          <w:rFonts w:ascii="Arial" w:hAnsi="Arial" w:cs="Arial"/>
          <w:sz w:val="22"/>
          <w:szCs w:val="22"/>
        </w:rPr>
        <w:t xml:space="preserve">i </w:t>
      </w:r>
      <w:r w:rsidR="00D81414" w:rsidRPr="007F0E49">
        <w:rPr>
          <w:rFonts w:ascii="Arial" w:hAnsi="Arial" w:cs="Arial"/>
          <w:sz w:val="22"/>
          <w:szCs w:val="22"/>
        </w:rPr>
        <w:t>O</w:t>
      </w:r>
      <w:r w:rsidR="00F76453" w:rsidRPr="007F0E49">
        <w:rPr>
          <w:rFonts w:ascii="Arial" w:hAnsi="Arial" w:cs="Arial"/>
          <w:sz w:val="22"/>
          <w:szCs w:val="22"/>
        </w:rPr>
        <w:t>baln</w:t>
      </w:r>
      <w:r w:rsidR="00D81414" w:rsidRPr="007F0E49">
        <w:rPr>
          <w:rFonts w:ascii="Arial" w:hAnsi="Arial" w:cs="Arial"/>
          <w:sz w:val="22"/>
          <w:szCs w:val="22"/>
        </w:rPr>
        <w:t>a</w:t>
      </w:r>
      <w:r w:rsidR="00F76453" w:rsidRPr="007F0E49">
        <w:rPr>
          <w:rFonts w:ascii="Arial" w:hAnsi="Arial" w:cs="Arial"/>
          <w:sz w:val="22"/>
          <w:szCs w:val="22"/>
        </w:rPr>
        <w:t xml:space="preserve"> šetnic</w:t>
      </w:r>
      <w:r w:rsidR="00D81414" w:rsidRPr="007F0E49">
        <w:rPr>
          <w:rFonts w:ascii="Arial" w:hAnsi="Arial" w:cs="Arial"/>
          <w:sz w:val="22"/>
          <w:szCs w:val="22"/>
        </w:rPr>
        <w:t>a</w:t>
      </w:r>
      <w:r w:rsidR="00F76453" w:rsidRPr="007F0E49">
        <w:rPr>
          <w:rFonts w:ascii="Arial" w:hAnsi="Arial" w:cs="Arial"/>
          <w:sz w:val="22"/>
          <w:szCs w:val="22"/>
        </w:rPr>
        <w:t xml:space="preserve"> </w:t>
      </w:r>
      <w:r w:rsidR="00D81414" w:rsidRPr="007F0E49">
        <w:rPr>
          <w:rFonts w:ascii="Arial" w:hAnsi="Arial" w:cs="Arial"/>
          <w:sz w:val="22"/>
          <w:szCs w:val="22"/>
        </w:rPr>
        <w:t>Zapad</w:t>
      </w:r>
      <w:r w:rsidR="00F76453" w:rsidRPr="007F0E49">
        <w:rPr>
          <w:rFonts w:ascii="Arial" w:hAnsi="Arial" w:cs="Arial"/>
          <w:sz w:val="22"/>
          <w:szCs w:val="22"/>
        </w:rPr>
        <w:t>.</w:t>
      </w:r>
    </w:p>
    <w:p w:rsidR="003856E0" w:rsidRPr="007F0E49" w:rsidRDefault="003856E0" w:rsidP="000E69DA">
      <w:pPr>
        <w:jc w:val="both"/>
        <w:rPr>
          <w:rFonts w:ascii="Arial" w:hAnsi="Arial" w:cs="Arial"/>
          <w:i/>
          <w:sz w:val="22"/>
          <w:szCs w:val="22"/>
          <w:u w:val="single"/>
        </w:rPr>
      </w:pPr>
    </w:p>
    <w:p w:rsidR="00EA282A" w:rsidRPr="007F0E49" w:rsidRDefault="000E69DA" w:rsidP="000E69DA">
      <w:pPr>
        <w:jc w:val="both"/>
        <w:rPr>
          <w:rFonts w:ascii="Arial" w:hAnsi="Arial" w:cs="Arial"/>
          <w:sz w:val="22"/>
          <w:szCs w:val="22"/>
        </w:rPr>
      </w:pPr>
      <w:r w:rsidRPr="007F0E49">
        <w:rPr>
          <w:rFonts w:ascii="Arial" w:hAnsi="Arial" w:cs="Arial"/>
          <w:i/>
          <w:sz w:val="22"/>
          <w:szCs w:val="22"/>
          <w:u w:val="single"/>
        </w:rPr>
        <w:t>Ostala potraživanja (</w:t>
      </w:r>
      <w:r w:rsidR="00BA1EFA" w:rsidRPr="007F0E49">
        <w:rPr>
          <w:rFonts w:ascii="Arial" w:hAnsi="Arial" w:cs="Arial"/>
          <w:i/>
          <w:sz w:val="22"/>
          <w:szCs w:val="22"/>
          <w:u w:val="single"/>
        </w:rPr>
        <w:t>129</w:t>
      </w:r>
      <w:r w:rsidR="00D5529A" w:rsidRPr="007F0E49">
        <w:rPr>
          <w:rFonts w:ascii="Arial" w:hAnsi="Arial" w:cs="Arial"/>
          <w:i/>
          <w:sz w:val="22"/>
          <w:szCs w:val="22"/>
          <w:u w:val="single"/>
        </w:rPr>
        <w:t>)</w:t>
      </w:r>
      <w:r w:rsidRPr="007F0E49">
        <w:rPr>
          <w:rFonts w:ascii="Arial" w:hAnsi="Arial" w:cs="Arial"/>
          <w:sz w:val="22"/>
          <w:szCs w:val="22"/>
        </w:rPr>
        <w:t xml:space="preserve"> – iznose </w:t>
      </w:r>
      <w:r w:rsidR="003B5363" w:rsidRPr="007F0E49">
        <w:rPr>
          <w:rFonts w:ascii="Arial" w:hAnsi="Arial" w:cs="Arial"/>
          <w:sz w:val="22"/>
          <w:szCs w:val="22"/>
        </w:rPr>
        <w:t xml:space="preserve">3.384,095,71 </w:t>
      </w:r>
      <w:r w:rsidR="00A87323" w:rsidRPr="007F0E49">
        <w:rPr>
          <w:rFonts w:ascii="Arial" w:hAnsi="Arial" w:cs="Arial"/>
          <w:sz w:val="22"/>
          <w:szCs w:val="22"/>
        </w:rPr>
        <w:t>kn i bil</w:t>
      </w:r>
      <w:r w:rsidR="00BF21AF" w:rsidRPr="007F0E49">
        <w:rPr>
          <w:rFonts w:ascii="Arial" w:hAnsi="Arial" w:cs="Arial"/>
          <w:sz w:val="22"/>
          <w:szCs w:val="22"/>
        </w:rPr>
        <w:t>ježe rast</w:t>
      </w:r>
      <w:r w:rsidR="005D0CD5" w:rsidRPr="007F0E49">
        <w:rPr>
          <w:rFonts w:ascii="Arial" w:hAnsi="Arial" w:cs="Arial"/>
          <w:sz w:val="22"/>
          <w:szCs w:val="22"/>
        </w:rPr>
        <w:t xml:space="preserve"> od </w:t>
      </w:r>
      <w:r w:rsidR="00476286" w:rsidRPr="007F0E49">
        <w:rPr>
          <w:rFonts w:ascii="Arial" w:hAnsi="Arial" w:cs="Arial"/>
          <w:sz w:val="22"/>
          <w:szCs w:val="22"/>
        </w:rPr>
        <w:t>48,5</w:t>
      </w:r>
      <w:r w:rsidR="00A87323" w:rsidRPr="007F0E49">
        <w:rPr>
          <w:rFonts w:ascii="Arial" w:hAnsi="Arial" w:cs="Arial"/>
          <w:sz w:val="22"/>
          <w:szCs w:val="22"/>
        </w:rPr>
        <w:t>%</w:t>
      </w:r>
      <w:r w:rsidR="00BF21AF" w:rsidRPr="007F0E49">
        <w:rPr>
          <w:rFonts w:ascii="Arial" w:hAnsi="Arial" w:cs="Arial"/>
          <w:sz w:val="22"/>
          <w:szCs w:val="22"/>
        </w:rPr>
        <w:t>.</w:t>
      </w:r>
      <w:r w:rsidRPr="007F0E49">
        <w:rPr>
          <w:rFonts w:ascii="Arial" w:hAnsi="Arial" w:cs="Arial"/>
          <w:sz w:val="22"/>
          <w:szCs w:val="22"/>
        </w:rPr>
        <w:t xml:space="preserve"> </w:t>
      </w:r>
      <w:r w:rsidR="006109C6" w:rsidRPr="007F0E49">
        <w:rPr>
          <w:rFonts w:ascii="Arial" w:hAnsi="Arial" w:cs="Arial"/>
          <w:sz w:val="22"/>
          <w:szCs w:val="22"/>
        </w:rPr>
        <w:t>Ovdje su evidentiran</w:t>
      </w:r>
      <w:r w:rsidR="00471DE7" w:rsidRPr="007F0E49">
        <w:rPr>
          <w:rFonts w:ascii="Arial" w:hAnsi="Arial" w:cs="Arial"/>
          <w:sz w:val="22"/>
          <w:szCs w:val="22"/>
        </w:rPr>
        <w:t>a sljedeća potraživanja</w:t>
      </w:r>
      <w:r w:rsidR="006109C6" w:rsidRPr="007F0E49">
        <w:rPr>
          <w:rFonts w:ascii="Arial" w:hAnsi="Arial" w:cs="Arial"/>
          <w:sz w:val="22"/>
          <w:szCs w:val="22"/>
        </w:rPr>
        <w:t xml:space="preserve">: </w:t>
      </w:r>
      <w:r w:rsidRPr="007F0E49">
        <w:rPr>
          <w:rFonts w:ascii="Arial" w:hAnsi="Arial" w:cs="Arial"/>
          <w:sz w:val="22"/>
          <w:szCs w:val="22"/>
        </w:rPr>
        <w:t xml:space="preserve">pripadajući dio naknada za uporabu cesta koja se plaća pri registraciji vozila, </w:t>
      </w:r>
      <w:r w:rsidR="006109C6" w:rsidRPr="007F0E49">
        <w:rPr>
          <w:rFonts w:ascii="Arial" w:hAnsi="Arial" w:cs="Arial"/>
          <w:sz w:val="22"/>
          <w:szCs w:val="22"/>
        </w:rPr>
        <w:t>dani</w:t>
      </w:r>
      <w:r w:rsidRPr="007F0E49">
        <w:rPr>
          <w:rFonts w:ascii="Arial" w:hAnsi="Arial" w:cs="Arial"/>
          <w:sz w:val="22"/>
          <w:szCs w:val="22"/>
        </w:rPr>
        <w:t xml:space="preserve"> predujmov</w:t>
      </w:r>
      <w:r w:rsidR="006109C6" w:rsidRPr="007F0E49">
        <w:rPr>
          <w:rFonts w:ascii="Arial" w:hAnsi="Arial" w:cs="Arial"/>
          <w:sz w:val="22"/>
          <w:szCs w:val="22"/>
        </w:rPr>
        <w:t>i</w:t>
      </w:r>
      <w:r w:rsidRPr="007F0E49">
        <w:rPr>
          <w:rFonts w:ascii="Arial" w:hAnsi="Arial" w:cs="Arial"/>
          <w:sz w:val="22"/>
          <w:szCs w:val="22"/>
        </w:rPr>
        <w:t xml:space="preserve">, </w:t>
      </w:r>
      <w:r w:rsidR="006109C6" w:rsidRPr="007F0E49">
        <w:rPr>
          <w:rFonts w:ascii="Arial" w:hAnsi="Arial" w:cs="Arial"/>
          <w:sz w:val="22"/>
          <w:szCs w:val="22"/>
        </w:rPr>
        <w:t xml:space="preserve">potraživanje od </w:t>
      </w:r>
      <w:r w:rsidRPr="007F0E49">
        <w:rPr>
          <w:rFonts w:ascii="Arial" w:hAnsi="Arial" w:cs="Arial"/>
          <w:sz w:val="22"/>
          <w:szCs w:val="22"/>
        </w:rPr>
        <w:t xml:space="preserve">HZZO-a </w:t>
      </w:r>
      <w:r w:rsidR="005D0CD5" w:rsidRPr="007F0E49">
        <w:rPr>
          <w:rFonts w:ascii="Arial" w:hAnsi="Arial" w:cs="Arial"/>
          <w:sz w:val="22"/>
          <w:szCs w:val="22"/>
        </w:rPr>
        <w:t>za trošak bolovanja zaposlenika i</w:t>
      </w:r>
      <w:r w:rsidRPr="007F0E49">
        <w:rPr>
          <w:rFonts w:ascii="Arial" w:hAnsi="Arial" w:cs="Arial"/>
          <w:sz w:val="22"/>
          <w:szCs w:val="22"/>
        </w:rPr>
        <w:t xml:space="preserve"> potraživanje za neutrošena sredstva proračunskih korisnika</w:t>
      </w:r>
      <w:r w:rsidR="003856E0" w:rsidRPr="007F0E49">
        <w:rPr>
          <w:rFonts w:ascii="Arial" w:hAnsi="Arial" w:cs="Arial"/>
          <w:sz w:val="22"/>
          <w:szCs w:val="22"/>
        </w:rPr>
        <w:t>.</w:t>
      </w:r>
      <w:r w:rsidR="00D6713A" w:rsidRPr="007F0E49">
        <w:rPr>
          <w:rFonts w:ascii="Arial" w:hAnsi="Arial" w:cs="Arial"/>
          <w:sz w:val="22"/>
          <w:szCs w:val="22"/>
        </w:rPr>
        <w:t xml:space="preserve"> </w:t>
      </w:r>
    </w:p>
    <w:p w:rsidR="00476286" w:rsidRPr="007F0E49" w:rsidRDefault="00476286" w:rsidP="00D13766">
      <w:pPr>
        <w:jc w:val="both"/>
        <w:rPr>
          <w:rFonts w:ascii="Arial" w:hAnsi="Arial" w:cs="Arial"/>
          <w:sz w:val="22"/>
          <w:szCs w:val="22"/>
        </w:rPr>
      </w:pPr>
    </w:p>
    <w:p w:rsidR="000E69DA" w:rsidRPr="007F0E49" w:rsidRDefault="00E525C9" w:rsidP="000E69DA">
      <w:pPr>
        <w:jc w:val="both"/>
        <w:rPr>
          <w:rFonts w:ascii="Arial" w:hAnsi="Arial" w:cs="Arial"/>
          <w:i/>
          <w:sz w:val="22"/>
          <w:szCs w:val="22"/>
          <w:u w:val="single"/>
        </w:rPr>
      </w:pPr>
      <w:r w:rsidRPr="007F0E49">
        <w:rPr>
          <w:rFonts w:ascii="Arial" w:hAnsi="Arial" w:cs="Arial"/>
          <w:i/>
          <w:sz w:val="22"/>
          <w:szCs w:val="22"/>
          <w:u w:val="single"/>
        </w:rPr>
        <w:t>Vrijednosni papiri (</w:t>
      </w:r>
      <w:r w:rsidR="00EC2B03" w:rsidRPr="007F0E49">
        <w:rPr>
          <w:rFonts w:ascii="Arial" w:hAnsi="Arial" w:cs="Arial"/>
          <w:i/>
          <w:sz w:val="22"/>
          <w:szCs w:val="22"/>
          <w:u w:val="single"/>
        </w:rPr>
        <w:t>14</w:t>
      </w:r>
      <w:r w:rsidR="000E69DA" w:rsidRPr="007F0E49">
        <w:rPr>
          <w:rFonts w:ascii="Arial" w:hAnsi="Arial" w:cs="Arial"/>
          <w:i/>
          <w:sz w:val="22"/>
          <w:szCs w:val="22"/>
          <w:u w:val="single"/>
        </w:rPr>
        <w:t>)</w:t>
      </w:r>
      <w:r w:rsidR="000E69DA" w:rsidRPr="007F0E49">
        <w:rPr>
          <w:rFonts w:ascii="Arial" w:hAnsi="Arial" w:cs="Arial"/>
          <w:sz w:val="22"/>
          <w:szCs w:val="22"/>
        </w:rPr>
        <w:t xml:space="preserve"> – čine staru deviznu štednju u poslovnim bankama koja iznosi </w:t>
      </w:r>
      <w:r w:rsidR="002C77E8" w:rsidRPr="007F0E49">
        <w:rPr>
          <w:rFonts w:ascii="Arial" w:hAnsi="Arial" w:cs="Arial"/>
          <w:sz w:val="22"/>
          <w:szCs w:val="22"/>
        </w:rPr>
        <w:t>50.265,96</w:t>
      </w:r>
      <w:r w:rsidR="000E69DA" w:rsidRPr="007F0E49">
        <w:rPr>
          <w:rFonts w:ascii="Arial" w:hAnsi="Arial" w:cs="Arial"/>
          <w:sz w:val="22"/>
          <w:szCs w:val="22"/>
        </w:rPr>
        <w:t xml:space="preserve"> kn ili 6.671,44 EUR. Prema analitičkim evidencijama</w:t>
      </w:r>
      <w:r w:rsidR="00733EDF" w:rsidRPr="007F0E49">
        <w:rPr>
          <w:rFonts w:ascii="Arial" w:hAnsi="Arial" w:cs="Arial"/>
          <w:sz w:val="22"/>
          <w:szCs w:val="22"/>
        </w:rPr>
        <w:t>,</w:t>
      </w:r>
      <w:r w:rsidR="000E69DA" w:rsidRPr="007F0E49">
        <w:rPr>
          <w:rFonts w:ascii="Arial" w:hAnsi="Arial" w:cs="Arial"/>
          <w:sz w:val="22"/>
          <w:szCs w:val="22"/>
        </w:rPr>
        <w:t xml:space="preserve"> u Erste&amp;Steiermärkische Bank d.d. stara devizna štednja iznosi 3.885,04 EUR, u Vukovarskoj banci d.d. u stečaju iznosi 225,22 EUR, Cibalae banci </w:t>
      </w:r>
      <w:r w:rsidR="000E69DA" w:rsidRPr="007F0E49">
        <w:rPr>
          <w:rFonts w:ascii="Arial" w:hAnsi="Arial" w:cs="Arial"/>
          <w:sz w:val="22"/>
          <w:szCs w:val="22"/>
        </w:rPr>
        <w:lastRenderedPageBreak/>
        <w:t xml:space="preserve">d.d. u stečaju iznosi 1.691,98 EUR i Požeškoj banci d.d. (pripojena u Podravsku banku d.d.) </w:t>
      </w:r>
      <w:r w:rsidR="00733EDF" w:rsidRPr="007F0E49">
        <w:rPr>
          <w:rFonts w:ascii="Arial" w:hAnsi="Arial" w:cs="Arial"/>
          <w:sz w:val="22"/>
          <w:szCs w:val="22"/>
        </w:rPr>
        <w:t xml:space="preserve">stanje </w:t>
      </w:r>
      <w:r w:rsidR="000E69DA" w:rsidRPr="007F0E49">
        <w:rPr>
          <w:rFonts w:ascii="Arial" w:hAnsi="Arial" w:cs="Arial"/>
          <w:sz w:val="22"/>
          <w:szCs w:val="22"/>
        </w:rPr>
        <w:t>star</w:t>
      </w:r>
      <w:r w:rsidR="00733EDF" w:rsidRPr="007F0E49">
        <w:rPr>
          <w:rFonts w:ascii="Arial" w:hAnsi="Arial" w:cs="Arial"/>
          <w:sz w:val="22"/>
          <w:szCs w:val="22"/>
        </w:rPr>
        <w:t>e</w:t>
      </w:r>
      <w:r w:rsidR="000E69DA" w:rsidRPr="007F0E49">
        <w:rPr>
          <w:rFonts w:ascii="Arial" w:hAnsi="Arial" w:cs="Arial"/>
          <w:sz w:val="22"/>
          <w:szCs w:val="22"/>
        </w:rPr>
        <w:t xml:space="preserve"> </w:t>
      </w:r>
      <w:r w:rsidR="00733EDF" w:rsidRPr="007F0E49">
        <w:rPr>
          <w:rFonts w:ascii="Arial" w:hAnsi="Arial" w:cs="Arial"/>
          <w:sz w:val="22"/>
          <w:szCs w:val="22"/>
        </w:rPr>
        <w:t xml:space="preserve">devizne </w:t>
      </w:r>
      <w:r w:rsidR="000E69DA" w:rsidRPr="007F0E49">
        <w:rPr>
          <w:rFonts w:ascii="Arial" w:hAnsi="Arial" w:cs="Arial"/>
          <w:sz w:val="22"/>
          <w:szCs w:val="22"/>
        </w:rPr>
        <w:t>štednj</w:t>
      </w:r>
      <w:r w:rsidR="00733EDF" w:rsidRPr="007F0E49">
        <w:rPr>
          <w:rFonts w:ascii="Arial" w:hAnsi="Arial" w:cs="Arial"/>
          <w:sz w:val="22"/>
          <w:szCs w:val="22"/>
        </w:rPr>
        <w:t>e</w:t>
      </w:r>
      <w:r w:rsidR="000E69DA" w:rsidRPr="007F0E49">
        <w:rPr>
          <w:rFonts w:ascii="Arial" w:hAnsi="Arial" w:cs="Arial"/>
          <w:sz w:val="22"/>
          <w:szCs w:val="22"/>
        </w:rPr>
        <w:t xml:space="preserve"> iznosi 869,20 EUR.</w:t>
      </w:r>
      <w:r w:rsidR="002B37F8" w:rsidRPr="007F0E49">
        <w:rPr>
          <w:rFonts w:ascii="Arial" w:hAnsi="Arial" w:cs="Arial"/>
          <w:color w:val="FF0000"/>
          <w:sz w:val="22"/>
          <w:szCs w:val="22"/>
        </w:rPr>
        <w:t xml:space="preserve"> </w:t>
      </w:r>
    </w:p>
    <w:p w:rsidR="006B01AD" w:rsidRPr="007F0E49" w:rsidRDefault="006B01AD" w:rsidP="000E69DA">
      <w:pPr>
        <w:jc w:val="both"/>
        <w:rPr>
          <w:rFonts w:ascii="Arial" w:hAnsi="Arial" w:cs="Arial"/>
          <w:i/>
          <w:sz w:val="22"/>
          <w:szCs w:val="22"/>
          <w:u w:val="single"/>
        </w:rPr>
      </w:pPr>
    </w:p>
    <w:p w:rsidR="00267641" w:rsidRPr="007F0E49" w:rsidRDefault="000E69DA" w:rsidP="000E69DA">
      <w:pPr>
        <w:jc w:val="both"/>
        <w:rPr>
          <w:rFonts w:ascii="Arial" w:hAnsi="Arial" w:cs="Arial"/>
          <w:sz w:val="22"/>
          <w:szCs w:val="22"/>
        </w:rPr>
      </w:pPr>
      <w:r w:rsidRPr="007F0E49">
        <w:rPr>
          <w:rFonts w:ascii="Arial" w:hAnsi="Arial" w:cs="Arial"/>
          <w:i/>
          <w:sz w:val="22"/>
          <w:szCs w:val="22"/>
          <w:u w:val="single"/>
        </w:rPr>
        <w:t>Dionice i udjeli u glavnici</w:t>
      </w:r>
      <w:r w:rsidRPr="007F0E49">
        <w:rPr>
          <w:rFonts w:ascii="Arial" w:hAnsi="Arial" w:cs="Arial"/>
          <w:sz w:val="22"/>
          <w:szCs w:val="22"/>
          <w:u w:val="single"/>
        </w:rPr>
        <w:t xml:space="preserve"> </w:t>
      </w:r>
      <w:r w:rsidRPr="007F0E49">
        <w:rPr>
          <w:rFonts w:ascii="Arial" w:hAnsi="Arial" w:cs="Arial"/>
          <w:i/>
          <w:sz w:val="22"/>
          <w:szCs w:val="22"/>
          <w:u w:val="single"/>
        </w:rPr>
        <w:t>(</w:t>
      </w:r>
      <w:r w:rsidR="00BA1EFA" w:rsidRPr="007F0E49">
        <w:rPr>
          <w:rFonts w:ascii="Arial" w:hAnsi="Arial" w:cs="Arial"/>
          <w:i/>
          <w:sz w:val="22"/>
          <w:szCs w:val="22"/>
          <w:u w:val="single"/>
        </w:rPr>
        <w:t>15</w:t>
      </w:r>
      <w:r w:rsidRPr="007F0E49">
        <w:rPr>
          <w:rFonts w:ascii="Arial" w:hAnsi="Arial" w:cs="Arial"/>
          <w:i/>
          <w:sz w:val="22"/>
          <w:szCs w:val="22"/>
        </w:rPr>
        <w:t>)</w:t>
      </w:r>
      <w:r w:rsidRPr="007F0E49">
        <w:rPr>
          <w:rFonts w:ascii="Arial" w:hAnsi="Arial" w:cs="Arial"/>
          <w:sz w:val="22"/>
          <w:szCs w:val="22"/>
        </w:rPr>
        <w:t xml:space="preserve"> –</w:t>
      </w:r>
      <w:r w:rsidR="00853502" w:rsidRPr="007F0E49">
        <w:rPr>
          <w:rFonts w:ascii="Arial" w:hAnsi="Arial" w:cs="Arial"/>
          <w:sz w:val="22"/>
          <w:szCs w:val="22"/>
        </w:rPr>
        <w:t xml:space="preserve"> </w:t>
      </w:r>
      <w:r w:rsidRPr="007F0E49">
        <w:rPr>
          <w:rFonts w:ascii="Arial" w:hAnsi="Arial" w:cs="Arial"/>
          <w:sz w:val="22"/>
          <w:szCs w:val="22"/>
        </w:rPr>
        <w:t xml:space="preserve"> </w:t>
      </w:r>
      <w:r w:rsidR="00853502" w:rsidRPr="007F0E49">
        <w:rPr>
          <w:rFonts w:ascii="Arial" w:hAnsi="Arial" w:cs="Arial"/>
          <w:sz w:val="22"/>
          <w:szCs w:val="22"/>
        </w:rPr>
        <w:t>stanj</w:t>
      </w:r>
      <w:r w:rsidR="00A93E7C" w:rsidRPr="007F0E49">
        <w:rPr>
          <w:rFonts w:ascii="Arial" w:hAnsi="Arial" w:cs="Arial"/>
          <w:sz w:val="22"/>
          <w:szCs w:val="22"/>
        </w:rPr>
        <w:t>e</w:t>
      </w:r>
      <w:r w:rsidRPr="007F0E49">
        <w:rPr>
          <w:rFonts w:ascii="Arial" w:hAnsi="Arial" w:cs="Arial"/>
          <w:sz w:val="22"/>
          <w:szCs w:val="22"/>
        </w:rPr>
        <w:t xml:space="preserve"> </w:t>
      </w:r>
      <w:r w:rsidR="00853502" w:rsidRPr="007F0E49">
        <w:rPr>
          <w:rFonts w:ascii="Arial" w:hAnsi="Arial" w:cs="Arial"/>
          <w:sz w:val="22"/>
          <w:szCs w:val="22"/>
        </w:rPr>
        <w:t xml:space="preserve">na kontima </w:t>
      </w:r>
      <w:r w:rsidR="0063199A" w:rsidRPr="007F0E49">
        <w:rPr>
          <w:rFonts w:ascii="Arial" w:hAnsi="Arial" w:cs="Arial"/>
          <w:sz w:val="22"/>
          <w:szCs w:val="22"/>
        </w:rPr>
        <w:t xml:space="preserve">dionica i </w:t>
      </w:r>
      <w:r w:rsidRPr="007F0E49">
        <w:rPr>
          <w:rFonts w:ascii="Arial" w:hAnsi="Arial" w:cs="Arial"/>
          <w:sz w:val="22"/>
          <w:szCs w:val="22"/>
        </w:rPr>
        <w:t>udjela u glavnic</w:t>
      </w:r>
      <w:r w:rsidR="00203007" w:rsidRPr="007F0E49">
        <w:rPr>
          <w:rFonts w:ascii="Arial" w:hAnsi="Arial" w:cs="Arial"/>
          <w:sz w:val="22"/>
          <w:szCs w:val="22"/>
        </w:rPr>
        <w:t>i</w:t>
      </w:r>
      <w:r w:rsidR="003B25DD" w:rsidRPr="007F0E49">
        <w:rPr>
          <w:rFonts w:ascii="Arial" w:hAnsi="Arial" w:cs="Arial"/>
          <w:sz w:val="22"/>
          <w:szCs w:val="22"/>
        </w:rPr>
        <w:t xml:space="preserve"> </w:t>
      </w:r>
      <w:r w:rsidR="0063199A" w:rsidRPr="007F0E49">
        <w:rPr>
          <w:rFonts w:ascii="Arial" w:hAnsi="Arial" w:cs="Arial"/>
          <w:sz w:val="22"/>
          <w:szCs w:val="22"/>
        </w:rPr>
        <w:t xml:space="preserve">povećano je 10,7% </w:t>
      </w:r>
      <w:r w:rsidR="003B25DD" w:rsidRPr="007F0E49">
        <w:rPr>
          <w:rFonts w:ascii="Arial" w:hAnsi="Arial" w:cs="Arial"/>
          <w:sz w:val="22"/>
          <w:szCs w:val="22"/>
        </w:rPr>
        <w:t>u odnosu na prethodnu godinu</w:t>
      </w:r>
      <w:r w:rsidR="0063199A" w:rsidRPr="007F0E49">
        <w:rPr>
          <w:rFonts w:ascii="Arial" w:hAnsi="Arial" w:cs="Arial"/>
          <w:sz w:val="22"/>
          <w:szCs w:val="22"/>
        </w:rPr>
        <w:t>.</w:t>
      </w:r>
      <w:r w:rsidR="003B25DD" w:rsidRPr="007F0E49">
        <w:rPr>
          <w:rFonts w:ascii="Arial" w:hAnsi="Arial" w:cs="Arial"/>
          <w:sz w:val="22"/>
          <w:szCs w:val="22"/>
        </w:rPr>
        <w:t xml:space="preserve"> </w:t>
      </w:r>
      <w:r w:rsidR="00772153" w:rsidRPr="007F0E49">
        <w:rPr>
          <w:rFonts w:ascii="Arial" w:hAnsi="Arial" w:cs="Arial"/>
          <w:sz w:val="22"/>
          <w:szCs w:val="22"/>
        </w:rPr>
        <w:t>Tijekom izvještajne godine evidentirano je p</w:t>
      </w:r>
      <w:r w:rsidR="006B01AD" w:rsidRPr="007F0E49">
        <w:rPr>
          <w:rFonts w:ascii="Arial" w:hAnsi="Arial" w:cs="Arial"/>
          <w:sz w:val="22"/>
          <w:szCs w:val="22"/>
        </w:rPr>
        <w:t>ovećanj</w:t>
      </w:r>
      <w:r w:rsidR="00534669" w:rsidRPr="007F0E49">
        <w:rPr>
          <w:rFonts w:ascii="Arial" w:hAnsi="Arial" w:cs="Arial"/>
          <w:sz w:val="22"/>
          <w:szCs w:val="22"/>
        </w:rPr>
        <w:t>e</w:t>
      </w:r>
      <w:r w:rsidR="006B01AD" w:rsidRPr="007F0E49">
        <w:rPr>
          <w:rFonts w:ascii="Arial" w:hAnsi="Arial" w:cs="Arial"/>
          <w:sz w:val="22"/>
          <w:szCs w:val="22"/>
        </w:rPr>
        <w:t xml:space="preserve"> poslovnog udjela Grada Rijeke </w:t>
      </w:r>
      <w:r w:rsidR="00C42549" w:rsidRPr="007F0E49">
        <w:rPr>
          <w:rFonts w:ascii="Arial" w:hAnsi="Arial" w:cs="Arial"/>
          <w:sz w:val="22"/>
          <w:szCs w:val="22"/>
        </w:rPr>
        <w:t xml:space="preserve">u </w:t>
      </w:r>
      <w:r w:rsidR="00FA35C7" w:rsidRPr="007F0E49">
        <w:rPr>
          <w:rFonts w:ascii="Arial" w:hAnsi="Arial" w:cs="Arial"/>
          <w:sz w:val="22"/>
          <w:szCs w:val="22"/>
        </w:rPr>
        <w:t>temeljnom kapitalu</w:t>
      </w:r>
      <w:r w:rsidR="00772153" w:rsidRPr="007F0E49">
        <w:rPr>
          <w:rFonts w:ascii="Arial" w:hAnsi="Arial" w:cs="Arial"/>
          <w:sz w:val="22"/>
          <w:szCs w:val="22"/>
        </w:rPr>
        <w:t xml:space="preserve"> trgovačkog društva </w:t>
      </w:r>
      <w:r w:rsidR="00484552" w:rsidRPr="007F0E49">
        <w:rPr>
          <w:rFonts w:ascii="Arial" w:hAnsi="Arial" w:cs="Arial"/>
          <w:sz w:val="22"/>
          <w:szCs w:val="22"/>
        </w:rPr>
        <w:t>Energo</w:t>
      </w:r>
      <w:r w:rsidR="009A66E3" w:rsidRPr="007F0E49">
        <w:rPr>
          <w:rFonts w:ascii="Arial" w:hAnsi="Arial" w:cs="Arial"/>
          <w:sz w:val="22"/>
          <w:szCs w:val="22"/>
        </w:rPr>
        <w:t xml:space="preserve"> d.o.o. </w:t>
      </w:r>
      <w:r w:rsidR="00772153" w:rsidRPr="007F0E49">
        <w:rPr>
          <w:rFonts w:ascii="Arial" w:hAnsi="Arial" w:cs="Arial"/>
          <w:sz w:val="22"/>
          <w:szCs w:val="22"/>
        </w:rPr>
        <w:t>u iznosu od 105.480.000</w:t>
      </w:r>
      <w:r w:rsidR="00484552" w:rsidRPr="007F0E49">
        <w:rPr>
          <w:rFonts w:ascii="Arial" w:hAnsi="Arial" w:cs="Arial"/>
          <w:sz w:val="22"/>
          <w:szCs w:val="22"/>
        </w:rPr>
        <w:t xml:space="preserve"> kn</w:t>
      </w:r>
      <w:r w:rsidR="00F76453" w:rsidRPr="007F0E49">
        <w:rPr>
          <w:rFonts w:ascii="Arial" w:hAnsi="Arial" w:cs="Arial"/>
          <w:sz w:val="22"/>
          <w:szCs w:val="22"/>
        </w:rPr>
        <w:t xml:space="preserve"> </w:t>
      </w:r>
      <w:r w:rsidR="00772153" w:rsidRPr="007F0E49">
        <w:rPr>
          <w:rFonts w:ascii="Arial" w:hAnsi="Arial" w:cs="Arial"/>
          <w:sz w:val="22"/>
          <w:szCs w:val="22"/>
        </w:rPr>
        <w:t>(30.000.000 kn uplatom u</w:t>
      </w:r>
      <w:r w:rsidR="0090523F" w:rsidRPr="007F0E49">
        <w:rPr>
          <w:rFonts w:ascii="Arial" w:hAnsi="Arial" w:cs="Arial"/>
          <w:sz w:val="22"/>
          <w:szCs w:val="22"/>
        </w:rPr>
        <w:t>loga</w:t>
      </w:r>
      <w:r w:rsidR="00534669" w:rsidRPr="007F0E49">
        <w:rPr>
          <w:rFonts w:ascii="Arial" w:hAnsi="Arial" w:cs="Arial"/>
          <w:sz w:val="22"/>
          <w:szCs w:val="22"/>
        </w:rPr>
        <w:t xml:space="preserve"> u novcu </w:t>
      </w:r>
      <w:r w:rsidR="00F76453" w:rsidRPr="007F0E49">
        <w:rPr>
          <w:rFonts w:ascii="Arial" w:hAnsi="Arial" w:cs="Arial"/>
          <w:sz w:val="22"/>
          <w:szCs w:val="22"/>
        </w:rPr>
        <w:t xml:space="preserve">i </w:t>
      </w:r>
      <w:r w:rsidR="00772153" w:rsidRPr="007F0E49">
        <w:rPr>
          <w:rFonts w:ascii="Arial" w:hAnsi="Arial" w:cs="Arial"/>
          <w:sz w:val="22"/>
          <w:szCs w:val="22"/>
        </w:rPr>
        <w:t xml:space="preserve">otkupom poslovnog udjela talijanske firme HERA S.p.A. (trošak otkupa 1.000 EUR, nominalna vrijednost </w:t>
      </w:r>
      <w:r w:rsidR="000B5AEE" w:rsidRPr="007F0E49">
        <w:rPr>
          <w:rFonts w:ascii="Arial" w:hAnsi="Arial" w:cs="Arial"/>
          <w:sz w:val="22"/>
          <w:szCs w:val="22"/>
        </w:rPr>
        <w:t>udjela</w:t>
      </w:r>
      <w:r w:rsidR="0090523F" w:rsidRPr="007F0E49">
        <w:rPr>
          <w:rFonts w:ascii="Arial" w:hAnsi="Arial" w:cs="Arial"/>
          <w:sz w:val="22"/>
          <w:szCs w:val="22"/>
        </w:rPr>
        <w:t xml:space="preserve"> 75.480.000 kn</w:t>
      </w:r>
      <w:r w:rsidR="00772153" w:rsidRPr="007F0E49">
        <w:rPr>
          <w:rFonts w:ascii="Arial" w:hAnsi="Arial" w:cs="Arial"/>
          <w:sz w:val="22"/>
          <w:szCs w:val="22"/>
        </w:rPr>
        <w:t>)</w:t>
      </w:r>
      <w:r w:rsidR="00484552" w:rsidRPr="007F0E49">
        <w:rPr>
          <w:rFonts w:ascii="Arial" w:hAnsi="Arial" w:cs="Arial"/>
          <w:sz w:val="22"/>
          <w:szCs w:val="22"/>
        </w:rPr>
        <w:t xml:space="preserve">, </w:t>
      </w:r>
      <w:r w:rsidR="00534669" w:rsidRPr="007F0E49">
        <w:rPr>
          <w:rFonts w:ascii="Arial" w:hAnsi="Arial" w:cs="Arial"/>
          <w:sz w:val="22"/>
          <w:szCs w:val="22"/>
        </w:rPr>
        <w:t xml:space="preserve">zatim </w:t>
      </w:r>
      <w:r w:rsidR="00772153" w:rsidRPr="007F0E49">
        <w:rPr>
          <w:rFonts w:ascii="Arial" w:hAnsi="Arial" w:cs="Arial"/>
          <w:sz w:val="22"/>
          <w:szCs w:val="22"/>
        </w:rPr>
        <w:t xml:space="preserve">povećanje poslovnog udjela </w:t>
      </w:r>
      <w:r w:rsidR="003255AB" w:rsidRPr="007F0E49">
        <w:rPr>
          <w:rFonts w:ascii="Arial" w:hAnsi="Arial" w:cs="Arial"/>
          <w:sz w:val="22"/>
          <w:szCs w:val="22"/>
        </w:rPr>
        <w:t xml:space="preserve">u temeljnom kapitalu uplatom u novcu </w:t>
      </w:r>
      <w:r w:rsidR="00772153" w:rsidRPr="007F0E49">
        <w:rPr>
          <w:rFonts w:ascii="Arial" w:hAnsi="Arial" w:cs="Arial"/>
          <w:sz w:val="22"/>
          <w:szCs w:val="22"/>
        </w:rPr>
        <w:t xml:space="preserve">u trgovačkom društvu </w:t>
      </w:r>
      <w:r w:rsidR="009A7477" w:rsidRPr="007F0E49">
        <w:rPr>
          <w:rFonts w:ascii="Arial" w:hAnsi="Arial" w:cs="Arial"/>
          <w:sz w:val="22"/>
          <w:szCs w:val="22"/>
        </w:rPr>
        <w:t xml:space="preserve"> </w:t>
      </w:r>
      <w:r w:rsidR="00484552" w:rsidRPr="007F0E49">
        <w:rPr>
          <w:rFonts w:ascii="Arial" w:hAnsi="Arial" w:cs="Arial"/>
          <w:sz w:val="22"/>
          <w:szCs w:val="22"/>
        </w:rPr>
        <w:t>Rijeka plus</w:t>
      </w:r>
      <w:r w:rsidR="001F3F08" w:rsidRPr="007F0E49">
        <w:rPr>
          <w:rFonts w:ascii="Arial" w:hAnsi="Arial" w:cs="Arial"/>
          <w:sz w:val="22"/>
          <w:szCs w:val="22"/>
        </w:rPr>
        <w:t xml:space="preserve"> d.o.o</w:t>
      </w:r>
      <w:r w:rsidR="00F76453" w:rsidRPr="007F0E49">
        <w:rPr>
          <w:rFonts w:ascii="Arial" w:hAnsi="Arial" w:cs="Arial"/>
          <w:sz w:val="22"/>
          <w:szCs w:val="22"/>
        </w:rPr>
        <w:t>.</w:t>
      </w:r>
      <w:r w:rsidR="009A7477" w:rsidRPr="007F0E49">
        <w:rPr>
          <w:rFonts w:ascii="Arial" w:hAnsi="Arial" w:cs="Arial"/>
          <w:sz w:val="22"/>
          <w:szCs w:val="22"/>
        </w:rPr>
        <w:t xml:space="preserve"> </w:t>
      </w:r>
      <w:r w:rsidR="009A66E3" w:rsidRPr="007F0E49">
        <w:rPr>
          <w:rFonts w:ascii="Arial" w:hAnsi="Arial" w:cs="Arial"/>
          <w:sz w:val="22"/>
          <w:szCs w:val="22"/>
        </w:rPr>
        <w:t>=</w:t>
      </w:r>
      <w:r w:rsidR="009A7477" w:rsidRPr="007F0E49">
        <w:rPr>
          <w:rFonts w:ascii="Arial" w:hAnsi="Arial" w:cs="Arial"/>
          <w:sz w:val="22"/>
          <w:szCs w:val="22"/>
        </w:rPr>
        <w:t>9.608.</w:t>
      </w:r>
      <w:r w:rsidR="003255AB" w:rsidRPr="007F0E49">
        <w:rPr>
          <w:rFonts w:ascii="Arial" w:hAnsi="Arial" w:cs="Arial"/>
          <w:sz w:val="22"/>
          <w:szCs w:val="22"/>
        </w:rPr>
        <w:t>500</w:t>
      </w:r>
      <w:r w:rsidR="00484552" w:rsidRPr="007F0E49">
        <w:rPr>
          <w:rFonts w:ascii="Arial" w:hAnsi="Arial" w:cs="Arial"/>
          <w:sz w:val="22"/>
          <w:szCs w:val="22"/>
        </w:rPr>
        <w:t xml:space="preserve"> kn</w:t>
      </w:r>
      <w:r w:rsidR="009A7477" w:rsidRPr="007F0E49">
        <w:rPr>
          <w:rFonts w:ascii="Arial" w:hAnsi="Arial" w:cs="Arial"/>
          <w:sz w:val="22"/>
          <w:szCs w:val="22"/>
        </w:rPr>
        <w:t xml:space="preserve">, </w:t>
      </w:r>
      <w:r w:rsidR="003255AB" w:rsidRPr="007F0E49">
        <w:rPr>
          <w:rFonts w:ascii="Arial" w:hAnsi="Arial" w:cs="Arial"/>
          <w:sz w:val="22"/>
          <w:szCs w:val="22"/>
        </w:rPr>
        <w:t xml:space="preserve">povećanje poslovnog udjela u temeljnom kapitalu </w:t>
      </w:r>
      <w:r w:rsidR="00267641" w:rsidRPr="007F0E49">
        <w:rPr>
          <w:rFonts w:ascii="Arial" w:hAnsi="Arial" w:cs="Arial"/>
          <w:sz w:val="22"/>
          <w:szCs w:val="22"/>
        </w:rPr>
        <w:t xml:space="preserve">uplatom u novcu u trgovačkom društvu </w:t>
      </w:r>
      <w:r w:rsidR="00A92C5A" w:rsidRPr="007F0E49">
        <w:rPr>
          <w:rFonts w:ascii="Arial" w:hAnsi="Arial" w:cs="Arial"/>
          <w:sz w:val="22"/>
          <w:szCs w:val="22"/>
        </w:rPr>
        <w:t>K</w:t>
      </w:r>
      <w:r w:rsidR="00AE710D" w:rsidRPr="007F0E49">
        <w:rPr>
          <w:rFonts w:ascii="Arial" w:hAnsi="Arial" w:cs="Arial"/>
          <w:sz w:val="22"/>
          <w:szCs w:val="22"/>
        </w:rPr>
        <w:t>anal RI</w:t>
      </w:r>
      <w:r w:rsidR="00B410B1" w:rsidRPr="007F0E49">
        <w:rPr>
          <w:rFonts w:ascii="Arial" w:hAnsi="Arial" w:cs="Arial"/>
          <w:sz w:val="22"/>
          <w:szCs w:val="22"/>
        </w:rPr>
        <w:t xml:space="preserve"> d.o.o.</w:t>
      </w:r>
      <w:r w:rsidR="00804C57" w:rsidRPr="007F0E49">
        <w:rPr>
          <w:rFonts w:ascii="Arial" w:hAnsi="Arial" w:cs="Arial"/>
          <w:sz w:val="22"/>
          <w:szCs w:val="22"/>
        </w:rPr>
        <w:t xml:space="preserve"> </w:t>
      </w:r>
      <w:r w:rsidR="00AE710D" w:rsidRPr="007F0E49">
        <w:rPr>
          <w:rFonts w:ascii="Arial" w:hAnsi="Arial" w:cs="Arial"/>
          <w:sz w:val="22"/>
          <w:szCs w:val="22"/>
        </w:rPr>
        <w:t>=1.000.000,00 kn</w:t>
      </w:r>
      <w:r w:rsidR="00126193" w:rsidRPr="007F0E49">
        <w:rPr>
          <w:rFonts w:ascii="Arial" w:hAnsi="Arial" w:cs="Arial"/>
          <w:sz w:val="22"/>
          <w:szCs w:val="22"/>
        </w:rPr>
        <w:t xml:space="preserve"> i </w:t>
      </w:r>
      <w:r w:rsidR="009C0FD5" w:rsidRPr="007F0E49">
        <w:rPr>
          <w:rFonts w:ascii="Arial" w:hAnsi="Arial" w:cs="Arial"/>
          <w:sz w:val="22"/>
          <w:szCs w:val="22"/>
        </w:rPr>
        <w:t xml:space="preserve">povećanje poslovnog udjela u temeljnom kapitalu ulaganjem nekretnina u </w:t>
      </w:r>
      <w:r w:rsidR="00267641" w:rsidRPr="007F0E49">
        <w:rPr>
          <w:rFonts w:ascii="Arial" w:hAnsi="Arial" w:cs="Arial"/>
          <w:sz w:val="22"/>
          <w:szCs w:val="22"/>
        </w:rPr>
        <w:t xml:space="preserve">trgovačkom društvu </w:t>
      </w:r>
      <w:r w:rsidR="00126193" w:rsidRPr="007F0E49">
        <w:rPr>
          <w:rFonts w:ascii="Arial" w:hAnsi="Arial" w:cs="Arial"/>
          <w:sz w:val="22"/>
          <w:szCs w:val="22"/>
        </w:rPr>
        <w:t>Čistoća</w:t>
      </w:r>
      <w:r w:rsidR="00B410B1" w:rsidRPr="007F0E49">
        <w:rPr>
          <w:rFonts w:ascii="Arial" w:hAnsi="Arial" w:cs="Arial"/>
          <w:sz w:val="22"/>
          <w:szCs w:val="22"/>
        </w:rPr>
        <w:t xml:space="preserve"> d.o.o. =</w:t>
      </w:r>
      <w:r w:rsidR="00126193" w:rsidRPr="007F0E49">
        <w:rPr>
          <w:rFonts w:ascii="Arial" w:hAnsi="Arial" w:cs="Arial"/>
          <w:sz w:val="22"/>
          <w:szCs w:val="22"/>
        </w:rPr>
        <w:t>1.461.600,00 kn</w:t>
      </w:r>
      <w:r w:rsidR="003B25DD" w:rsidRPr="007F0E49">
        <w:rPr>
          <w:rFonts w:ascii="Arial" w:hAnsi="Arial" w:cs="Arial"/>
          <w:sz w:val="22"/>
          <w:szCs w:val="22"/>
        </w:rPr>
        <w:t xml:space="preserve">. </w:t>
      </w:r>
    </w:p>
    <w:p w:rsidR="0005675E" w:rsidRPr="007F0E49" w:rsidRDefault="00AE710D" w:rsidP="000E69DA">
      <w:pPr>
        <w:jc w:val="both"/>
        <w:rPr>
          <w:rFonts w:ascii="Arial" w:hAnsi="Arial" w:cs="Arial"/>
          <w:sz w:val="22"/>
          <w:szCs w:val="22"/>
        </w:rPr>
      </w:pPr>
      <w:r w:rsidRPr="007F0E49">
        <w:rPr>
          <w:rFonts w:ascii="Arial" w:hAnsi="Arial" w:cs="Arial"/>
          <w:sz w:val="22"/>
          <w:szCs w:val="22"/>
        </w:rPr>
        <w:t xml:space="preserve">Stanje dionica i udjela u glavnici na dan 31.12.2022. </w:t>
      </w:r>
      <w:r w:rsidR="000F7705" w:rsidRPr="007F0E49">
        <w:rPr>
          <w:rFonts w:ascii="Arial" w:hAnsi="Arial" w:cs="Arial"/>
          <w:sz w:val="22"/>
          <w:szCs w:val="22"/>
        </w:rPr>
        <w:t xml:space="preserve">godine </w:t>
      </w:r>
      <w:r w:rsidRPr="007F0E49">
        <w:rPr>
          <w:rFonts w:ascii="Arial" w:hAnsi="Arial" w:cs="Arial"/>
          <w:sz w:val="22"/>
          <w:szCs w:val="22"/>
        </w:rPr>
        <w:t>iznosi</w:t>
      </w:r>
      <w:r w:rsidR="003B25DD" w:rsidRPr="007F0E49">
        <w:rPr>
          <w:rFonts w:ascii="Arial" w:hAnsi="Arial" w:cs="Arial"/>
          <w:sz w:val="22"/>
          <w:szCs w:val="22"/>
        </w:rPr>
        <w:t xml:space="preserve"> </w:t>
      </w:r>
      <w:r w:rsidR="00C50248" w:rsidRPr="007F0E49">
        <w:rPr>
          <w:rFonts w:ascii="Arial" w:hAnsi="Arial" w:cs="Arial"/>
          <w:sz w:val="22"/>
          <w:szCs w:val="22"/>
        </w:rPr>
        <w:t>=</w:t>
      </w:r>
      <w:r w:rsidR="009A7477" w:rsidRPr="007F0E49">
        <w:rPr>
          <w:rFonts w:ascii="Arial" w:hAnsi="Arial" w:cs="Arial"/>
          <w:sz w:val="22"/>
          <w:szCs w:val="22"/>
        </w:rPr>
        <w:t xml:space="preserve">1.105.801.857,15 </w:t>
      </w:r>
      <w:r w:rsidRPr="007F0E49">
        <w:rPr>
          <w:rFonts w:ascii="Arial" w:hAnsi="Arial" w:cs="Arial"/>
          <w:sz w:val="22"/>
          <w:szCs w:val="22"/>
        </w:rPr>
        <w:t xml:space="preserve">kn. </w:t>
      </w:r>
      <w:r w:rsidR="00FD0CAD" w:rsidRPr="007F0E49">
        <w:rPr>
          <w:rFonts w:ascii="Arial" w:hAnsi="Arial" w:cs="Arial"/>
          <w:sz w:val="22"/>
          <w:szCs w:val="22"/>
        </w:rPr>
        <w:t>S</w:t>
      </w:r>
      <w:r w:rsidR="00640E3F" w:rsidRPr="007F0E49">
        <w:rPr>
          <w:rFonts w:ascii="Arial" w:hAnsi="Arial" w:cs="Arial"/>
          <w:sz w:val="22"/>
          <w:szCs w:val="22"/>
        </w:rPr>
        <w:t>manjenja</w:t>
      </w:r>
      <w:r w:rsidR="00FD0CAD" w:rsidRPr="007F0E49">
        <w:rPr>
          <w:rFonts w:ascii="Arial" w:hAnsi="Arial" w:cs="Arial"/>
          <w:sz w:val="22"/>
          <w:szCs w:val="22"/>
        </w:rPr>
        <w:t xml:space="preserve"> poslovnih udjela nominalno iznose 10.864.42</w:t>
      </w:r>
      <w:r w:rsidR="003C1F87" w:rsidRPr="007F0E49">
        <w:rPr>
          <w:rFonts w:ascii="Arial" w:hAnsi="Arial" w:cs="Arial"/>
          <w:sz w:val="22"/>
          <w:szCs w:val="22"/>
        </w:rPr>
        <w:t>3</w:t>
      </w:r>
      <w:r w:rsidR="00FD0CAD" w:rsidRPr="007F0E49">
        <w:rPr>
          <w:rFonts w:ascii="Arial" w:hAnsi="Arial" w:cs="Arial"/>
          <w:sz w:val="22"/>
          <w:szCs w:val="22"/>
        </w:rPr>
        <w:t xml:space="preserve"> kn </w:t>
      </w:r>
      <w:r w:rsidR="00640E3F" w:rsidRPr="007F0E49">
        <w:rPr>
          <w:rFonts w:ascii="Arial" w:hAnsi="Arial" w:cs="Arial"/>
          <w:sz w:val="22"/>
          <w:szCs w:val="22"/>
        </w:rPr>
        <w:t>(</w:t>
      </w:r>
      <w:r w:rsidR="003C1F87" w:rsidRPr="007F0E49">
        <w:rPr>
          <w:rFonts w:ascii="Arial" w:hAnsi="Arial" w:cs="Arial"/>
          <w:sz w:val="22"/>
          <w:szCs w:val="22"/>
        </w:rPr>
        <w:t xml:space="preserve">povlačenja vrijednosnica </w:t>
      </w:r>
      <w:r w:rsidR="00804C57" w:rsidRPr="007F0E49">
        <w:rPr>
          <w:rFonts w:ascii="Arial" w:hAnsi="Arial" w:cs="Arial"/>
          <w:sz w:val="22"/>
          <w:szCs w:val="22"/>
        </w:rPr>
        <w:t xml:space="preserve">Rijeka </w:t>
      </w:r>
      <w:r w:rsidR="00640E3F" w:rsidRPr="007F0E49">
        <w:rPr>
          <w:rFonts w:ascii="Arial" w:hAnsi="Arial" w:cs="Arial"/>
          <w:sz w:val="22"/>
          <w:szCs w:val="22"/>
        </w:rPr>
        <w:t>promet</w:t>
      </w:r>
      <w:r w:rsidR="00B410B1" w:rsidRPr="007F0E49">
        <w:rPr>
          <w:rFonts w:ascii="Arial" w:hAnsi="Arial" w:cs="Arial"/>
          <w:sz w:val="22"/>
          <w:szCs w:val="22"/>
        </w:rPr>
        <w:t xml:space="preserve"> d.d. </w:t>
      </w:r>
      <w:r w:rsidR="00640E3F" w:rsidRPr="007F0E49">
        <w:rPr>
          <w:rFonts w:ascii="Arial" w:hAnsi="Arial" w:cs="Arial"/>
          <w:sz w:val="22"/>
          <w:szCs w:val="22"/>
        </w:rPr>
        <w:t>=10.777.140,00 kn</w:t>
      </w:r>
      <w:r w:rsidR="009A7477" w:rsidRPr="007F0E49">
        <w:rPr>
          <w:rFonts w:ascii="Arial" w:hAnsi="Arial" w:cs="Arial"/>
          <w:sz w:val="22"/>
          <w:szCs w:val="22"/>
        </w:rPr>
        <w:t xml:space="preserve"> </w:t>
      </w:r>
      <w:r w:rsidR="00B410B1" w:rsidRPr="007F0E49">
        <w:rPr>
          <w:rFonts w:ascii="Arial" w:hAnsi="Arial" w:cs="Arial"/>
          <w:sz w:val="22"/>
          <w:szCs w:val="22"/>
        </w:rPr>
        <w:t>prema izvještaju</w:t>
      </w:r>
      <w:r w:rsidR="003C1F87" w:rsidRPr="007F0E49">
        <w:rPr>
          <w:rFonts w:ascii="Arial" w:hAnsi="Arial" w:cs="Arial"/>
          <w:sz w:val="22"/>
          <w:szCs w:val="22"/>
        </w:rPr>
        <w:t xml:space="preserve"> Središnjeg klirinškog depozitarnog društva d.</w:t>
      </w:r>
      <w:r w:rsidR="00857DC1">
        <w:rPr>
          <w:rFonts w:ascii="Arial" w:hAnsi="Arial" w:cs="Arial"/>
          <w:sz w:val="22"/>
          <w:szCs w:val="22"/>
        </w:rPr>
        <w:t>d</w:t>
      </w:r>
      <w:r w:rsidR="003C1F87" w:rsidRPr="007F0E49">
        <w:rPr>
          <w:rFonts w:ascii="Arial" w:hAnsi="Arial" w:cs="Arial"/>
          <w:sz w:val="22"/>
          <w:szCs w:val="22"/>
        </w:rPr>
        <w:t>.</w:t>
      </w:r>
      <w:r w:rsidR="00E72C72" w:rsidRPr="007F0E49">
        <w:rPr>
          <w:rFonts w:ascii="Arial" w:hAnsi="Arial" w:cs="Arial"/>
          <w:sz w:val="22"/>
          <w:szCs w:val="22"/>
        </w:rPr>
        <w:t xml:space="preserve"> </w:t>
      </w:r>
      <w:r w:rsidR="00676254" w:rsidRPr="007F0E49">
        <w:rPr>
          <w:rFonts w:ascii="Arial" w:hAnsi="Arial" w:cs="Arial"/>
          <w:sz w:val="22"/>
          <w:szCs w:val="22"/>
        </w:rPr>
        <w:t>i manje p</w:t>
      </w:r>
      <w:r w:rsidR="000E69DA" w:rsidRPr="007F0E49">
        <w:rPr>
          <w:rFonts w:ascii="Arial" w:hAnsi="Arial" w:cs="Arial"/>
          <w:sz w:val="22"/>
          <w:szCs w:val="22"/>
        </w:rPr>
        <w:t xml:space="preserve">romjene </w:t>
      </w:r>
      <w:r w:rsidR="00130874" w:rsidRPr="007F0E49">
        <w:rPr>
          <w:rFonts w:ascii="Arial" w:hAnsi="Arial" w:cs="Arial"/>
          <w:sz w:val="22"/>
          <w:szCs w:val="22"/>
        </w:rPr>
        <w:t>u vrijednosti dionica</w:t>
      </w:r>
      <w:r w:rsidR="00676254" w:rsidRPr="007F0E49">
        <w:rPr>
          <w:rFonts w:ascii="Arial" w:hAnsi="Arial" w:cs="Arial"/>
          <w:sz w:val="22"/>
          <w:szCs w:val="22"/>
        </w:rPr>
        <w:t xml:space="preserve"> </w:t>
      </w:r>
      <w:r w:rsidR="00E72C72" w:rsidRPr="007F0E49">
        <w:rPr>
          <w:rFonts w:ascii="Arial" w:hAnsi="Arial" w:cs="Arial"/>
          <w:sz w:val="22"/>
          <w:szCs w:val="22"/>
        </w:rPr>
        <w:t xml:space="preserve">i poslovnih udjela </w:t>
      </w:r>
      <w:r w:rsidR="000E69DA" w:rsidRPr="007F0E49">
        <w:rPr>
          <w:rFonts w:ascii="Arial" w:hAnsi="Arial" w:cs="Arial"/>
          <w:sz w:val="22"/>
          <w:szCs w:val="22"/>
        </w:rPr>
        <w:t xml:space="preserve">zbog </w:t>
      </w:r>
      <w:r w:rsidR="00E72C72" w:rsidRPr="007F0E49">
        <w:rPr>
          <w:rFonts w:ascii="Arial" w:hAnsi="Arial" w:cs="Arial"/>
          <w:sz w:val="22"/>
          <w:szCs w:val="22"/>
        </w:rPr>
        <w:t xml:space="preserve">brisanja tvrtki ili </w:t>
      </w:r>
      <w:r w:rsidR="000E69DA" w:rsidRPr="007F0E49">
        <w:rPr>
          <w:rFonts w:ascii="Arial" w:hAnsi="Arial" w:cs="Arial"/>
          <w:sz w:val="22"/>
          <w:szCs w:val="22"/>
        </w:rPr>
        <w:t>uskla</w:t>
      </w:r>
      <w:r w:rsidR="00E72C72" w:rsidRPr="007F0E49">
        <w:rPr>
          <w:rFonts w:ascii="Arial" w:hAnsi="Arial" w:cs="Arial"/>
          <w:sz w:val="22"/>
          <w:szCs w:val="22"/>
        </w:rPr>
        <w:t xml:space="preserve">đenja </w:t>
      </w:r>
      <w:r w:rsidR="000E69DA" w:rsidRPr="007F0E49">
        <w:rPr>
          <w:rFonts w:ascii="Arial" w:hAnsi="Arial" w:cs="Arial"/>
          <w:sz w:val="22"/>
          <w:szCs w:val="22"/>
        </w:rPr>
        <w:t>vrije</w:t>
      </w:r>
      <w:r w:rsidR="00BF7F0D" w:rsidRPr="007F0E49">
        <w:rPr>
          <w:rFonts w:ascii="Arial" w:hAnsi="Arial" w:cs="Arial"/>
          <w:sz w:val="22"/>
          <w:szCs w:val="22"/>
        </w:rPr>
        <w:t>dno</w:t>
      </w:r>
      <w:r w:rsidR="00E72C72" w:rsidRPr="007F0E49">
        <w:rPr>
          <w:rFonts w:ascii="Arial" w:hAnsi="Arial" w:cs="Arial"/>
          <w:sz w:val="22"/>
          <w:szCs w:val="22"/>
        </w:rPr>
        <w:t>sti</w:t>
      </w:r>
      <w:r w:rsidR="00417F4C" w:rsidRPr="007F0E49">
        <w:rPr>
          <w:rFonts w:ascii="Arial" w:hAnsi="Arial" w:cs="Arial"/>
          <w:sz w:val="22"/>
          <w:szCs w:val="22"/>
        </w:rPr>
        <w:t xml:space="preserve"> na dan bilance</w:t>
      </w:r>
      <w:r w:rsidR="004A3A19" w:rsidRPr="007F0E49">
        <w:rPr>
          <w:rFonts w:ascii="Arial" w:hAnsi="Arial" w:cs="Arial"/>
          <w:sz w:val="22"/>
          <w:szCs w:val="22"/>
        </w:rPr>
        <w:t xml:space="preserve"> </w:t>
      </w:r>
      <w:r w:rsidR="008249EE" w:rsidRPr="007F0E49">
        <w:rPr>
          <w:rFonts w:ascii="Arial" w:hAnsi="Arial" w:cs="Arial"/>
          <w:sz w:val="22"/>
          <w:szCs w:val="22"/>
        </w:rPr>
        <w:t>(</w:t>
      </w:r>
      <w:r w:rsidR="004A3A19" w:rsidRPr="007F0E49">
        <w:rPr>
          <w:rFonts w:ascii="Arial" w:hAnsi="Arial" w:cs="Arial"/>
          <w:sz w:val="22"/>
          <w:szCs w:val="22"/>
        </w:rPr>
        <w:t>Izvještaj Središnje</w:t>
      </w:r>
      <w:r w:rsidR="000B5AEE" w:rsidRPr="007F0E49">
        <w:rPr>
          <w:rFonts w:ascii="Arial" w:hAnsi="Arial" w:cs="Arial"/>
          <w:sz w:val="22"/>
          <w:szCs w:val="22"/>
        </w:rPr>
        <w:t>g</w:t>
      </w:r>
      <w:r w:rsidR="004A3A19" w:rsidRPr="007F0E49">
        <w:rPr>
          <w:rFonts w:ascii="Arial" w:hAnsi="Arial" w:cs="Arial"/>
          <w:sz w:val="22"/>
          <w:szCs w:val="22"/>
        </w:rPr>
        <w:t xml:space="preserve"> </w:t>
      </w:r>
      <w:r w:rsidR="00E72C72" w:rsidRPr="007F0E49">
        <w:rPr>
          <w:rFonts w:ascii="Arial" w:hAnsi="Arial" w:cs="Arial"/>
          <w:sz w:val="22"/>
          <w:szCs w:val="22"/>
        </w:rPr>
        <w:t>klirinšk</w:t>
      </w:r>
      <w:r w:rsidR="000B5AEE" w:rsidRPr="007F0E49">
        <w:rPr>
          <w:rFonts w:ascii="Arial" w:hAnsi="Arial" w:cs="Arial"/>
          <w:sz w:val="22"/>
          <w:szCs w:val="22"/>
        </w:rPr>
        <w:t>og</w:t>
      </w:r>
      <w:r w:rsidR="00E72C72" w:rsidRPr="007F0E49">
        <w:rPr>
          <w:rFonts w:ascii="Arial" w:hAnsi="Arial" w:cs="Arial"/>
          <w:sz w:val="22"/>
          <w:szCs w:val="22"/>
        </w:rPr>
        <w:t xml:space="preserve"> </w:t>
      </w:r>
      <w:r w:rsidR="004A3A19" w:rsidRPr="007F0E49">
        <w:rPr>
          <w:rFonts w:ascii="Arial" w:hAnsi="Arial" w:cs="Arial"/>
          <w:sz w:val="22"/>
          <w:szCs w:val="22"/>
        </w:rPr>
        <w:t>depozitarn</w:t>
      </w:r>
      <w:r w:rsidR="00E72C72" w:rsidRPr="007F0E49">
        <w:rPr>
          <w:rFonts w:ascii="Arial" w:hAnsi="Arial" w:cs="Arial"/>
          <w:sz w:val="22"/>
          <w:szCs w:val="22"/>
        </w:rPr>
        <w:t>og društva d.</w:t>
      </w:r>
      <w:r w:rsidR="00880E07" w:rsidRPr="007F0E49">
        <w:rPr>
          <w:rFonts w:ascii="Arial" w:hAnsi="Arial" w:cs="Arial"/>
          <w:sz w:val="22"/>
          <w:szCs w:val="22"/>
        </w:rPr>
        <w:t>d.</w:t>
      </w:r>
      <w:r w:rsidR="007B69CD">
        <w:rPr>
          <w:rFonts w:ascii="Arial" w:hAnsi="Arial" w:cs="Arial"/>
          <w:sz w:val="22"/>
          <w:szCs w:val="22"/>
        </w:rPr>
        <w:t>, stanje 31.12.2022.</w:t>
      </w:r>
      <w:r w:rsidR="00E72C72" w:rsidRPr="007F0E49">
        <w:rPr>
          <w:rFonts w:ascii="Arial" w:hAnsi="Arial" w:cs="Arial"/>
          <w:sz w:val="22"/>
          <w:szCs w:val="22"/>
        </w:rPr>
        <w:t>)</w:t>
      </w:r>
      <w:r w:rsidR="00FD0CAD" w:rsidRPr="007F0E49">
        <w:rPr>
          <w:rFonts w:ascii="Arial" w:hAnsi="Arial" w:cs="Arial"/>
          <w:sz w:val="22"/>
          <w:szCs w:val="22"/>
        </w:rPr>
        <w:t>.</w:t>
      </w:r>
    </w:p>
    <w:p w:rsidR="0052447D" w:rsidRPr="007F0E49" w:rsidRDefault="0052447D" w:rsidP="000E69DA">
      <w:pPr>
        <w:jc w:val="both"/>
        <w:rPr>
          <w:rFonts w:ascii="Arial" w:hAnsi="Arial" w:cs="Arial"/>
          <w:i/>
          <w:iCs/>
          <w:sz w:val="22"/>
          <w:szCs w:val="22"/>
          <w:u w:val="single"/>
        </w:rPr>
      </w:pPr>
    </w:p>
    <w:p w:rsidR="008F0246" w:rsidRPr="007F0E49" w:rsidRDefault="000E69DA" w:rsidP="000E69DA">
      <w:pPr>
        <w:jc w:val="both"/>
        <w:rPr>
          <w:rFonts w:ascii="Arial" w:hAnsi="Arial" w:cs="Arial"/>
          <w:sz w:val="22"/>
          <w:szCs w:val="22"/>
        </w:rPr>
      </w:pPr>
      <w:r w:rsidRPr="007F0E49">
        <w:rPr>
          <w:rFonts w:ascii="Arial" w:hAnsi="Arial" w:cs="Arial"/>
          <w:i/>
          <w:iCs/>
          <w:sz w:val="22"/>
          <w:szCs w:val="22"/>
          <w:u w:val="single"/>
        </w:rPr>
        <w:t>Potraživanje za prihode poslovanja</w:t>
      </w:r>
      <w:r w:rsidRPr="007F0E49">
        <w:rPr>
          <w:rFonts w:ascii="Arial" w:hAnsi="Arial" w:cs="Arial"/>
          <w:sz w:val="22"/>
          <w:szCs w:val="22"/>
          <w:u w:val="single"/>
        </w:rPr>
        <w:t xml:space="preserve"> </w:t>
      </w:r>
      <w:r w:rsidRPr="007F0E49">
        <w:rPr>
          <w:rFonts w:ascii="Arial" w:hAnsi="Arial" w:cs="Arial"/>
          <w:i/>
          <w:sz w:val="22"/>
          <w:szCs w:val="22"/>
          <w:u w:val="single"/>
        </w:rPr>
        <w:t>(</w:t>
      </w:r>
      <w:r w:rsidR="00BA1EFA" w:rsidRPr="007F0E49">
        <w:rPr>
          <w:rFonts w:ascii="Arial" w:hAnsi="Arial" w:cs="Arial"/>
          <w:i/>
          <w:sz w:val="22"/>
          <w:szCs w:val="22"/>
          <w:u w:val="single"/>
        </w:rPr>
        <w:t>16</w:t>
      </w:r>
      <w:r w:rsidRPr="007F0E49">
        <w:rPr>
          <w:rFonts w:ascii="Arial" w:hAnsi="Arial" w:cs="Arial"/>
          <w:sz w:val="22"/>
          <w:szCs w:val="22"/>
        </w:rPr>
        <w:t>)</w:t>
      </w:r>
      <w:r w:rsidRPr="007F0E49">
        <w:rPr>
          <w:rFonts w:ascii="Arial" w:hAnsi="Arial" w:cs="Arial"/>
          <w:color w:val="FF0000"/>
          <w:sz w:val="22"/>
          <w:szCs w:val="22"/>
        </w:rPr>
        <w:t xml:space="preserve"> </w:t>
      </w:r>
      <w:r w:rsidRPr="007F0E49">
        <w:rPr>
          <w:rFonts w:ascii="Arial" w:hAnsi="Arial" w:cs="Arial"/>
          <w:sz w:val="22"/>
          <w:szCs w:val="22"/>
        </w:rPr>
        <w:t xml:space="preserve">– stanje ukupnog potraživanja za </w:t>
      </w:r>
      <w:r w:rsidR="00652BB1" w:rsidRPr="007F0E49">
        <w:rPr>
          <w:rFonts w:ascii="Arial" w:hAnsi="Arial" w:cs="Arial"/>
          <w:sz w:val="22"/>
          <w:szCs w:val="22"/>
        </w:rPr>
        <w:t>prihode poslovanja na 31.</w:t>
      </w:r>
      <w:r w:rsidR="002A25BE" w:rsidRPr="007F0E49">
        <w:rPr>
          <w:rFonts w:ascii="Arial" w:hAnsi="Arial" w:cs="Arial"/>
          <w:sz w:val="22"/>
          <w:szCs w:val="22"/>
        </w:rPr>
        <w:t xml:space="preserve"> prosinca </w:t>
      </w:r>
      <w:r w:rsidR="0031277F" w:rsidRPr="007F0E49">
        <w:rPr>
          <w:rFonts w:ascii="Arial" w:hAnsi="Arial" w:cs="Arial"/>
          <w:sz w:val="22"/>
          <w:szCs w:val="22"/>
        </w:rPr>
        <w:t>2022</w:t>
      </w:r>
      <w:r w:rsidRPr="007F0E49">
        <w:rPr>
          <w:rFonts w:ascii="Arial" w:hAnsi="Arial" w:cs="Arial"/>
          <w:sz w:val="22"/>
          <w:szCs w:val="22"/>
        </w:rPr>
        <w:t xml:space="preserve">. </w:t>
      </w:r>
      <w:r w:rsidR="002A25BE" w:rsidRPr="007F0E49">
        <w:rPr>
          <w:rFonts w:ascii="Arial" w:hAnsi="Arial" w:cs="Arial"/>
          <w:sz w:val="22"/>
          <w:szCs w:val="22"/>
        </w:rPr>
        <w:t xml:space="preserve">godine </w:t>
      </w:r>
      <w:r w:rsidRPr="007F0E49">
        <w:rPr>
          <w:rFonts w:ascii="Arial" w:hAnsi="Arial" w:cs="Arial"/>
          <w:sz w:val="22"/>
          <w:szCs w:val="22"/>
        </w:rPr>
        <w:t xml:space="preserve">iznosi </w:t>
      </w:r>
      <w:r w:rsidR="0031277F" w:rsidRPr="007F0E49">
        <w:rPr>
          <w:rFonts w:ascii="Arial" w:hAnsi="Arial" w:cs="Arial"/>
          <w:sz w:val="22"/>
          <w:szCs w:val="22"/>
        </w:rPr>
        <w:t>86.870.</w:t>
      </w:r>
      <w:r w:rsidR="00342522" w:rsidRPr="007F0E49">
        <w:rPr>
          <w:rFonts w:ascii="Arial" w:hAnsi="Arial" w:cs="Arial"/>
          <w:sz w:val="22"/>
          <w:szCs w:val="22"/>
        </w:rPr>
        <w:t>498,26</w:t>
      </w:r>
      <w:r w:rsidRPr="007F0E49">
        <w:rPr>
          <w:rFonts w:ascii="Arial" w:hAnsi="Arial" w:cs="Arial"/>
          <w:sz w:val="22"/>
          <w:szCs w:val="22"/>
        </w:rPr>
        <w:t xml:space="preserve"> kn</w:t>
      </w:r>
      <w:r w:rsidR="00F05820" w:rsidRPr="007F0E49">
        <w:rPr>
          <w:rFonts w:ascii="Arial" w:hAnsi="Arial" w:cs="Arial"/>
          <w:sz w:val="22"/>
          <w:szCs w:val="22"/>
        </w:rPr>
        <w:t xml:space="preserve"> (odnosno </w:t>
      </w:r>
      <w:r w:rsidR="00342522" w:rsidRPr="007F0E49">
        <w:rPr>
          <w:rFonts w:ascii="Arial" w:hAnsi="Arial" w:cs="Arial"/>
          <w:sz w:val="22"/>
          <w:szCs w:val="22"/>
        </w:rPr>
        <w:t>203.931.138,05</w:t>
      </w:r>
      <w:r w:rsidR="00F05820" w:rsidRPr="007F0E49">
        <w:rPr>
          <w:rFonts w:ascii="Arial" w:hAnsi="Arial" w:cs="Arial"/>
          <w:sz w:val="22"/>
          <w:szCs w:val="22"/>
        </w:rPr>
        <w:t xml:space="preserve"> kn bez uključenog </w:t>
      </w:r>
      <w:r w:rsidR="00B76898" w:rsidRPr="007F0E49">
        <w:rPr>
          <w:rFonts w:ascii="Arial" w:hAnsi="Arial" w:cs="Arial"/>
          <w:sz w:val="22"/>
          <w:szCs w:val="22"/>
        </w:rPr>
        <w:t xml:space="preserve">propisanog </w:t>
      </w:r>
      <w:r w:rsidR="00F05820" w:rsidRPr="007F0E49">
        <w:rPr>
          <w:rFonts w:ascii="Arial" w:hAnsi="Arial" w:cs="Arial"/>
          <w:sz w:val="22"/>
          <w:szCs w:val="22"/>
        </w:rPr>
        <w:t>ispravka vrijednosti)</w:t>
      </w:r>
      <w:r w:rsidRPr="007F0E49">
        <w:rPr>
          <w:rFonts w:ascii="Arial" w:hAnsi="Arial" w:cs="Arial"/>
          <w:sz w:val="22"/>
          <w:szCs w:val="22"/>
        </w:rPr>
        <w:t xml:space="preserve"> i u odnosu na </w:t>
      </w:r>
      <w:r w:rsidR="000A0F8A" w:rsidRPr="007F0E49">
        <w:rPr>
          <w:rFonts w:ascii="Arial" w:hAnsi="Arial" w:cs="Arial"/>
          <w:sz w:val="22"/>
          <w:szCs w:val="22"/>
        </w:rPr>
        <w:t xml:space="preserve">isto razdoblje </w:t>
      </w:r>
      <w:r w:rsidRPr="007F0E49">
        <w:rPr>
          <w:rFonts w:ascii="Arial" w:hAnsi="Arial" w:cs="Arial"/>
          <w:sz w:val="22"/>
          <w:szCs w:val="22"/>
        </w:rPr>
        <w:t>prethodn</w:t>
      </w:r>
      <w:r w:rsidR="000A0F8A" w:rsidRPr="007F0E49">
        <w:rPr>
          <w:rFonts w:ascii="Arial" w:hAnsi="Arial" w:cs="Arial"/>
          <w:sz w:val="22"/>
          <w:szCs w:val="22"/>
        </w:rPr>
        <w:t>e</w:t>
      </w:r>
      <w:r w:rsidRPr="007F0E49">
        <w:rPr>
          <w:rFonts w:ascii="Arial" w:hAnsi="Arial" w:cs="Arial"/>
          <w:sz w:val="22"/>
          <w:szCs w:val="22"/>
        </w:rPr>
        <w:t xml:space="preserve"> godin</w:t>
      </w:r>
      <w:r w:rsidR="000A0F8A" w:rsidRPr="007F0E49">
        <w:rPr>
          <w:rFonts w:ascii="Arial" w:hAnsi="Arial" w:cs="Arial"/>
          <w:sz w:val="22"/>
          <w:szCs w:val="22"/>
        </w:rPr>
        <w:t>e,</w:t>
      </w:r>
      <w:r w:rsidRPr="007F0E49">
        <w:rPr>
          <w:rFonts w:ascii="Arial" w:hAnsi="Arial" w:cs="Arial"/>
          <w:sz w:val="22"/>
          <w:szCs w:val="22"/>
        </w:rPr>
        <w:t xml:space="preserve"> </w:t>
      </w:r>
      <w:r w:rsidR="00141FE6" w:rsidRPr="007F0E49">
        <w:rPr>
          <w:rFonts w:ascii="Arial" w:hAnsi="Arial" w:cs="Arial"/>
          <w:sz w:val="22"/>
          <w:szCs w:val="22"/>
        </w:rPr>
        <w:t>potraživanja su</w:t>
      </w:r>
      <w:r w:rsidR="00AC544B" w:rsidRPr="007F0E49">
        <w:rPr>
          <w:rFonts w:ascii="Arial" w:hAnsi="Arial" w:cs="Arial"/>
          <w:sz w:val="22"/>
          <w:szCs w:val="22"/>
        </w:rPr>
        <w:t xml:space="preserve"> veća za</w:t>
      </w:r>
      <w:r w:rsidRPr="007F0E49">
        <w:rPr>
          <w:rFonts w:ascii="Arial" w:hAnsi="Arial" w:cs="Arial"/>
          <w:sz w:val="22"/>
          <w:szCs w:val="22"/>
        </w:rPr>
        <w:t xml:space="preserve"> </w:t>
      </w:r>
      <w:r w:rsidR="00AC544B" w:rsidRPr="007F0E49">
        <w:rPr>
          <w:rFonts w:ascii="Arial" w:hAnsi="Arial" w:cs="Arial"/>
          <w:sz w:val="22"/>
          <w:szCs w:val="22"/>
        </w:rPr>
        <w:t>1.951.447</w:t>
      </w:r>
      <w:r w:rsidR="00E53E4D" w:rsidRPr="007F0E49">
        <w:rPr>
          <w:rFonts w:ascii="Arial" w:hAnsi="Arial" w:cs="Arial"/>
          <w:sz w:val="22"/>
          <w:szCs w:val="22"/>
        </w:rPr>
        <w:t>,</w:t>
      </w:r>
      <w:r w:rsidR="009A18A4" w:rsidRPr="007F0E49">
        <w:rPr>
          <w:rFonts w:ascii="Arial" w:hAnsi="Arial" w:cs="Arial"/>
          <w:sz w:val="22"/>
          <w:szCs w:val="22"/>
        </w:rPr>
        <w:t>26</w:t>
      </w:r>
      <w:r w:rsidR="00652BB1" w:rsidRPr="007F0E49">
        <w:rPr>
          <w:rFonts w:ascii="Arial" w:hAnsi="Arial" w:cs="Arial"/>
          <w:sz w:val="22"/>
          <w:szCs w:val="22"/>
        </w:rPr>
        <w:t xml:space="preserve"> </w:t>
      </w:r>
      <w:r w:rsidR="00B978F4" w:rsidRPr="007F0E49">
        <w:rPr>
          <w:rFonts w:ascii="Arial" w:hAnsi="Arial" w:cs="Arial"/>
          <w:sz w:val="22"/>
          <w:szCs w:val="22"/>
        </w:rPr>
        <w:t xml:space="preserve">kn </w:t>
      </w:r>
      <w:r w:rsidR="00F05820" w:rsidRPr="007F0E49">
        <w:rPr>
          <w:rFonts w:ascii="Arial" w:hAnsi="Arial" w:cs="Arial"/>
          <w:sz w:val="22"/>
          <w:szCs w:val="22"/>
        </w:rPr>
        <w:t xml:space="preserve">ili </w:t>
      </w:r>
      <w:r w:rsidR="009A18A4" w:rsidRPr="007F0E49">
        <w:rPr>
          <w:rFonts w:ascii="Arial" w:hAnsi="Arial" w:cs="Arial"/>
          <w:sz w:val="22"/>
          <w:szCs w:val="22"/>
        </w:rPr>
        <w:t>2,3</w:t>
      </w:r>
      <w:r w:rsidRPr="007F0E49">
        <w:rPr>
          <w:rFonts w:ascii="Arial" w:hAnsi="Arial" w:cs="Arial"/>
          <w:sz w:val="22"/>
          <w:szCs w:val="22"/>
        </w:rPr>
        <w:t>%</w:t>
      </w:r>
      <w:r w:rsidR="00BA3B46" w:rsidRPr="007F0E49">
        <w:rPr>
          <w:rFonts w:ascii="Arial" w:hAnsi="Arial" w:cs="Arial"/>
          <w:sz w:val="22"/>
          <w:szCs w:val="22"/>
        </w:rPr>
        <w:t>.</w:t>
      </w:r>
      <w:r w:rsidRPr="007F0E49">
        <w:rPr>
          <w:rFonts w:ascii="Arial" w:hAnsi="Arial" w:cs="Arial"/>
          <w:sz w:val="22"/>
          <w:szCs w:val="22"/>
        </w:rPr>
        <w:t xml:space="preserve"> </w:t>
      </w:r>
    </w:p>
    <w:p w:rsidR="00F05820" w:rsidRPr="007F0E49" w:rsidRDefault="000E69DA" w:rsidP="000E69DA">
      <w:pPr>
        <w:jc w:val="both"/>
        <w:rPr>
          <w:rFonts w:ascii="Arial" w:hAnsi="Arial" w:cs="Arial"/>
          <w:bCs/>
          <w:sz w:val="22"/>
          <w:szCs w:val="22"/>
        </w:rPr>
      </w:pPr>
      <w:r w:rsidRPr="007F0E49">
        <w:rPr>
          <w:rFonts w:ascii="Arial" w:hAnsi="Arial" w:cs="Arial"/>
          <w:sz w:val="22"/>
          <w:szCs w:val="22"/>
        </w:rPr>
        <w:t xml:space="preserve">Na datum bilance dospjelo je </w:t>
      </w:r>
      <w:r w:rsidR="00342522" w:rsidRPr="007F0E49">
        <w:rPr>
          <w:rFonts w:ascii="Arial" w:hAnsi="Arial" w:cs="Arial"/>
          <w:sz w:val="22"/>
          <w:szCs w:val="22"/>
        </w:rPr>
        <w:t>54.984.151,89</w:t>
      </w:r>
      <w:r w:rsidR="00F05820" w:rsidRPr="007F0E49">
        <w:rPr>
          <w:rFonts w:ascii="Arial" w:hAnsi="Arial" w:cs="Arial"/>
          <w:bCs/>
          <w:sz w:val="22"/>
          <w:szCs w:val="22"/>
        </w:rPr>
        <w:t xml:space="preserve"> kn (odnosno </w:t>
      </w:r>
      <w:r w:rsidR="00342522" w:rsidRPr="007F0E49">
        <w:rPr>
          <w:rFonts w:ascii="Arial" w:hAnsi="Arial" w:cs="Arial"/>
          <w:bCs/>
          <w:sz w:val="22"/>
          <w:szCs w:val="22"/>
        </w:rPr>
        <w:t>172.044.791,68</w:t>
      </w:r>
      <w:r w:rsidR="00F05820" w:rsidRPr="007F0E49">
        <w:rPr>
          <w:rFonts w:ascii="Arial" w:hAnsi="Arial" w:cs="Arial"/>
          <w:bCs/>
          <w:sz w:val="22"/>
          <w:szCs w:val="22"/>
        </w:rPr>
        <w:t xml:space="preserve"> kn bez uključenog ispravka vrijednosti),</w:t>
      </w:r>
      <w:r w:rsidRPr="007F0E49">
        <w:rPr>
          <w:rFonts w:ascii="Arial" w:hAnsi="Arial" w:cs="Arial"/>
          <w:bCs/>
          <w:sz w:val="22"/>
          <w:szCs w:val="22"/>
        </w:rPr>
        <w:t xml:space="preserve"> a nedospjelo </w:t>
      </w:r>
      <w:r w:rsidR="00342522" w:rsidRPr="007F0E49">
        <w:rPr>
          <w:rFonts w:ascii="Arial" w:hAnsi="Arial" w:cs="Arial"/>
          <w:bCs/>
          <w:sz w:val="22"/>
          <w:szCs w:val="22"/>
        </w:rPr>
        <w:t xml:space="preserve">31.886.346,37 </w:t>
      </w:r>
      <w:r w:rsidRPr="007F0E49">
        <w:rPr>
          <w:rFonts w:ascii="Arial" w:hAnsi="Arial" w:cs="Arial"/>
          <w:bCs/>
          <w:sz w:val="22"/>
          <w:szCs w:val="22"/>
        </w:rPr>
        <w:t>kn potraživanja za prihode poslovanja.</w:t>
      </w:r>
    </w:p>
    <w:p w:rsidR="000E69DA" w:rsidRPr="007F0E49" w:rsidRDefault="000E69DA" w:rsidP="000E69DA">
      <w:pPr>
        <w:jc w:val="both"/>
        <w:rPr>
          <w:rFonts w:ascii="Arial" w:hAnsi="Arial" w:cs="Arial"/>
          <w:bCs/>
          <w:sz w:val="22"/>
          <w:szCs w:val="22"/>
        </w:rPr>
      </w:pPr>
      <w:r w:rsidRPr="007F0E49">
        <w:rPr>
          <w:rFonts w:ascii="Arial" w:hAnsi="Arial" w:cs="Arial"/>
          <w:bCs/>
          <w:sz w:val="22"/>
          <w:szCs w:val="22"/>
        </w:rPr>
        <w:t xml:space="preserve">Od dospjelih potraživanja vrijednosno </w:t>
      </w:r>
      <w:r w:rsidR="00C853A1" w:rsidRPr="007F0E49">
        <w:rPr>
          <w:rFonts w:ascii="Arial" w:hAnsi="Arial" w:cs="Arial"/>
          <w:bCs/>
          <w:sz w:val="22"/>
          <w:szCs w:val="22"/>
        </w:rPr>
        <w:t xml:space="preserve">su </w:t>
      </w:r>
      <w:r w:rsidRPr="007F0E49">
        <w:rPr>
          <w:rFonts w:ascii="Arial" w:hAnsi="Arial" w:cs="Arial"/>
          <w:bCs/>
          <w:sz w:val="22"/>
          <w:szCs w:val="22"/>
        </w:rPr>
        <w:t>najznačajnija nenaplaćena potraživanja za komunalnu naknadu</w:t>
      </w:r>
      <w:r w:rsidR="002A0D7A" w:rsidRPr="007F0E49">
        <w:rPr>
          <w:rFonts w:ascii="Arial" w:hAnsi="Arial" w:cs="Arial"/>
          <w:bCs/>
          <w:sz w:val="22"/>
          <w:szCs w:val="22"/>
        </w:rPr>
        <w:t xml:space="preserve"> (</w:t>
      </w:r>
      <w:r w:rsidR="00342522" w:rsidRPr="007F0E49">
        <w:rPr>
          <w:rFonts w:ascii="Arial" w:hAnsi="Arial" w:cs="Arial"/>
          <w:bCs/>
          <w:sz w:val="22"/>
          <w:szCs w:val="22"/>
        </w:rPr>
        <w:t>12.284.695,76</w:t>
      </w:r>
      <w:r w:rsidR="00F05820" w:rsidRPr="007F0E49">
        <w:rPr>
          <w:rFonts w:ascii="Arial" w:hAnsi="Arial" w:cs="Arial"/>
          <w:bCs/>
          <w:sz w:val="22"/>
          <w:szCs w:val="22"/>
        </w:rPr>
        <w:t xml:space="preserve"> kn, o</w:t>
      </w:r>
      <w:r w:rsidR="00B76898" w:rsidRPr="007F0E49">
        <w:rPr>
          <w:rFonts w:ascii="Arial" w:hAnsi="Arial" w:cs="Arial"/>
          <w:bCs/>
          <w:sz w:val="22"/>
          <w:szCs w:val="22"/>
        </w:rPr>
        <w:t>d</w:t>
      </w:r>
      <w:r w:rsidR="00F05820" w:rsidRPr="007F0E49">
        <w:rPr>
          <w:rFonts w:ascii="Arial" w:hAnsi="Arial" w:cs="Arial"/>
          <w:bCs/>
          <w:sz w:val="22"/>
          <w:szCs w:val="22"/>
        </w:rPr>
        <w:t xml:space="preserve">nosno </w:t>
      </w:r>
      <w:r w:rsidR="00342522" w:rsidRPr="007F0E49">
        <w:rPr>
          <w:rFonts w:ascii="Arial" w:hAnsi="Arial" w:cs="Arial"/>
          <w:bCs/>
          <w:sz w:val="22"/>
          <w:szCs w:val="22"/>
        </w:rPr>
        <w:t>37.794.234,27</w:t>
      </w:r>
      <w:r w:rsidR="00F05820" w:rsidRPr="007F0E49">
        <w:rPr>
          <w:rFonts w:ascii="Arial" w:hAnsi="Arial" w:cs="Arial"/>
          <w:bCs/>
          <w:sz w:val="22"/>
          <w:szCs w:val="22"/>
        </w:rPr>
        <w:t xml:space="preserve"> </w:t>
      </w:r>
      <w:r w:rsidRPr="007F0E49">
        <w:rPr>
          <w:rFonts w:ascii="Arial" w:hAnsi="Arial" w:cs="Arial"/>
          <w:bCs/>
          <w:sz w:val="22"/>
          <w:szCs w:val="22"/>
        </w:rPr>
        <w:t>kn</w:t>
      </w:r>
      <w:r w:rsidR="00F05820" w:rsidRPr="007F0E49">
        <w:rPr>
          <w:rFonts w:ascii="Arial" w:hAnsi="Arial" w:cs="Arial"/>
          <w:bCs/>
          <w:sz w:val="22"/>
          <w:szCs w:val="22"/>
        </w:rPr>
        <w:t xml:space="preserve"> bez uključenog ispravka vrijednosti</w:t>
      </w:r>
      <w:r w:rsidRPr="007F0E49">
        <w:rPr>
          <w:rFonts w:ascii="Arial" w:hAnsi="Arial" w:cs="Arial"/>
          <w:bCs/>
          <w:sz w:val="22"/>
          <w:szCs w:val="22"/>
        </w:rPr>
        <w:t>), potraživanja za zakupninu poslovnih prostora (</w:t>
      </w:r>
      <w:r w:rsidR="00342522" w:rsidRPr="007F0E49">
        <w:rPr>
          <w:rFonts w:ascii="Arial" w:hAnsi="Arial" w:cs="Arial"/>
          <w:bCs/>
          <w:sz w:val="22"/>
          <w:szCs w:val="22"/>
        </w:rPr>
        <w:t>5.953.489,99</w:t>
      </w:r>
      <w:r w:rsidR="00D42827" w:rsidRPr="007F0E49">
        <w:rPr>
          <w:rFonts w:ascii="Arial" w:hAnsi="Arial" w:cs="Arial"/>
          <w:bCs/>
          <w:sz w:val="22"/>
          <w:szCs w:val="22"/>
        </w:rPr>
        <w:t xml:space="preserve"> kn,</w:t>
      </w:r>
      <w:r w:rsidR="00F05820" w:rsidRPr="007F0E49">
        <w:rPr>
          <w:rFonts w:ascii="Arial" w:hAnsi="Arial" w:cs="Arial"/>
          <w:bCs/>
          <w:sz w:val="22"/>
          <w:szCs w:val="22"/>
        </w:rPr>
        <w:t xml:space="preserve"> odnosno </w:t>
      </w:r>
      <w:r w:rsidR="00342522" w:rsidRPr="007F0E49">
        <w:rPr>
          <w:rFonts w:ascii="Arial" w:hAnsi="Arial" w:cs="Arial"/>
          <w:bCs/>
          <w:sz w:val="22"/>
          <w:szCs w:val="22"/>
        </w:rPr>
        <w:t>14.989.091,30</w:t>
      </w:r>
      <w:r w:rsidR="00F05820" w:rsidRPr="007F0E49">
        <w:rPr>
          <w:rFonts w:ascii="Arial" w:hAnsi="Arial" w:cs="Arial"/>
          <w:bCs/>
          <w:sz w:val="22"/>
          <w:szCs w:val="22"/>
        </w:rPr>
        <w:t xml:space="preserve"> kn bez uključenog ispravka vrijednosti)</w:t>
      </w:r>
      <w:r w:rsidRPr="007F0E49">
        <w:rPr>
          <w:rFonts w:ascii="Arial" w:hAnsi="Arial" w:cs="Arial"/>
          <w:bCs/>
          <w:sz w:val="22"/>
          <w:szCs w:val="22"/>
        </w:rPr>
        <w:t xml:space="preserve"> i potraživanja</w:t>
      </w:r>
      <w:r w:rsidR="00115321" w:rsidRPr="007F0E49">
        <w:rPr>
          <w:rFonts w:ascii="Arial" w:hAnsi="Arial" w:cs="Arial"/>
          <w:bCs/>
          <w:sz w:val="22"/>
          <w:szCs w:val="22"/>
        </w:rPr>
        <w:t xml:space="preserve"> za porez na promet nekretnina</w:t>
      </w:r>
      <w:r w:rsidRPr="007F0E49">
        <w:rPr>
          <w:rFonts w:ascii="Arial" w:hAnsi="Arial" w:cs="Arial"/>
          <w:bCs/>
          <w:sz w:val="22"/>
          <w:szCs w:val="22"/>
        </w:rPr>
        <w:t xml:space="preserve"> (</w:t>
      </w:r>
      <w:r w:rsidR="009D5A10" w:rsidRPr="007F0E49">
        <w:rPr>
          <w:rFonts w:ascii="Arial" w:hAnsi="Arial" w:cs="Arial"/>
          <w:bCs/>
          <w:sz w:val="22"/>
          <w:szCs w:val="22"/>
        </w:rPr>
        <w:t>3.129.727,12</w:t>
      </w:r>
      <w:r w:rsidR="007C7ADE" w:rsidRPr="007F0E49">
        <w:rPr>
          <w:rFonts w:ascii="Arial" w:hAnsi="Arial" w:cs="Arial"/>
          <w:bCs/>
          <w:sz w:val="22"/>
          <w:szCs w:val="22"/>
        </w:rPr>
        <w:t xml:space="preserve"> kn, odnosno </w:t>
      </w:r>
      <w:r w:rsidR="009D5A10" w:rsidRPr="007F0E49">
        <w:rPr>
          <w:rFonts w:ascii="Arial" w:hAnsi="Arial" w:cs="Arial"/>
          <w:bCs/>
          <w:sz w:val="22"/>
          <w:szCs w:val="22"/>
        </w:rPr>
        <w:t>10.887.134,98</w:t>
      </w:r>
      <w:r w:rsidR="00F05820" w:rsidRPr="007F0E49">
        <w:rPr>
          <w:rFonts w:ascii="Arial" w:hAnsi="Arial" w:cs="Arial"/>
          <w:bCs/>
          <w:sz w:val="22"/>
          <w:szCs w:val="22"/>
        </w:rPr>
        <w:t xml:space="preserve"> kn bez uključenog ispravka vrijednosti</w:t>
      </w:r>
      <w:r w:rsidRPr="007F0E49">
        <w:rPr>
          <w:rFonts w:ascii="Arial" w:hAnsi="Arial" w:cs="Arial"/>
          <w:bCs/>
          <w:sz w:val="22"/>
          <w:szCs w:val="22"/>
        </w:rPr>
        <w:t>).</w:t>
      </w:r>
    </w:p>
    <w:p w:rsidR="000E69DA" w:rsidRPr="007F0E49" w:rsidRDefault="000E69DA" w:rsidP="000E69DA">
      <w:pPr>
        <w:jc w:val="both"/>
        <w:rPr>
          <w:rFonts w:ascii="Arial" w:hAnsi="Arial" w:cs="Arial"/>
          <w:sz w:val="22"/>
          <w:szCs w:val="22"/>
        </w:rPr>
      </w:pPr>
    </w:p>
    <w:p w:rsidR="000E69DA" w:rsidRPr="007F0E49" w:rsidRDefault="000E69DA" w:rsidP="000E69DA">
      <w:pPr>
        <w:jc w:val="both"/>
        <w:rPr>
          <w:rFonts w:ascii="Arial" w:hAnsi="Arial" w:cs="Arial"/>
          <w:sz w:val="22"/>
          <w:szCs w:val="22"/>
        </w:rPr>
      </w:pPr>
      <w:r w:rsidRPr="007F0E49">
        <w:rPr>
          <w:rFonts w:ascii="Arial" w:hAnsi="Arial" w:cs="Arial"/>
          <w:i/>
          <w:sz w:val="22"/>
          <w:szCs w:val="22"/>
          <w:u w:val="single"/>
        </w:rPr>
        <w:t>Potraživanja od prodaje nefinancijske imovine</w:t>
      </w:r>
      <w:r w:rsidR="007E5904" w:rsidRPr="007F0E49">
        <w:rPr>
          <w:rFonts w:ascii="Arial" w:hAnsi="Arial" w:cs="Arial"/>
          <w:sz w:val="22"/>
          <w:szCs w:val="22"/>
          <w:u w:val="single"/>
        </w:rPr>
        <w:t xml:space="preserve"> </w:t>
      </w:r>
      <w:r w:rsidR="007E5904" w:rsidRPr="007F0E49">
        <w:rPr>
          <w:rFonts w:ascii="Arial" w:hAnsi="Arial" w:cs="Arial"/>
          <w:i/>
          <w:sz w:val="22"/>
          <w:szCs w:val="22"/>
          <w:u w:val="single"/>
        </w:rPr>
        <w:t>(</w:t>
      </w:r>
      <w:r w:rsidR="00BA1EFA" w:rsidRPr="007F0E49">
        <w:rPr>
          <w:rFonts w:ascii="Arial" w:hAnsi="Arial" w:cs="Arial"/>
          <w:i/>
          <w:sz w:val="22"/>
          <w:szCs w:val="22"/>
          <w:u w:val="single"/>
        </w:rPr>
        <w:t>17</w:t>
      </w:r>
      <w:r w:rsidRPr="007F0E49">
        <w:rPr>
          <w:rFonts w:ascii="Arial" w:hAnsi="Arial" w:cs="Arial"/>
          <w:i/>
          <w:sz w:val="22"/>
          <w:szCs w:val="22"/>
          <w:u w:val="single"/>
        </w:rPr>
        <w:t>)</w:t>
      </w:r>
      <w:r w:rsidRPr="007F0E49">
        <w:rPr>
          <w:rFonts w:ascii="Arial" w:hAnsi="Arial" w:cs="Arial"/>
          <w:sz w:val="22"/>
          <w:szCs w:val="22"/>
        </w:rPr>
        <w:t xml:space="preserve"> iznose </w:t>
      </w:r>
      <w:r w:rsidR="009D5A10" w:rsidRPr="007F0E49">
        <w:rPr>
          <w:rFonts w:ascii="Arial" w:hAnsi="Arial" w:cs="Arial"/>
          <w:sz w:val="22"/>
          <w:szCs w:val="22"/>
        </w:rPr>
        <w:t>53.652.127,66</w:t>
      </w:r>
      <w:r w:rsidR="00F05820" w:rsidRPr="007F0E49">
        <w:rPr>
          <w:rFonts w:ascii="Arial" w:hAnsi="Arial" w:cs="Arial"/>
          <w:sz w:val="22"/>
          <w:szCs w:val="22"/>
        </w:rPr>
        <w:t xml:space="preserve"> kn (odnosno </w:t>
      </w:r>
      <w:r w:rsidR="009D5A10" w:rsidRPr="007F0E49">
        <w:rPr>
          <w:rFonts w:ascii="Arial" w:hAnsi="Arial" w:cs="Arial"/>
          <w:sz w:val="22"/>
          <w:szCs w:val="22"/>
        </w:rPr>
        <w:t>57.148.598,75</w:t>
      </w:r>
      <w:r w:rsidRPr="007F0E49">
        <w:rPr>
          <w:rFonts w:ascii="Arial" w:hAnsi="Arial" w:cs="Arial"/>
          <w:sz w:val="22"/>
          <w:szCs w:val="22"/>
        </w:rPr>
        <w:t xml:space="preserve"> kn</w:t>
      </w:r>
      <w:r w:rsidR="00F05820" w:rsidRPr="007F0E49">
        <w:rPr>
          <w:rFonts w:ascii="Arial" w:hAnsi="Arial" w:cs="Arial"/>
          <w:sz w:val="22"/>
          <w:szCs w:val="22"/>
        </w:rPr>
        <w:t xml:space="preserve"> bez uključenog ispravka vrijednosti)</w:t>
      </w:r>
      <w:r w:rsidRPr="007F0E49">
        <w:rPr>
          <w:rFonts w:ascii="Arial" w:hAnsi="Arial" w:cs="Arial"/>
          <w:sz w:val="22"/>
          <w:szCs w:val="22"/>
        </w:rPr>
        <w:t xml:space="preserve"> i u odnosu na prethodnu godinu </w:t>
      </w:r>
      <w:r w:rsidR="006E474F" w:rsidRPr="007F0E49">
        <w:rPr>
          <w:rFonts w:ascii="Arial" w:hAnsi="Arial" w:cs="Arial"/>
          <w:sz w:val="22"/>
          <w:szCs w:val="22"/>
        </w:rPr>
        <w:t>veća su za 68,7</w:t>
      </w:r>
      <w:r w:rsidR="009D5A10" w:rsidRPr="007F0E49">
        <w:rPr>
          <w:rFonts w:ascii="Arial" w:hAnsi="Arial" w:cs="Arial"/>
          <w:sz w:val="22"/>
          <w:szCs w:val="22"/>
        </w:rPr>
        <w:t>%,</w:t>
      </w:r>
      <w:r w:rsidRPr="007F0E49">
        <w:rPr>
          <w:rFonts w:ascii="Arial" w:hAnsi="Arial" w:cs="Arial"/>
          <w:sz w:val="22"/>
          <w:szCs w:val="22"/>
        </w:rPr>
        <w:t xml:space="preserve"> odnosno </w:t>
      </w:r>
      <w:r w:rsidR="00981CE8" w:rsidRPr="007F0E49">
        <w:rPr>
          <w:rFonts w:ascii="Arial" w:hAnsi="Arial" w:cs="Arial"/>
          <w:sz w:val="22"/>
          <w:szCs w:val="22"/>
        </w:rPr>
        <w:t xml:space="preserve">apsolutno iskazano, </w:t>
      </w:r>
      <w:r w:rsidRPr="007F0E49">
        <w:rPr>
          <w:rFonts w:ascii="Arial" w:hAnsi="Arial" w:cs="Arial"/>
          <w:sz w:val="22"/>
          <w:szCs w:val="22"/>
        </w:rPr>
        <w:t xml:space="preserve">za </w:t>
      </w:r>
      <w:r w:rsidR="009A18A4" w:rsidRPr="007F0E49">
        <w:rPr>
          <w:rFonts w:ascii="Arial" w:hAnsi="Arial" w:cs="Arial"/>
          <w:sz w:val="22"/>
          <w:szCs w:val="22"/>
        </w:rPr>
        <w:t>21.842.060,66</w:t>
      </w:r>
      <w:r w:rsidRPr="007F0E49">
        <w:rPr>
          <w:rFonts w:ascii="Arial" w:hAnsi="Arial" w:cs="Arial"/>
          <w:sz w:val="22"/>
          <w:szCs w:val="22"/>
        </w:rPr>
        <w:t xml:space="preserve"> kn.</w:t>
      </w:r>
    </w:p>
    <w:p w:rsidR="00C91D5E" w:rsidRPr="007F0E49" w:rsidRDefault="00662BB6" w:rsidP="008B2EFD">
      <w:pPr>
        <w:jc w:val="both"/>
        <w:rPr>
          <w:rFonts w:ascii="Arial" w:hAnsi="Arial" w:cs="Arial"/>
          <w:sz w:val="22"/>
          <w:szCs w:val="22"/>
        </w:rPr>
      </w:pPr>
      <w:r w:rsidRPr="007F0E49">
        <w:rPr>
          <w:rFonts w:ascii="Arial" w:hAnsi="Arial" w:cs="Arial"/>
          <w:sz w:val="22"/>
          <w:szCs w:val="22"/>
        </w:rPr>
        <w:t>Većem p</w:t>
      </w:r>
      <w:r w:rsidR="00B76898" w:rsidRPr="007F0E49">
        <w:rPr>
          <w:rFonts w:ascii="Arial" w:hAnsi="Arial" w:cs="Arial"/>
          <w:sz w:val="22"/>
          <w:szCs w:val="22"/>
        </w:rPr>
        <w:t xml:space="preserve">orastu </w:t>
      </w:r>
      <w:r w:rsidRPr="007F0E49">
        <w:rPr>
          <w:rFonts w:ascii="Arial" w:hAnsi="Arial" w:cs="Arial"/>
          <w:sz w:val="22"/>
          <w:szCs w:val="22"/>
        </w:rPr>
        <w:t xml:space="preserve">nedospjelog </w:t>
      </w:r>
      <w:r w:rsidR="00B76898" w:rsidRPr="007F0E49">
        <w:rPr>
          <w:rFonts w:ascii="Arial" w:hAnsi="Arial" w:cs="Arial"/>
          <w:sz w:val="22"/>
          <w:szCs w:val="22"/>
        </w:rPr>
        <w:t xml:space="preserve">stanja potraživanja </w:t>
      </w:r>
      <w:r w:rsidR="00927074" w:rsidRPr="007F0E49">
        <w:rPr>
          <w:rFonts w:ascii="Arial" w:hAnsi="Arial" w:cs="Arial"/>
          <w:sz w:val="22"/>
          <w:szCs w:val="22"/>
        </w:rPr>
        <w:t xml:space="preserve">od prodaje nefinancijske imovine </w:t>
      </w:r>
      <w:r w:rsidR="00B76898" w:rsidRPr="007F0E49">
        <w:rPr>
          <w:rFonts w:ascii="Arial" w:hAnsi="Arial" w:cs="Arial"/>
          <w:sz w:val="22"/>
          <w:szCs w:val="22"/>
        </w:rPr>
        <w:t xml:space="preserve">doprinosi </w:t>
      </w:r>
      <w:r w:rsidR="009D5A10" w:rsidRPr="007F0E49">
        <w:rPr>
          <w:rFonts w:ascii="Arial" w:hAnsi="Arial" w:cs="Arial"/>
          <w:sz w:val="22"/>
          <w:szCs w:val="22"/>
        </w:rPr>
        <w:t>prodaj</w:t>
      </w:r>
      <w:r w:rsidR="00927074" w:rsidRPr="007F0E49">
        <w:rPr>
          <w:rFonts w:ascii="Arial" w:hAnsi="Arial" w:cs="Arial"/>
          <w:sz w:val="22"/>
          <w:szCs w:val="22"/>
        </w:rPr>
        <w:t>a</w:t>
      </w:r>
      <w:r w:rsidR="009D5A10" w:rsidRPr="007F0E49">
        <w:rPr>
          <w:rFonts w:ascii="Arial" w:hAnsi="Arial" w:cs="Arial"/>
          <w:sz w:val="22"/>
          <w:szCs w:val="22"/>
        </w:rPr>
        <w:t xml:space="preserve"> nekretnina za izgradnju</w:t>
      </w:r>
      <w:r w:rsidR="00B76898" w:rsidRPr="007F0E49">
        <w:rPr>
          <w:rFonts w:ascii="Arial" w:hAnsi="Arial" w:cs="Arial"/>
          <w:sz w:val="22"/>
          <w:szCs w:val="22"/>
        </w:rPr>
        <w:t xml:space="preserve"> višenamjenske građevine „</w:t>
      </w:r>
      <w:r w:rsidR="009D5A10" w:rsidRPr="007F0E49">
        <w:rPr>
          <w:rFonts w:ascii="Arial" w:hAnsi="Arial" w:cs="Arial"/>
          <w:sz w:val="22"/>
          <w:szCs w:val="22"/>
        </w:rPr>
        <w:t>Kompleks Žabica“</w:t>
      </w:r>
      <w:r w:rsidR="00927074" w:rsidRPr="007F0E49">
        <w:rPr>
          <w:rFonts w:ascii="Arial" w:hAnsi="Arial" w:cs="Arial"/>
          <w:sz w:val="22"/>
          <w:szCs w:val="22"/>
        </w:rPr>
        <w:t>,</w:t>
      </w:r>
      <w:r w:rsidR="009D5A10" w:rsidRPr="007F0E49">
        <w:rPr>
          <w:rFonts w:ascii="Arial" w:hAnsi="Arial" w:cs="Arial"/>
          <w:sz w:val="22"/>
          <w:szCs w:val="22"/>
        </w:rPr>
        <w:t xml:space="preserve"> </w:t>
      </w:r>
      <w:r w:rsidR="00927074" w:rsidRPr="007F0E49">
        <w:rPr>
          <w:rFonts w:ascii="Arial" w:hAnsi="Arial" w:cs="Arial"/>
          <w:sz w:val="22"/>
          <w:szCs w:val="22"/>
        </w:rPr>
        <w:t>temeljem Odluke Gradskog vijeća Grada Rijeke od 21. srpnja 2022. (Službene novine Grada Rijeke, broj 10/22)</w:t>
      </w:r>
      <w:r w:rsidR="004F07A9" w:rsidRPr="007F0E49">
        <w:rPr>
          <w:rFonts w:ascii="Arial" w:hAnsi="Arial" w:cs="Arial"/>
          <w:sz w:val="22"/>
          <w:szCs w:val="22"/>
        </w:rPr>
        <w:t>.</w:t>
      </w:r>
      <w:r w:rsidR="009D5A10" w:rsidRPr="007F0E49">
        <w:rPr>
          <w:rFonts w:ascii="Arial" w:hAnsi="Arial" w:cs="Arial"/>
          <w:sz w:val="22"/>
          <w:szCs w:val="22"/>
        </w:rPr>
        <w:t xml:space="preserve"> </w:t>
      </w:r>
    </w:p>
    <w:p w:rsidR="004F07A9" w:rsidRPr="007F0E49" w:rsidRDefault="004F07A9" w:rsidP="008B2EFD">
      <w:pPr>
        <w:jc w:val="both"/>
        <w:rPr>
          <w:rFonts w:ascii="Arial" w:hAnsi="Arial" w:cs="Arial"/>
          <w:color w:val="1F497D"/>
          <w:sz w:val="22"/>
          <w:szCs w:val="22"/>
        </w:rPr>
      </w:pPr>
    </w:p>
    <w:p w:rsidR="00F05820" w:rsidRPr="007F0E49" w:rsidRDefault="000E69DA" w:rsidP="000E69DA">
      <w:pPr>
        <w:jc w:val="both"/>
        <w:rPr>
          <w:rFonts w:ascii="Arial" w:hAnsi="Arial" w:cs="Arial"/>
          <w:bCs/>
          <w:sz w:val="22"/>
          <w:szCs w:val="22"/>
        </w:rPr>
      </w:pPr>
      <w:r w:rsidRPr="007F0E49">
        <w:rPr>
          <w:rFonts w:ascii="Arial" w:hAnsi="Arial" w:cs="Arial"/>
          <w:sz w:val="22"/>
          <w:szCs w:val="22"/>
        </w:rPr>
        <w:t xml:space="preserve">Na datum bilance dospjelo je </w:t>
      </w:r>
      <w:r w:rsidR="002140F2" w:rsidRPr="007F0E49">
        <w:rPr>
          <w:rFonts w:ascii="Arial" w:hAnsi="Arial" w:cs="Arial"/>
          <w:sz w:val="22"/>
          <w:szCs w:val="22"/>
        </w:rPr>
        <w:t>1.419.442,23</w:t>
      </w:r>
      <w:r w:rsidRPr="007F0E49">
        <w:rPr>
          <w:rFonts w:ascii="Arial" w:hAnsi="Arial" w:cs="Arial"/>
          <w:bCs/>
          <w:sz w:val="22"/>
          <w:szCs w:val="22"/>
        </w:rPr>
        <w:t xml:space="preserve"> kn</w:t>
      </w:r>
      <w:r w:rsidR="00F05820" w:rsidRPr="007F0E49">
        <w:rPr>
          <w:rFonts w:ascii="Arial" w:hAnsi="Arial" w:cs="Arial"/>
          <w:bCs/>
          <w:sz w:val="22"/>
          <w:szCs w:val="22"/>
        </w:rPr>
        <w:t xml:space="preserve"> (odnosno </w:t>
      </w:r>
      <w:r w:rsidR="002140F2" w:rsidRPr="007F0E49">
        <w:rPr>
          <w:rFonts w:ascii="Arial" w:hAnsi="Arial" w:cs="Arial"/>
          <w:bCs/>
          <w:sz w:val="22"/>
          <w:szCs w:val="22"/>
        </w:rPr>
        <w:t>4.915.913,32</w:t>
      </w:r>
      <w:r w:rsidR="00F05820" w:rsidRPr="007F0E49">
        <w:rPr>
          <w:rFonts w:ascii="Arial" w:hAnsi="Arial" w:cs="Arial"/>
          <w:bCs/>
          <w:sz w:val="22"/>
          <w:szCs w:val="22"/>
        </w:rPr>
        <w:t xml:space="preserve"> kn bez uključenog ispravka vrijednosti)</w:t>
      </w:r>
      <w:r w:rsidRPr="007F0E49">
        <w:rPr>
          <w:rFonts w:ascii="Arial" w:hAnsi="Arial" w:cs="Arial"/>
          <w:bCs/>
          <w:sz w:val="22"/>
          <w:szCs w:val="22"/>
        </w:rPr>
        <w:t xml:space="preserve">, a nedospjelo </w:t>
      </w:r>
      <w:r w:rsidR="002140F2" w:rsidRPr="007F0E49">
        <w:rPr>
          <w:rFonts w:ascii="Arial" w:hAnsi="Arial" w:cs="Arial"/>
          <w:bCs/>
          <w:sz w:val="22"/>
          <w:szCs w:val="22"/>
        </w:rPr>
        <w:t>52.232.685,43</w:t>
      </w:r>
      <w:r w:rsidRPr="007F0E49">
        <w:rPr>
          <w:rFonts w:ascii="Arial" w:hAnsi="Arial" w:cs="Arial"/>
          <w:bCs/>
          <w:sz w:val="22"/>
          <w:szCs w:val="22"/>
        </w:rPr>
        <w:t xml:space="preserve"> kn potraživanja za prihode od prodaje nefinancijske imovine. </w:t>
      </w:r>
    </w:p>
    <w:p w:rsidR="007C7ADE" w:rsidRPr="007F0E49" w:rsidRDefault="007C7ADE" w:rsidP="000E69DA">
      <w:pPr>
        <w:jc w:val="both"/>
        <w:rPr>
          <w:rFonts w:ascii="Arial" w:hAnsi="Arial" w:cs="Arial"/>
          <w:bCs/>
          <w:sz w:val="22"/>
          <w:szCs w:val="22"/>
        </w:rPr>
      </w:pPr>
    </w:p>
    <w:p w:rsidR="000E69DA" w:rsidRPr="007F0E49" w:rsidRDefault="000E69DA" w:rsidP="000E69DA">
      <w:pPr>
        <w:jc w:val="both"/>
        <w:rPr>
          <w:rFonts w:ascii="Arial" w:hAnsi="Arial" w:cs="Arial"/>
          <w:bCs/>
          <w:sz w:val="22"/>
          <w:szCs w:val="22"/>
        </w:rPr>
      </w:pPr>
      <w:r w:rsidRPr="007F0E49">
        <w:rPr>
          <w:rFonts w:ascii="Arial" w:hAnsi="Arial" w:cs="Arial"/>
          <w:bCs/>
          <w:sz w:val="22"/>
          <w:szCs w:val="22"/>
        </w:rPr>
        <w:t>Od dospjelih potraživanja vrijednosno najznačajnija su potraživanja za prihode od prodaje stanova na kojima postoji stanarsko pravo (</w:t>
      </w:r>
      <w:r w:rsidR="002140F2" w:rsidRPr="007F0E49">
        <w:rPr>
          <w:rFonts w:ascii="Arial" w:hAnsi="Arial" w:cs="Arial"/>
          <w:bCs/>
          <w:sz w:val="22"/>
          <w:szCs w:val="22"/>
        </w:rPr>
        <w:t>469.216,82</w:t>
      </w:r>
      <w:r w:rsidRPr="007F0E49">
        <w:rPr>
          <w:rFonts w:ascii="Arial" w:hAnsi="Arial" w:cs="Arial"/>
          <w:bCs/>
          <w:sz w:val="22"/>
          <w:szCs w:val="22"/>
        </w:rPr>
        <w:t xml:space="preserve"> kn</w:t>
      </w:r>
      <w:r w:rsidR="00D42827" w:rsidRPr="007F0E49">
        <w:rPr>
          <w:rFonts w:ascii="Arial" w:hAnsi="Arial" w:cs="Arial"/>
          <w:bCs/>
          <w:sz w:val="22"/>
          <w:szCs w:val="22"/>
        </w:rPr>
        <w:t>,</w:t>
      </w:r>
      <w:r w:rsidR="00F05820" w:rsidRPr="007F0E49">
        <w:rPr>
          <w:rFonts w:ascii="Arial" w:hAnsi="Arial" w:cs="Arial"/>
          <w:bCs/>
          <w:sz w:val="22"/>
          <w:szCs w:val="22"/>
        </w:rPr>
        <w:t xml:space="preserve"> odnosno </w:t>
      </w:r>
      <w:r w:rsidR="002140F2" w:rsidRPr="007F0E49">
        <w:rPr>
          <w:rFonts w:ascii="Arial" w:hAnsi="Arial" w:cs="Arial"/>
          <w:bCs/>
          <w:sz w:val="22"/>
          <w:szCs w:val="22"/>
        </w:rPr>
        <w:t>3.015.038,59</w:t>
      </w:r>
      <w:r w:rsidR="00F05820" w:rsidRPr="007F0E49">
        <w:rPr>
          <w:rFonts w:ascii="Arial" w:hAnsi="Arial" w:cs="Arial"/>
          <w:bCs/>
          <w:sz w:val="22"/>
          <w:szCs w:val="22"/>
        </w:rPr>
        <w:t xml:space="preserve"> kn bez uključenog ispravka vrijednosti</w:t>
      </w:r>
      <w:r w:rsidRPr="007F0E49">
        <w:rPr>
          <w:rFonts w:ascii="Arial" w:hAnsi="Arial" w:cs="Arial"/>
          <w:bCs/>
          <w:sz w:val="22"/>
          <w:szCs w:val="22"/>
        </w:rPr>
        <w:t>)</w:t>
      </w:r>
      <w:r w:rsidR="001C534B" w:rsidRPr="007F0E49">
        <w:rPr>
          <w:rFonts w:ascii="Arial" w:hAnsi="Arial" w:cs="Arial"/>
          <w:bCs/>
          <w:sz w:val="22"/>
          <w:szCs w:val="22"/>
        </w:rPr>
        <w:t xml:space="preserve"> i nenaplaćena potraživanja za prihode od prodaje zemljišta (</w:t>
      </w:r>
      <w:r w:rsidR="002140F2" w:rsidRPr="007F0E49">
        <w:rPr>
          <w:rFonts w:ascii="Arial" w:hAnsi="Arial" w:cs="Arial"/>
          <w:bCs/>
          <w:sz w:val="22"/>
          <w:szCs w:val="22"/>
        </w:rPr>
        <w:t>904.054,53</w:t>
      </w:r>
      <w:r w:rsidR="00F05820" w:rsidRPr="007F0E49">
        <w:rPr>
          <w:rFonts w:ascii="Arial" w:hAnsi="Arial" w:cs="Arial"/>
          <w:bCs/>
          <w:sz w:val="22"/>
          <w:szCs w:val="22"/>
        </w:rPr>
        <w:t xml:space="preserve"> kn,</w:t>
      </w:r>
      <w:r w:rsidR="00884B37" w:rsidRPr="007F0E49">
        <w:rPr>
          <w:rFonts w:ascii="Arial" w:hAnsi="Arial" w:cs="Arial"/>
          <w:bCs/>
          <w:sz w:val="22"/>
          <w:szCs w:val="22"/>
        </w:rPr>
        <w:t xml:space="preserve"> </w:t>
      </w:r>
      <w:r w:rsidR="00F05820" w:rsidRPr="007F0E49">
        <w:rPr>
          <w:rFonts w:ascii="Arial" w:hAnsi="Arial" w:cs="Arial"/>
          <w:bCs/>
          <w:sz w:val="22"/>
          <w:szCs w:val="22"/>
        </w:rPr>
        <w:t xml:space="preserve">odnosno </w:t>
      </w:r>
      <w:r w:rsidR="002140F2" w:rsidRPr="007F0E49">
        <w:rPr>
          <w:rFonts w:ascii="Arial" w:hAnsi="Arial" w:cs="Arial"/>
          <w:bCs/>
          <w:sz w:val="22"/>
          <w:szCs w:val="22"/>
        </w:rPr>
        <w:t>1.347.823,22</w:t>
      </w:r>
      <w:r w:rsidR="00F05820" w:rsidRPr="007F0E49">
        <w:rPr>
          <w:rFonts w:ascii="Arial" w:hAnsi="Arial" w:cs="Arial"/>
          <w:bCs/>
          <w:sz w:val="22"/>
          <w:szCs w:val="22"/>
        </w:rPr>
        <w:t xml:space="preserve"> kn bez uključenog ispravka vrijednosti </w:t>
      </w:r>
      <w:r w:rsidR="001C534B" w:rsidRPr="007F0E49">
        <w:rPr>
          <w:rFonts w:ascii="Arial" w:hAnsi="Arial" w:cs="Arial"/>
          <w:bCs/>
          <w:sz w:val="22"/>
          <w:szCs w:val="22"/>
        </w:rPr>
        <w:t>).</w:t>
      </w:r>
    </w:p>
    <w:p w:rsidR="000E69DA" w:rsidRPr="007F0E49" w:rsidRDefault="000E69DA" w:rsidP="000E69DA">
      <w:pPr>
        <w:jc w:val="both"/>
        <w:rPr>
          <w:rFonts w:ascii="Arial" w:hAnsi="Arial" w:cs="Arial"/>
          <w:b/>
          <w:bCs/>
          <w:sz w:val="22"/>
          <w:szCs w:val="22"/>
          <w:highlight w:val="yellow"/>
        </w:rPr>
      </w:pPr>
    </w:p>
    <w:p w:rsidR="007D1C9B" w:rsidRPr="007F0E49" w:rsidRDefault="007D1C9B" w:rsidP="000E69DA">
      <w:pPr>
        <w:jc w:val="both"/>
        <w:rPr>
          <w:rFonts w:ascii="Arial" w:hAnsi="Arial" w:cs="Arial"/>
          <w:bCs/>
          <w:sz w:val="22"/>
          <w:szCs w:val="22"/>
          <w:highlight w:val="yellow"/>
          <w:u w:val="single"/>
        </w:rPr>
      </w:pPr>
    </w:p>
    <w:p w:rsidR="000E69DA" w:rsidRPr="007F0E49" w:rsidRDefault="000E69DA" w:rsidP="000E69DA">
      <w:pPr>
        <w:jc w:val="both"/>
        <w:rPr>
          <w:rFonts w:ascii="Arial" w:hAnsi="Arial" w:cs="Arial"/>
          <w:bCs/>
          <w:sz w:val="22"/>
          <w:szCs w:val="22"/>
          <w:u w:val="single"/>
        </w:rPr>
      </w:pPr>
      <w:r w:rsidRPr="007F0E49">
        <w:rPr>
          <w:rFonts w:ascii="Arial" w:hAnsi="Arial" w:cs="Arial"/>
          <w:bCs/>
          <w:sz w:val="22"/>
          <w:szCs w:val="22"/>
          <w:u w:val="single"/>
        </w:rPr>
        <w:t>ISPRAVAK VRIJEDNOSTI POTRAŽIVANJA</w:t>
      </w:r>
      <w:r w:rsidR="00884B37" w:rsidRPr="007F0E49">
        <w:rPr>
          <w:rFonts w:ascii="Arial" w:hAnsi="Arial" w:cs="Arial"/>
          <w:bCs/>
          <w:sz w:val="22"/>
          <w:szCs w:val="22"/>
          <w:u w:val="single"/>
        </w:rPr>
        <w:t xml:space="preserve"> </w:t>
      </w:r>
    </w:p>
    <w:p w:rsidR="000E69DA" w:rsidRPr="007F0E49" w:rsidRDefault="000E69DA" w:rsidP="000E69DA">
      <w:pPr>
        <w:jc w:val="both"/>
        <w:rPr>
          <w:rFonts w:ascii="Arial" w:hAnsi="Arial" w:cs="Arial"/>
          <w:bCs/>
          <w:sz w:val="22"/>
          <w:szCs w:val="22"/>
        </w:rPr>
      </w:pPr>
    </w:p>
    <w:p w:rsidR="000E69DA" w:rsidRPr="007F0E49" w:rsidRDefault="000E69DA" w:rsidP="000E69DA">
      <w:pPr>
        <w:shd w:val="clear" w:color="auto" w:fill="FFFFFF"/>
        <w:jc w:val="both"/>
        <w:rPr>
          <w:rFonts w:ascii="Arial" w:hAnsi="Arial" w:cs="Arial"/>
          <w:sz w:val="22"/>
          <w:szCs w:val="22"/>
        </w:rPr>
      </w:pPr>
      <w:r w:rsidRPr="007F0E49">
        <w:rPr>
          <w:rFonts w:ascii="Arial" w:hAnsi="Arial" w:cs="Arial"/>
          <w:sz w:val="22"/>
          <w:szCs w:val="22"/>
        </w:rPr>
        <w:t>Grad Rijeka je, temeljem članka 37.</w:t>
      </w:r>
      <w:r w:rsidR="002B638C" w:rsidRPr="007F0E49">
        <w:rPr>
          <w:rFonts w:ascii="Arial" w:hAnsi="Arial" w:cs="Arial"/>
          <w:sz w:val="22"/>
          <w:szCs w:val="22"/>
        </w:rPr>
        <w:t xml:space="preserve"> </w:t>
      </w:r>
      <w:r w:rsidRPr="007F0E49">
        <w:rPr>
          <w:rFonts w:ascii="Arial" w:hAnsi="Arial" w:cs="Arial"/>
          <w:sz w:val="22"/>
          <w:szCs w:val="22"/>
        </w:rPr>
        <w:t xml:space="preserve">a) Pravilnika o proračunskom računovodstvu i Računskom planu, proveo propisani ispravak vrijednosti potraživanja u iznosu od </w:t>
      </w:r>
      <w:r w:rsidR="002140F2" w:rsidRPr="007F0E49">
        <w:rPr>
          <w:rFonts w:ascii="Arial" w:hAnsi="Arial" w:cs="Arial"/>
          <w:b/>
          <w:sz w:val="22"/>
          <w:szCs w:val="22"/>
        </w:rPr>
        <w:t>122.178.274,88</w:t>
      </w:r>
      <w:r w:rsidRPr="007F0E49">
        <w:rPr>
          <w:rFonts w:ascii="Arial" w:hAnsi="Arial" w:cs="Arial"/>
          <w:b/>
          <w:sz w:val="22"/>
          <w:szCs w:val="22"/>
        </w:rPr>
        <w:t xml:space="preserve"> kn</w:t>
      </w:r>
      <w:r w:rsidRPr="007F0E49">
        <w:rPr>
          <w:rFonts w:ascii="Arial" w:hAnsi="Arial" w:cs="Arial"/>
          <w:sz w:val="22"/>
          <w:szCs w:val="22"/>
        </w:rPr>
        <w:t xml:space="preserve">. Prema podacima </w:t>
      </w:r>
      <w:r w:rsidR="007152AA" w:rsidRPr="007F0E49">
        <w:rPr>
          <w:rFonts w:ascii="Arial" w:hAnsi="Arial" w:cs="Arial"/>
          <w:sz w:val="22"/>
          <w:szCs w:val="22"/>
        </w:rPr>
        <w:t>analitičkog knjigovodstva</w:t>
      </w:r>
      <w:r w:rsidRPr="007F0E49">
        <w:rPr>
          <w:rFonts w:ascii="Arial" w:hAnsi="Arial" w:cs="Arial"/>
          <w:sz w:val="22"/>
          <w:szCs w:val="22"/>
        </w:rPr>
        <w:t>, uzimajući u obzir kašnjenje u naplati preko godine dana te pokretanje stečajnog i/ili likvidacijskog postupka nad dužnikom, proveden je ispravak vrijednosti potraživanja i to:</w:t>
      </w:r>
    </w:p>
    <w:p w:rsidR="000E69DA" w:rsidRPr="007F0E49" w:rsidRDefault="000E69DA" w:rsidP="000E69DA">
      <w:pPr>
        <w:shd w:val="clear" w:color="auto" w:fill="FFFFFF"/>
        <w:jc w:val="both"/>
        <w:rPr>
          <w:rFonts w:ascii="Arial" w:hAnsi="Arial" w:cs="Arial"/>
          <w:sz w:val="22"/>
          <w:szCs w:val="22"/>
        </w:rPr>
      </w:pPr>
    </w:p>
    <w:p w:rsidR="000E69DA" w:rsidRPr="007F0E49" w:rsidRDefault="000E69DA" w:rsidP="00D907B7">
      <w:pPr>
        <w:numPr>
          <w:ilvl w:val="0"/>
          <w:numId w:val="13"/>
        </w:numPr>
        <w:shd w:val="clear" w:color="auto" w:fill="FFFFFF"/>
        <w:spacing w:after="160" w:line="259" w:lineRule="auto"/>
        <w:jc w:val="both"/>
        <w:rPr>
          <w:rFonts w:ascii="Arial" w:hAnsi="Arial" w:cs="Arial"/>
          <w:sz w:val="22"/>
          <w:szCs w:val="22"/>
        </w:rPr>
      </w:pPr>
      <w:r w:rsidRPr="007F0E49">
        <w:rPr>
          <w:rFonts w:ascii="Arial" w:hAnsi="Arial" w:cs="Arial"/>
          <w:sz w:val="22"/>
          <w:szCs w:val="22"/>
        </w:rPr>
        <w:t xml:space="preserve">potraživanja za dane zajmove u iznosu od </w:t>
      </w:r>
      <w:r w:rsidR="002140F2" w:rsidRPr="007F0E49">
        <w:rPr>
          <w:rFonts w:ascii="Arial" w:hAnsi="Arial" w:cs="Arial"/>
          <w:sz w:val="22"/>
          <w:szCs w:val="22"/>
        </w:rPr>
        <w:t>1.621.164,00</w:t>
      </w:r>
      <w:r w:rsidRPr="007F0E49">
        <w:rPr>
          <w:rFonts w:ascii="Arial" w:hAnsi="Arial" w:cs="Arial"/>
          <w:sz w:val="22"/>
          <w:szCs w:val="22"/>
        </w:rPr>
        <w:t xml:space="preserve"> kn koje se odnosi na kašnjenje u naplati više od tri godine</w:t>
      </w:r>
    </w:p>
    <w:p w:rsidR="000E69DA" w:rsidRPr="007F0E49" w:rsidRDefault="000E69DA" w:rsidP="00D907B7">
      <w:pPr>
        <w:numPr>
          <w:ilvl w:val="0"/>
          <w:numId w:val="13"/>
        </w:numPr>
        <w:shd w:val="clear" w:color="auto" w:fill="FFFFFF"/>
        <w:spacing w:after="160" w:line="259" w:lineRule="auto"/>
        <w:jc w:val="both"/>
        <w:rPr>
          <w:rFonts w:ascii="Arial" w:hAnsi="Arial" w:cs="Arial"/>
          <w:sz w:val="22"/>
          <w:szCs w:val="22"/>
        </w:rPr>
      </w:pPr>
      <w:r w:rsidRPr="007F0E49">
        <w:rPr>
          <w:rFonts w:ascii="Arial" w:hAnsi="Arial" w:cs="Arial"/>
          <w:sz w:val="22"/>
          <w:szCs w:val="22"/>
        </w:rPr>
        <w:lastRenderedPageBreak/>
        <w:t xml:space="preserve">potraživanja za prihode poslovanja u iznosu od </w:t>
      </w:r>
      <w:r w:rsidR="002140F2" w:rsidRPr="007F0E49">
        <w:rPr>
          <w:rFonts w:ascii="Arial" w:hAnsi="Arial" w:cs="Arial"/>
          <w:sz w:val="22"/>
          <w:szCs w:val="22"/>
        </w:rPr>
        <w:t>117.060.639,79</w:t>
      </w:r>
      <w:r w:rsidR="00440D5C" w:rsidRPr="007F0E49">
        <w:rPr>
          <w:rFonts w:ascii="Arial" w:hAnsi="Arial" w:cs="Arial"/>
          <w:sz w:val="22"/>
          <w:szCs w:val="22"/>
        </w:rPr>
        <w:t xml:space="preserve"> kn, od čega se iznos od </w:t>
      </w:r>
      <w:r w:rsidR="002140F2" w:rsidRPr="007F0E49">
        <w:rPr>
          <w:rFonts w:ascii="Arial" w:hAnsi="Arial" w:cs="Arial"/>
          <w:sz w:val="22"/>
          <w:szCs w:val="22"/>
        </w:rPr>
        <w:t>6.367.566,76</w:t>
      </w:r>
      <w:r w:rsidR="00C25B59" w:rsidRPr="007F0E49">
        <w:rPr>
          <w:rFonts w:ascii="Arial" w:hAnsi="Arial" w:cs="Arial"/>
          <w:sz w:val="22"/>
          <w:szCs w:val="22"/>
        </w:rPr>
        <w:t xml:space="preserve"> </w:t>
      </w:r>
      <w:r w:rsidRPr="007F0E49">
        <w:rPr>
          <w:rFonts w:ascii="Arial" w:hAnsi="Arial" w:cs="Arial"/>
          <w:sz w:val="22"/>
          <w:szCs w:val="22"/>
        </w:rPr>
        <w:t xml:space="preserve">kn odnosi na kašnjenje u </w:t>
      </w:r>
      <w:r w:rsidR="00F05820" w:rsidRPr="007F0E49">
        <w:rPr>
          <w:rFonts w:ascii="Arial" w:hAnsi="Arial" w:cs="Arial"/>
          <w:sz w:val="22"/>
          <w:szCs w:val="22"/>
        </w:rPr>
        <w:t xml:space="preserve">naplati od jedne do tri godine, </w:t>
      </w:r>
      <w:r w:rsidRPr="007F0E49">
        <w:rPr>
          <w:rFonts w:ascii="Arial" w:hAnsi="Arial" w:cs="Arial"/>
          <w:sz w:val="22"/>
          <w:szCs w:val="22"/>
        </w:rPr>
        <w:t xml:space="preserve">iznos od </w:t>
      </w:r>
      <w:r w:rsidR="002140F2" w:rsidRPr="007F0E49">
        <w:rPr>
          <w:rFonts w:ascii="Arial" w:hAnsi="Arial" w:cs="Arial"/>
          <w:sz w:val="22"/>
          <w:szCs w:val="22"/>
        </w:rPr>
        <w:t>63.745.159,59</w:t>
      </w:r>
      <w:r w:rsidRPr="007F0E49">
        <w:rPr>
          <w:rFonts w:ascii="Arial" w:hAnsi="Arial" w:cs="Arial"/>
          <w:sz w:val="22"/>
          <w:szCs w:val="22"/>
        </w:rPr>
        <w:t xml:space="preserve"> kn na</w:t>
      </w:r>
      <w:r w:rsidR="00F05820" w:rsidRPr="007F0E49">
        <w:rPr>
          <w:rFonts w:ascii="Arial" w:hAnsi="Arial" w:cs="Arial"/>
          <w:sz w:val="22"/>
          <w:szCs w:val="22"/>
        </w:rPr>
        <w:t xml:space="preserve"> kašnjenje u naplati više od tri godine, a iznos od </w:t>
      </w:r>
      <w:r w:rsidR="002140F2" w:rsidRPr="007F0E49">
        <w:rPr>
          <w:rFonts w:ascii="Arial" w:hAnsi="Arial" w:cs="Arial"/>
          <w:sz w:val="22"/>
          <w:szCs w:val="22"/>
        </w:rPr>
        <w:t>46.947.913,44</w:t>
      </w:r>
      <w:r w:rsidR="00F05820" w:rsidRPr="007F0E49">
        <w:rPr>
          <w:rFonts w:ascii="Arial" w:hAnsi="Arial" w:cs="Arial"/>
          <w:sz w:val="22"/>
          <w:szCs w:val="22"/>
        </w:rPr>
        <w:t xml:space="preserve"> kn na </w:t>
      </w:r>
      <w:r w:rsidRPr="007F0E49">
        <w:rPr>
          <w:rFonts w:ascii="Arial" w:hAnsi="Arial" w:cs="Arial"/>
          <w:sz w:val="22"/>
          <w:szCs w:val="22"/>
        </w:rPr>
        <w:t>potraživanja iz stečajnog i/ili likvidacijskog postupka</w:t>
      </w:r>
    </w:p>
    <w:p w:rsidR="00D4474D" w:rsidRPr="007F0E49" w:rsidRDefault="000E69DA" w:rsidP="000E69DA">
      <w:pPr>
        <w:numPr>
          <w:ilvl w:val="0"/>
          <w:numId w:val="13"/>
        </w:numPr>
        <w:shd w:val="clear" w:color="auto" w:fill="FFFFFF"/>
        <w:spacing w:after="160" w:line="259" w:lineRule="auto"/>
        <w:jc w:val="both"/>
        <w:rPr>
          <w:rFonts w:ascii="Arial" w:hAnsi="Arial" w:cs="Arial"/>
          <w:sz w:val="22"/>
          <w:szCs w:val="22"/>
        </w:rPr>
      </w:pPr>
      <w:r w:rsidRPr="007F0E49">
        <w:rPr>
          <w:rFonts w:ascii="Arial" w:hAnsi="Arial" w:cs="Arial"/>
          <w:sz w:val="22"/>
          <w:szCs w:val="22"/>
        </w:rPr>
        <w:t xml:space="preserve">potraživanja od prodaje nefinancijske imovine u iznosu od </w:t>
      </w:r>
      <w:r w:rsidR="007C7ADE" w:rsidRPr="007F0E49">
        <w:rPr>
          <w:rFonts w:ascii="Arial" w:hAnsi="Arial" w:cs="Arial"/>
          <w:sz w:val="22"/>
          <w:szCs w:val="22"/>
        </w:rPr>
        <w:t>3.496</w:t>
      </w:r>
      <w:r w:rsidR="002140F2" w:rsidRPr="007F0E49">
        <w:rPr>
          <w:rFonts w:ascii="Arial" w:hAnsi="Arial" w:cs="Arial"/>
          <w:sz w:val="22"/>
          <w:szCs w:val="22"/>
        </w:rPr>
        <w:t>.471,09</w:t>
      </w:r>
      <w:r w:rsidRPr="007F0E49">
        <w:rPr>
          <w:rFonts w:ascii="Arial" w:hAnsi="Arial" w:cs="Arial"/>
          <w:sz w:val="22"/>
          <w:szCs w:val="22"/>
        </w:rPr>
        <w:t xml:space="preserve"> kn, od čega se iznos od </w:t>
      </w:r>
      <w:r w:rsidR="002140F2" w:rsidRPr="007F0E49">
        <w:rPr>
          <w:rFonts w:ascii="Arial" w:hAnsi="Arial" w:cs="Arial"/>
          <w:sz w:val="22"/>
          <w:szCs w:val="22"/>
        </w:rPr>
        <w:t>268.126,25</w:t>
      </w:r>
      <w:r w:rsidRPr="007F0E49">
        <w:rPr>
          <w:rFonts w:ascii="Arial" w:hAnsi="Arial" w:cs="Arial"/>
          <w:sz w:val="22"/>
          <w:szCs w:val="22"/>
        </w:rPr>
        <w:t xml:space="preserve"> kn odnosi na kašnjenje u naplati od jedne do tri godine, iznos od </w:t>
      </w:r>
      <w:r w:rsidR="002140F2" w:rsidRPr="007F0E49">
        <w:rPr>
          <w:rFonts w:ascii="Arial" w:hAnsi="Arial" w:cs="Arial"/>
          <w:sz w:val="22"/>
          <w:szCs w:val="22"/>
        </w:rPr>
        <w:t>3.228.344,84</w:t>
      </w:r>
      <w:r w:rsidRPr="007F0E49">
        <w:rPr>
          <w:rFonts w:ascii="Arial" w:hAnsi="Arial" w:cs="Arial"/>
          <w:sz w:val="22"/>
          <w:szCs w:val="22"/>
        </w:rPr>
        <w:t xml:space="preserve"> kn na kašnjenje u naplati više od tri godine</w:t>
      </w:r>
      <w:r w:rsidR="00C25B59" w:rsidRPr="007F0E49">
        <w:rPr>
          <w:rFonts w:ascii="Arial" w:hAnsi="Arial" w:cs="Arial"/>
          <w:sz w:val="22"/>
          <w:szCs w:val="22"/>
        </w:rPr>
        <w:t>.</w:t>
      </w:r>
    </w:p>
    <w:p w:rsidR="00DA60E4" w:rsidRPr="007F0E49" w:rsidRDefault="00DA60E4" w:rsidP="000E69DA">
      <w:pPr>
        <w:shd w:val="clear" w:color="auto" w:fill="FFFFFF"/>
        <w:rPr>
          <w:rFonts w:ascii="Arial" w:hAnsi="Arial" w:cs="Arial"/>
          <w:b/>
          <w:color w:val="FF0000"/>
          <w:sz w:val="22"/>
          <w:szCs w:val="22"/>
          <w:highlight w:val="yellow"/>
          <w:u w:val="single"/>
        </w:rPr>
      </w:pPr>
    </w:p>
    <w:p w:rsidR="000E69DA" w:rsidRDefault="000E69DA" w:rsidP="000E69DA">
      <w:pPr>
        <w:shd w:val="clear" w:color="auto" w:fill="FFFFFF"/>
        <w:rPr>
          <w:rFonts w:ascii="Arial" w:hAnsi="Arial" w:cs="Arial"/>
          <w:sz w:val="22"/>
          <w:szCs w:val="22"/>
          <w:u w:val="single"/>
        </w:rPr>
      </w:pPr>
      <w:r w:rsidRPr="00D41060">
        <w:rPr>
          <w:rFonts w:ascii="Arial" w:hAnsi="Arial" w:cs="Arial"/>
          <w:sz w:val="22"/>
          <w:szCs w:val="22"/>
          <w:u w:val="single"/>
        </w:rPr>
        <w:t>OTPIS POTRAŽIVANJA</w:t>
      </w:r>
      <w:r w:rsidR="00884B37" w:rsidRPr="00D41060">
        <w:rPr>
          <w:rFonts w:ascii="Arial" w:hAnsi="Arial" w:cs="Arial"/>
          <w:sz w:val="22"/>
          <w:szCs w:val="22"/>
          <w:u w:val="single"/>
        </w:rPr>
        <w:t xml:space="preserve"> </w:t>
      </w:r>
    </w:p>
    <w:p w:rsidR="00D41060" w:rsidRPr="00D41060" w:rsidRDefault="00D41060" w:rsidP="000E69DA">
      <w:pPr>
        <w:shd w:val="clear" w:color="auto" w:fill="FFFFFF"/>
        <w:rPr>
          <w:rFonts w:ascii="Arial" w:hAnsi="Arial" w:cs="Arial"/>
          <w:color w:val="FF0000"/>
          <w:sz w:val="22"/>
          <w:szCs w:val="22"/>
          <w:u w:val="single"/>
        </w:rPr>
      </w:pPr>
    </w:p>
    <w:p w:rsidR="004C7F38" w:rsidRPr="007F0E49" w:rsidRDefault="00E70131" w:rsidP="000E69DA">
      <w:pPr>
        <w:ind w:right="140"/>
        <w:jc w:val="both"/>
        <w:rPr>
          <w:rFonts w:ascii="Arial" w:hAnsi="Arial" w:cs="Arial"/>
          <w:bCs/>
          <w:sz w:val="22"/>
          <w:szCs w:val="22"/>
          <w:lang w:eastAsia="en-US"/>
        </w:rPr>
      </w:pPr>
      <w:r w:rsidRPr="007F0E49">
        <w:rPr>
          <w:rFonts w:ascii="Arial" w:hAnsi="Arial" w:cs="Arial"/>
          <w:bCs/>
          <w:sz w:val="22"/>
          <w:szCs w:val="22"/>
          <w:lang w:eastAsia="en-US"/>
        </w:rPr>
        <w:t>Za otpis potraživanja u poslovnim knjigama Grada Rijeke primjenjuju se, u skladu s važećim propisima, usvojeni opći kriteriji i uvjeti za otpis iz Upute o provođenju mjera na</w:t>
      </w:r>
      <w:r w:rsidR="0035625B" w:rsidRPr="007F0E49">
        <w:rPr>
          <w:rFonts w:ascii="Arial" w:hAnsi="Arial" w:cs="Arial"/>
          <w:bCs/>
          <w:sz w:val="22"/>
          <w:szCs w:val="22"/>
          <w:lang w:eastAsia="en-US"/>
        </w:rPr>
        <w:t>plate prihoda Grada Rijeke</w:t>
      </w:r>
      <w:r w:rsidR="00976642" w:rsidRPr="007F0E49">
        <w:rPr>
          <w:rFonts w:ascii="Arial" w:hAnsi="Arial" w:cs="Arial"/>
          <w:bCs/>
          <w:sz w:val="22"/>
          <w:szCs w:val="22"/>
          <w:lang w:eastAsia="en-US"/>
        </w:rPr>
        <w:t>,</w:t>
      </w:r>
      <w:r w:rsidR="0035625B" w:rsidRPr="007F0E49">
        <w:rPr>
          <w:rFonts w:ascii="Arial" w:hAnsi="Arial" w:cs="Arial"/>
          <w:bCs/>
          <w:sz w:val="22"/>
          <w:szCs w:val="22"/>
          <w:lang w:eastAsia="en-US"/>
        </w:rPr>
        <w:t xml:space="preserve"> Klasa: 023-01/20-04/89-66; Urbroj</w:t>
      </w:r>
      <w:r w:rsidRPr="007F0E49">
        <w:rPr>
          <w:rFonts w:ascii="Arial" w:hAnsi="Arial" w:cs="Arial"/>
          <w:bCs/>
          <w:sz w:val="22"/>
          <w:szCs w:val="22"/>
          <w:lang w:eastAsia="en-US"/>
        </w:rPr>
        <w:t>: 2170/01-15-00-20-1 od 14. rujna 2020.</w:t>
      </w:r>
      <w:r w:rsidR="00F31D39" w:rsidRPr="007F0E49">
        <w:rPr>
          <w:rFonts w:ascii="Arial" w:hAnsi="Arial" w:cs="Arial"/>
          <w:bCs/>
          <w:sz w:val="22"/>
          <w:szCs w:val="22"/>
          <w:lang w:eastAsia="en-US"/>
        </w:rPr>
        <w:t xml:space="preserve"> godine</w:t>
      </w:r>
      <w:r w:rsidR="00FB036B" w:rsidRPr="007F0E49">
        <w:rPr>
          <w:rFonts w:ascii="Arial" w:hAnsi="Arial" w:cs="Arial"/>
          <w:bCs/>
          <w:sz w:val="22"/>
          <w:szCs w:val="22"/>
          <w:lang w:eastAsia="en-US"/>
        </w:rPr>
        <w:t xml:space="preserve">. Prema članku 20. navedene </w:t>
      </w:r>
      <w:r w:rsidR="001D1A60" w:rsidRPr="007F0E49">
        <w:rPr>
          <w:rFonts w:ascii="Arial" w:hAnsi="Arial" w:cs="Arial"/>
          <w:bCs/>
          <w:sz w:val="22"/>
          <w:szCs w:val="22"/>
          <w:lang w:eastAsia="en-US"/>
        </w:rPr>
        <w:t>U</w:t>
      </w:r>
      <w:r w:rsidR="00FB036B" w:rsidRPr="007F0E49">
        <w:rPr>
          <w:rFonts w:ascii="Arial" w:hAnsi="Arial" w:cs="Arial"/>
          <w:bCs/>
          <w:sz w:val="22"/>
          <w:szCs w:val="22"/>
          <w:lang w:eastAsia="en-US"/>
        </w:rPr>
        <w:t>pute</w:t>
      </w:r>
      <w:r w:rsidR="0035625B" w:rsidRPr="007F0E49">
        <w:rPr>
          <w:rFonts w:ascii="Arial" w:hAnsi="Arial" w:cs="Arial"/>
          <w:bCs/>
          <w:sz w:val="22"/>
          <w:szCs w:val="22"/>
          <w:lang w:eastAsia="en-US"/>
        </w:rPr>
        <w:t xml:space="preserve"> </w:t>
      </w:r>
      <w:r w:rsidR="00FB036B" w:rsidRPr="007F0E49">
        <w:rPr>
          <w:rFonts w:ascii="Arial" w:hAnsi="Arial" w:cs="Arial"/>
          <w:bCs/>
          <w:sz w:val="22"/>
          <w:szCs w:val="22"/>
          <w:lang w:eastAsia="en-US"/>
        </w:rPr>
        <w:t>otpis potraživanja može se provesti</w:t>
      </w:r>
      <w:r w:rsidR="001D1A60" w:rsidRPr="007F0E49">
        <w:rPr>
          <w:rFonts w:ascii="Arial" w:hAnsi="Arial" w:cs="Arial"/>
          <w:bCs/>
          <w:sz w:val="22"/>
          <w:szCs w:val="22"/>
          <w:lang w:eastAsia="en-US"/>
        </w:rPr>
        <w:t xml:space="preserve">: </w:t>
      </w:r>
      <w:r w:rsidR="00FB036B" w:rsidRPr="007F0E49">
        <w:rPr>
          <w:rFonts w:ascii="Arial" w:hAnsi="Arial" w:cs="Arial"/>
          <w:bCs/>
          <w:sz w:val="22"/>
          <w:szCs w:val="22"/>
          <w:lang w:eastAsia="en-US"/>
        </w:rPr>
        <w:t xml:space="preserve"> </w:t>
      </w:r>
      <w:r w:rsidR="004C7F38" w:rsidRPr="007F0E49">
        <w:rPr>
          <w:rFonts w:ascii="Arial" w:hAnsi="Arial" w:cs="Arial"/>
          <w:bCs/>
          <w:sz w:val="22"/>
          <w:szCs w:val="22"/>
          <w:lang w:eastAsia="en-US"/>
        </w:rPr>
        <w:t>a) na zahtjev dužnika sukladno važećim propisima, b) u slučaju da je za dužnika pravnu osobu doneseno pravomoćno rješenje o brisanju iz odgovarajućeg registra, a dužnik nema pravnih slijednika, c) ako za dužnika postoji pravomoćno rješenje o sklopljenom stečajnom planu, predstečajnom sporazumu ili predstečajnoj nagodbi kojim je utvrđeno da se dug otpisuje, d) ako je sudskom ili izvansudskom nagodbom ili sporazumom s dužnikom utvrđeno da se dužniku dug otpisuje, e) ako je dužnik fizička osoba preminuo, a dug nije moguće naplatiti iz ostavine, f) u slučaju da je nastupila zastara prava na naplatu potraživanja sukladno važećim propisima, g) u drugim slučajevima sukladno važećim propisima</w:t>
      </w:r>
    </w:p>
    <w:p w:rsidR="00EA5627" w:rsidRPr="007F0E49" w:rsidRDefault="000E00DC" w:rsidP="007D1C9B">
      <w:pPr>
        <w:shd w:val="clear" w:color="auto" w:fill="FFFFFF"/>
        <w:jc w:val="both"/>
        <w:rPr>
          <w:rFonts w:ascii="Arial" w:hAnsi="Arial" w:cs="Arial"/>
          <w:sz w:val="22"/>
          <w:szCs w:val="22"/>
        </w:rPr>
      </w:pPr>
      <w:r w:rsidRPr="007F0E49">
        <w:rPr>
          <w:rFonts w:ascii="Arial" w:hAnsi="Arial" w:cs="Arial"/>
          <w:sz w:val="22"/>
          <w:szCs w:val="22"/>
        </w:rPr>
        <w:t>Grad Rijeka je tijekom 2022</w:t>
      </w:r>
      <w:r w:rsidR="000E69DA" w:rsidRPr="007F0E49">
        <w:rPr>
          <w:rFonts w:ascii="Arial" w:hAnsi="Arial" w:cs="Arial"/>
          <w:sz w:val="22"/>
          <w:szCs w:val="22"/>
        </w:rPr>
        <w:t xml:space="preserve">. godine ukupno otpisao </w:t>
      </w:r>
      <w:r w:rsidRPr="007F0E49">
        <w:rPr>
          <w:rFonts w:ascii="Arial" w:hAnsi="Arial" w:cs="Arial"/>
          <w:b/>
          <w:sz w:val="22"/>
          <w:szCs w:val="22"/>
        </w:rPr>
        <w:t>11.147.42</w:t>
      </w:r>
      <w:r w:rsidR="004F07A9" w:rsidRPr="007F0E49">
        <w:rPr>
          <w:rFonts w:ascii="Arial" w:hAnsi="Arial" w:cs="Arial"/>
          <w:b/>
          <w:sz w:val="22"/>
          <w:szCs w:val="22"/>
        </w:rPr>
        <w:t>3</w:t>
      </w:r>
      <w:r w:rsidR="000E69DA" w:rsidRPr="007F0E49">
        <w:rPr>
          <w:rFonts w:ascii="Arial" w:hAnsi="Arial" w:cs="Arial"/>
          <w:b/>
          <w:sz w:val="22"/>
          <w:szCs w:val="22"/>
        </w:rPr>
        <w:t xml:space="preserve"> kn</w:t>
      </w:r>
      <w:r w:rsidR="000E69DA" w:rsidRPr="007F0E49">
        <w:rPr>
          <w:rFonts w:ascii="Arial" w:hAnsi="Arial" w:cs="Arial"/>
          <w:sz w:val="22"/>
          <w:szCs w:val="22"/>
        </w:rPr>
        <w:t xml:space="preserve"> potraživanja. Prema podacima analitičk</w:t>
      </w:r>
      <w:r w:rsidR="007D1C9B" w:rsidRPr="007F0E49">
        <w:rPr>
          <w:rFonts w:ascii="Arial" w:hAnsi="Arial" w:cs="Arial"/>
          <w:sz w:val="22"/>
          <w:szCs w:val="22"/>
        </w:rPr>
        <w:t>og</w:t>
      </w:r>
      <w:r w:rsidR="000E69DA" w:rsidRPr="007F0E49">
        <w:rPr>
          <w:rFonts w:ascii="Arial" w:hAnsi="Arial" w:cs="Arial"/>
          <w:sz w:val="22"/>
          <w:szCs w:val="22"/>
        </w:rPr>
        <w:t xml:space="preserve"> </w:t>
      </w:r>
      <w:r w:rsidR="007D1C9B" w:rsidRPr="007F0E49">
        <w:rPr>
          <w:rFonts w:ascii="Arial" w:hAnsi="Arial" w:cs="Arial"/>
          <w:sz w:val="22"/>
          <w:szCs w:val="22"/>
        </w:rPr>
        <w:t>knjigovodstva</w:t>
      </w:r>
      <w:r w:rsidR="000E69DA" w:rsidRPr="007F0E49">
        <w:rPr>
          <w:rFonts w:ascii="Arial" w:hAnsi="Arial" w:cs="Arial"/>
          <w:sz w:val="22"/>
          <w:szCs w:val="22"/>
        </w:rPr>
        <w:t xml:space="preserve"> otpisano je </w:t>
      </w:r>
      <w:r w:rsidR="00EA5627" w:rsidRPr="007F0E49">
        <w:rPr>
          <w:rFonts w:ascii="Arial" w:hAnsi="Arial" w:cs="Arial"/>
          <w:sz w:val="22"/>
          <w:szCs w:val="22"/>
        </w:rPr>
        <w:t>579.33</w:t>
      </w:r>
      <w:r w:rsidR="004F07A9" w:rsidRPr="007F0E49">
        <w:rPr>
          <w:rFonts w:ascii="Arial" w:hAnsi="Arial" w:cs="Arial"/>
          <w:sz w:val="22"/>
          <w:szCs w:val="22"/>
        </w:rPr>
        <w:t>5</w:t>
      </w:r>
      <w:r w:rsidR="00EA5627" w:rsidRPr="007F0E49">
        <w:rPr>
          <w:rFonts w:ascii="Arial" w:hAnsi="Arial" w:cs="Arial"/>
          <w:sz w:val="22"/>
          <w:szCs w:val="22"/>
        </w:rPr>
        <w:t xml:space="preserve"> kn </w:t>
      </w:r>
      <w:r w:rsidR="000E69DA" w:rsidRPr="007F0E49">
        <w:rPr>
          <w:rFonts w:ascii="Arial" w:hAnsi="Arial" w:cs="Arial"/>
          <w:sz w:val="22"/>
          <w:szCs w:val="22"/>
        </w:rPr>
        <w:t xml:space="preserve">potraživanja za poreze (račun 161), </w:t>
      </w:r>
      <w:r w:rsidR="00EA5627" w:rsidRPr="007F0E49">
        <w:rPr>
          <w:rFonts w:ascii="Arial" w:hAnsi="Arial" w:cs="Arial"/>
          <w:sz w:val="22"/>
          <w:szCs w:val="22"/>
        </w:rPr>
        <w:t>6.620.67</w:t>
      </w:r>
      <w:r w:rsidR="004F07A9" w:rsidRPr="007F0E49">
        <w:rPr>
          <w:rFonts w:ascii="Arial" w:hAnsi="Arial" w:cs="Arial"/>
          <w:sz w:val="22"/>
          <w:szCs w:val="22"/>
        </w:rPr>
        <w:t>2</w:t>
      </w:r>
      <w:r w:rsidR="000E69DA" w:rsidRPr="007F0E49">
        <w:rPr>
          <w:rFonts w:ascii="Arial" w:hAnsi="Arial" w:cs="Arial"/>
          <w:sz w:val="22"/>
          <w:szCs w:val="22"/>
        </w:rPr>
        <w:t xml:space="preserve"> kn potraživanja za prihode od imovine (račun 164, zakup, najamnina, kamata, spomenička renta), </w:t>
      </w:r>
      <w:r w:rsidR="00EA5627" w:rsidRPr="007F0E49">
        <w:rPr>
          <w:rFonts w:ascii="Arial" w:hAnsi="Arial" w:cs="Arial"/>
          <w:sz w:val="22"/>
          <w:szCs w:val="22"/>
        </w:rPr>
        <w:t>2.841.497</w:t>
      </w:r>
      <w:r w:rsidR="000E69DA" w:rsidRPr="007F0E49">
        <w:rPr>
          <w:rFonts w:ascii="Arial" w:hAnsi="Arial" w:cs="Arial"/>
          <w:sz w:val="22"/>
          <w:szCs w:val="22"/>
        </w:rPr>
        <w:t xml:space="preserve"> kn potraživanja za upravne i administrativne pristojbe, pristojbe po posebnim propisima i naknade (račun 165, komunalna naknada</w:t>
      </w:r>
      <w:r w:rsidR="00EA5627" w:rsidRPr="007F0E49">
        <w:rPr>
          <w:rFonts w:ascii="Arial" w:hAnsi="Arial" w:cs="Arial"/>
          <w:sz w:val="22"/>
          <w:szCs w:val="22"/>
        </w:rPr>
        <w:t>, komunalni doprinos)</w:t>
      </w:r>
      <w:r w:rsidR="000E69DA" w:rsidRPr="007F0E49">
        <w:rPr>
          <w:rFonts w:ascii="Arial" w:hAnsi="Arial" w:cs="Arial"/>
          <w:sz w:val="22"/>
          <w:szCs w:val="22"/>
        </w:rPr>
        <w:t xml:space="preserve">, </w:t>
      </w:r>
      <w:r w:rsidR="00EA5627" w:rsidRPr="007F0E49">
        <w:rPr>
          <w:rFonts w:ascii="Arial" w:hAnsi="Arial" w:cs="Arial"/>
          <w:sz w:val="22"/>
          <w:szCs w:val="22"/>
        </w:rPr>
        <w:t>982.88</w:t>
      </w:r>
      <w:r w:rsidR="004F07A9" w:rsidRPr="007F0E49">
        <w:rPr>
          <w:rFonts w:ascii="Arial" w:hAnsi="Arial" w:cs="Arial"/>
          <w:sz w:val="22"/>
          <w:szCs w:val="22"/>
        </w:rPr>
        <w:t>5</w:t>
      </w:r>
      <w:r w:rsidR="000E69DA" w:rsidRPr="007F0E49">
        <w:rPr>
          <w:rFonts w:ascii="Arial" w:hAnsi="Arial" w:cs="Arial"/>
          <w:sz w:val="22"/>
          <w:szCs w:val="22"/>
        </w:rPr>
        <w:t xml:space="preserve"> kn potraživanja za kazne i upravne mjere te ostale prihode (račun 168, refundacije troškova, prekršajni nalozi</w:t>
      </w:r>
      <w:r w:rsidR="00EA5627" w:rsidRPr="007F0E49">
        <w:rPr>
          <w:rFonts w:ascii="Arial" w:hAnsi="Arial" w:cs="Arial"/>
          <w:sz w:val="22"/>
          <w:szCs w:val="22"/>
        </w:rPr>
        <w:t>, preds</w:t>
      </w:r>
      <w:r w:rsidR="004F07A9" w:rsidRPr="007F0E49">
        <w:rPr>
          <w:rFonts w:ascii="Arial" w:hAnsi="Arial" w:cs="Arial"/>
          <w:sz w:val="22"/>
          <w:szCs w:val="22"/>
        </w:rPr>
        <w:t>t</w:t>
      </w:r>
      <w:r w:rsidR="00EA5627" w:rsidRPr="007F0E49">
        <w:rPr>
          <w:rFonts w:ascii="Arial" w:hAnsi="Arial" w:cs="Arial"/>
          <w:sz w:val="22"/>
          <w:szCs w:val="22"/>
        </w:rPr>
        <w:t>ečajne nagodbe)</w:t>
      </w:r>
      <w:r w:rsidR="004F07A9" w:rsidRPr="007F0E49">
        <w:rPr>
          <w:rFonts w:ascii="Arial" w:hAnsi="Arial" w:cs="Arial"/>
          <w:sz w:val="22"/>
          <w:szCs w:val="22"/>
        </w:rPr>
        <w:t>,</w:t>
      </w:r>
      <w:r w:rsidR="00EA5627" w:rsidRPr="007F0E49">
        <w:rPr>
          <w:rFonts w:ascii="Arial" w:hAnsi="Arial" w:cs="Arial"/>
          <w:sz w:val="22"/>
          <w:szCs w:val="22"/>
        </w:rPr>
        <w:t xml:space="preserve"> </w:t>
      </w:r>
      <w:r w:rsidR="004F07A9" w:rsidRPr="007F0E49">
        <w:rPr>
          <w:rFonts w:ascii="Arial" w:hAnsi="Arial" w:cs="Arial"/>
          <w:sz w:val="22"/>
          <w:szCs w:val="22"/>
        </w:rPr>
        <w:t xml:space="preserve">zatim otpisano je </w:t>
      </w:r>
      <w:r w:rsidR="00EA5627" w:rsidRPr="007F0E49">
        <w:rPr>
          <w:rFonts w:ascii="Arial" w:hAnsi="Arial" w:cs="Arial"/>
          <w:sz w:val="22"/>
          <w:szCs w:val="22"/>
        </w:rPr>
        <w:t>42</w:t>
      </w:r>
      <w:r w:rsidR="004F07A9" w:rsidRPr="007F0E49">
        <w:rPr>
          <w:rFonts w:ascii="Arial" w:hAnsi="Arial" w:cs="Arial"/>
          <w:sz w:val="22"/>
          <w:szCs w:val="22"/>
        </w:rPr>
        <w:t>6</w:t>
      </w:r>
      <w:r w:rsidR="00EA5627" w:rsidRPr="007F0E49">
        <w:rPr>
          <w:rFonts w:ascii="Arial" w:hAnsi="Arial" w:cs="Arial"/>
          <w:sz w:val="22"/>
          <w:szCs w:val="22"/>
        </w:rPr>
        <w:t xml:space="preserve"> kn potraživanja od prodaje proizvedene dugotrajne imovine (račun 172, prodaja stanova)</w:t>
      </w:r>
      <w:r w:rsidR="004F07A9" w:rsidRPr="007F0E49">
        <w:rPr>
          <w:rFonts w:ascii="Arial" w:hAnsi="Arial" w:cs="Arial"/>
          <w:sz w:val="22"/>
          <w:szCs w:val="22"/>
        </w:rPr>
        <w:t xml:space="preserve"> i 122.608 kn ostal</w:t>
      </w:r>
      <w:r w:rsidR="003F72E9" w:rsidRPr="007F0E49">
        <w:rPr>
          <w:rFonts w:ascii="Arial" w:hAnsi="Arial" w:cs="Arial"/>
          <w:sz w:val="22"/>
          <w:szCs w:val="22"/>
        </w:rPr>
        <w:t>ih</w:t>
      </w:r>
      <w:r w:rsidR="004F07A9" w:rsidRPr="007F0E49">
        <w:rPr>
          <w:rFonts w:ascii="Arial" w:hAnsi="Arial" w:cs="Arial"/>
          <w:sz w:val="22"/>
          <w:szCs w:val="22"/>
        </w:rPr>
        <w:t xml:space="preserve"> potraživanja (račun 129),</w:t>
      </w:r>
    </w:p>
    <w:p w:rsidR="00CD1599" w:rsidRPr="007F0E49" w:rsidRDefault="003F72E9" w:rsidP="007D1C9B">
      <w:pPr>
        <w:shd w:val="clear" w:color="auto" w:fill="FFFFFF"/>
        <w:jc w:val="both"/>
        <w:rPr>
          <w:rFonts w:ascii="Arial" w:hAnsi="Arial" w:cs="Arial"/>
          <w:sz w:val="22"/>
          <w:szCs w:val="22"/>
        </w:rPr>
      </w:pPr>
      <w:r w:rsidRPr="007F0E49">
        <w:rPr>
          <w:rFonts w:ascii="Arial" w:hAnsi="Arial" w:cs="Arial"/>
          <w:sz w:val="22"/>
          <w:szCs w:val="22"/>
        </w:rPr>
        <w:t>Promatrajući samo glavne skupine, s</w:t>
      </w:r>
      <w:r w:rsidR="000E69DA" w:rsidRPr="007F0E49">
        <w:rPr>
          <w:rFonts w:ascii="Arial" w:hAnsi="Arial" w:cs="Arial"/>
          <w:sz w:val="22"/>
          <w:szCs w:val="22"/>
        </w:rPr>
        <w:t xml:space="preserve">veukupno je otpisano </w:t>
      </w:r>
      <w:r w:rsidR="00EA5627" w:rsidRPr="007F0E49">
        <w:rPr>
          <w:rFonts w:ascii="Arial" w:hAnsi="Arial" w:cs="Arial"/>
          <w:sz w:val="22"/>
          <w:szCs w:val="22"/>
        </w:rPr>
        <w:t xml:space="preserve">122.608 </w:t>
      </w:r>
      <w:r w:rsidR="000E69DA" w:rsidRPr="007F0E49">
        <w:rPr>
          <w:rFonts w:ascii="Arial" w:hAnsi="Arial" w:cs="Arial"/>
          <w:sz w:val="22"/>
          <w:szCs w:val="22"/>
        </w:rPr>
        <w:t xml:space="preserve">kn potraživanja za </w:t>
      </w:r>
      <w:r w:rsidR="00EA5627" w:rsidRPr="007F0E49">
        <w:rPr>
          <w:rFonts w:ascii="Arial" w:hAnsi="Arial" w:cs="Arial"/>
          <w:sz w:val="22"/>
          <w:szCs w:val="22"/>
        </w:rPr>
        <w:t>depozite i os</w:t>
      </w:r>
      <w:r w:rsidR="004F07A9" w:rsidRPr="007F0E49">
        <w:rPr>
          <w:rFonts w:ascii="Arial" w:hAnsi="Arial" w:cs="Arial"/>
          <w:sz w:val="22"/>
          <w:szCs w:val="22"/>
        </w:rPr>
        <w:t>tala nespomenuta potraživanja (</w:t>
      </w:r>
      <w:r w:rsidR="00EA5627" w:rsidRPr="007F0E49">
        <w:rPr>
          <w:rFonts w:ascii="Arial" w:hAnsi="Arial" w:cs="Arial"/>
          <w:sz w:val="22"/>
          <w:szCs w:val="22"/>
        </w:rPr>
        <w:t>skupina računa 12), 11.024.38</w:t>
      </w:r>
      <w:r w:rsidRPr="007F0E49">
        <w:rPr>
          <w:rFonts w:ascii="Arial" w:hAnsi="Arial" w:cs="Arial"/>
          <w:sz w:val="22"/>
          <w:szCs w:val="22"/>
        </w:rPr>
        <w:t>9</w:t>
      </w:r>
      <w:r w:rsidR="00EA5627" w:rsidRPr="007F0E49">
        <w:rPr>
          <w:rFonts w:ascii="Arial" w:hAnsi="Arial" w:cs="Arial"/>
          <w:sz w:val="22"/>
          <w:szCs w:val="22"/>
        </w:rPr>
        <w:t xml:space="preserve"> kn potraživanja za</w:t>
      </w:r>
      <w:r w:rsidRPr="007F0E49">
        <w:rPr>
          <w:rFonts w:ascii="Arial" w:hAnsi="Arial" w:cs="Arial"/>
          <w:sz w:val="22"/>
          <w:szCs w:val="22"/>
        </w:rPr>
        <w:t xml:space="preserve"> prihode poslovanja (</w:t>
      </w:r>
      <w:r w:rsidR="00B352A5" w:rsidRPr="007F0E49">
        <w:rPr>
          <w:rFonts w:ascii="Arial" w:hAnsi="Arial" w:cs="Arial"/>
          <w:sz w:val="22"/>
          <w:szCs w:val="22"/>
        </w:rPr>
        <w:t>skupina računa 16) i 42</w:t>
      </w:r>
      <w:r w:rsidRPr="007F0E49">
        <w:rPr>
          <w:rFonts w:ascii="Arial" w:hAnsi="Arial" w:cs="Arial"/>
          <w:sz w:val="22"/>
          <w:szCs w:val="22"/>
        </w:rPr>
        <w:t>6</w:t>
      </w:r>
      <w:r w:rsidR="00B352A5" w:rsidRPr="007F0E49">
        <w:rPr>
          <w:rFonts w:ascii="Arial" w:hAnsi="Arial" w:cs="Arial"/>
          <w:sz w:val="22"/>
          <w:szCs w:val="22"/>
        </w:rPr>
        <w:t xml:space="preserve"> kn </w:t>
      </w:r>
      <w:r w:rsidR="00EA5627" w:rsidRPr="007F0E49">
        <w:rPr>
          <w:rFonts w:ascii="Arial" w:hAnsi="Arial" w:cs="Arial"/>
          <w:sz w:val="22"/>
          <w:szCs w:val="22"/>
        </w:rPr>
        <w:t xml:space="preserve">potraživanja od </w:t>
      </w:r>
      <w:r w:rsidR="00B352A5" w:rsidRPr="007F0E49">
        <w:rPr>
          <w:rFonts w:ascii="Arial" w:hAnsi="Arial" w:cs="Arial"/>
          <w:sz w:val="22"/>
          <w:szCs w:val="22"/>
        </w:rPr>
        <w:t>prodaje nefinancijske imovine (</w:t>
      </w:r>
      <w:r w:rsidR="00EA5627" w:rsidRPr="007F0E49">
        <w:rPr>
          <w:rFonts w:ascii="Arial" w:hAnsi="Arial" w:cs="Arial"/>
          <w:sz w:val="22"/>
          <w:szCs w:val="22"/>
        </w:rPr>
        <w:t xml:space="preserve">skupina računa 17). </w:t>
      </w:r>
    </w:p>
    <w:p w:rsidR="00CD1599" w:rsidRPr="007F0E49" w:rsidRDefault="00CD1599" w:rsidP="007D1C9B">
      <w:pPr>
        <w:shd w:val="clear" w:color="auto" w:fill="FFFFFF"/>
        <w:jc w:val="both"/>
        <w:rPr>
          <w:rFonts w:ascii="Arial" w:hAnsi="Arial" w:cs="Arial"/>
          <w:sz w:val="22"/>
          <w:szCs w:val="22"/>
        </w:rPr>
      </w:pPr>
    </w:p>
    <w:p w:rsidR="00740980" w:rsidRPr="007F0E49" w:rsidRDefault="00740980" w:rsidP="007D1C9B">
      <w:pPr>
        <w:shd w:val="clear" w:color="auto" w:fill="FFFFFF"/>
        <w:jc w:val="both"/>
        <w:rPr>
          <w:rFonts w:ascii="Arial" w:hAnsi="Arial" w:cs="Arial"/>
          <w:sz w:val="22"/>
          <w:szCs w:val="22"/>
        </w:rPr>
      </w:pPr>
    </w:p>
    <w:p w:rsidR="00D41060" w:rsidRDefault="00D41060" w:rsidP="000E69DA">
      <w:pPr>
        <w:jc w:val="both"/>
        <w:rPr>
          <w:rFonts w:ascii="Arial" w:hAnsi="Arial" w:cs="Arial"/>
          <w:b/>
          <w:color w:val="000000" w:themeColor="text1"/>
          <w:sz w:val="22"/>
          <w:szCs w:val="22"/>
        </w:rPr>
      </w:pPr>
    </w:p>
    <w:p w:rsidR="00D41060" w:rsidRDefault="00D41060" w:rsidP="000E69DA">
      <w:pPr>
        <w:jc w:val="both"/>
        <w:rPr>
          <w:rFonts w:ascii="Arial" w:hAnsi="Arial" w:cs="Arial"/>
          <w:b/>
          <w:color w:val="000000" w:themeColor="text1"/>
          <w:sz w:val="22"/>
          <w:szCs w:val="22"/>
        </w:rPr>
      </w:pPr>
    </w:p>
    <w:p w:rsidR="00D41060" w:rsidRDefault="00D41060" w:rsidP="000E69DA">
      <w:pPr>
        <w:jc w:val="both"/>
        <w:rPr>
          <w:rFonts w:ascii="Arial" w:hAnsi="Arial" w:cs="Arial"/>
          <w:b/>
          <w:color w:val="000000" w:themeColor="text1"/>
          <w:sz w:val="22"/>
          <w:szCs w:val="22"/>
        </w:rPr>
      </w:pPr>
    </w:p>
    <w:p w:rsidR="00D41060" w:rsidRDefault="00D41060" w:rsidP="000E69DA">
      <w:pPr>
        <w:jc w:val="both"/>
        <w:rPr>
          <w:rFonts w:ascii="Arial" w:hAnsi="Arial" w:cs="Arial"/>
          <w:b/>
          <w:color w:val="000000" w:themeColor="text1"/>
          <w:sz w:val="22"/>
          <w:szCs w:val="22"/>
        </w:rPr>
      </w:pPr>
    </w:p>
    <w:p w:rsidR="00D41060" w:rsidRDefault="00D41060" w:rsidP="000E69DA">
      <w:pPr>
        <w:jc w:val="both"/>
        <w:rPr>
          <w:rFonts w:ascii="Arial" w:hAnsi="Arial" w:cs="Arial"/>
          <w:b/>
          <w:color w:val="000000" w:themeColor="text1"/>
          <w:sz w:val="22"/>
          <w:szCs w:val="22"/>
        </w:rPr>
      </w:pPr>
    </w:p>
    <w:p w:rsidR="00D41060" w:rsidRDefault="00D41060" w:rsidP="000E69DA">
      <w:pPr>
        <w:jc w:val="both"/>
        <w:rPr>
          <w:rFonts w:ascii="Arial" w:hAnsi="Arial" w:cs="Arial"/>
          <w:b/>
          <w:color w:val="000000" w:themeColor="text1"/>
          <w:sz w:val="22"/>
          <w:szCs w:val="22"/>
        </w:rPr>
      </w:pPr>
    </w:p>
    <w:p w:rsidR="00D41060" w:rsidRDefault="00D41060" w:rsidP="000E69DA">
      <w:pPr>
        <w:jc w:val="both"/>
        <w:rPr>
          <w:rFonts w:ascii="Arial" w:hAnsi="Arial" w:cs="Arial"/>
          <w:b/>
          <w:color w:val="000000" w:themeColor="text1"/>
          <w:sz w:val="22"/>
          <w:szCs w:val="22"/>
        </w:rPr>
      </w:pPr>
    </w:p>
    <w:p w:rsidR="00D41060" w:rsidRDefault="00D41060" w:rsidP="000E69DA">
      <w:pPr>
        <w:jc w:val="both"/>
        <w:rPr>
          <w:rFonts w:ascii="Arial" w:hAnsi="Arial" w:cs="Arial"/>
          <w:b/>
          <w:color w:val="000000" w:themeColor="text1"/>
          <w:sz w:val="22"/>
          <w:szCs w:val="22"/>
        </w:rPr>
      </w:pPr>
    </w:p>
    <w:p w:rsidR="00D41060" w:rsidRDefault="00D41060" w:rsidP="000E69DA">
      <w:pPr>
        <w:jc w:val="both"/>
        <w:rPr>
          <w:rFonts w:ascii="Arial" w:hAnsi="Arial" w:cs="Arial"/>
          <w:b/>
          <w:color w:val="000000" w:themeColor="text1"/>
          <w:sz w:val="22"/>
          <w:szCs w:val="22"/>
        </w:rPr>
      </w:pPr>
    </w:p>
    <w:p w:rsidR="00D41060" w:rsidRDefault="00D41060" w:rsidP="000E69DA">
      <w:pPr>
        <w:jc w:val="both"/>
        <w:rPr>
          <w:rFonts w:ascii="Arial" w:hAnsi="Arial" w:cs="Arial"/>
          <w:b/>
          <w:color w:val="000000" w:themeColor="text1"/>
          <w:sz w:val="22"/>
          <w:szCs w:val="22"/>
        </w:rPr>
      </w:pPr>
    </w:p>
    <w:p w:rsidR="00D41060" w:rsidRDefault="00D41060" w:rsidP="000E69DA">
      <w:pPr>
        <w:jc w:val="both"/>
        <w:rPr>
          <w:rFonts w:ascii="Arial" w:hAnsi="Arial" w:cs="Arial"/>
          <w:b/>
          <w:color w:val="000000" w:themeColor="text1"/>
          <w:sz w:val="22"/>
          <w:szCs w:val="22"/>
        </w:rPr>
      </w:pPr>
    </w:p>
    <w:p w:rsidR="00D41060" w:rsidRDefault="00D41060" w:rsidP="000E69DA">
      <w:pPr>
        <w:jc w:val="both"/>
        <w:rPr>
          <w:rFonts w:ascii="Arial" w:hAnsi="Arial" w:cs="Arial"/>
          <w:b/>
          <w:color w:val="000000" w:themeColor="text1"/>
          <w:sz w:val="22"/>
          <w:szCs w:val="22"/>
        </w:rPr>
      </w:pPr>
    </w:p>
    <w:p w:rsidR="00D41060" w:rsidRDefault="00D41060" w:rsidP="000E69DA">
      <w:pPr>
        <w:jc w:val="both"/>
        <w:rPr>
          <w:rFonts w:ascii="Arial" w:hAnsi="Arial" w:cs="Arial"/>
          <w:b/>
          <w:color w:val="000000" w:themeColor="text1"/>
          <w:sz w:val="22"/>
          <w:szCs w:val="22"/>
        </w:rPr>
      </w:pPr>
    </w:p>
    <w:p w:rsidR="00D41060" w:rsidRDefault="00D41060" w:rsidP="000E69DA">
      <w:pPr>
        <w:jc w:val="both"/>
        <w:rPr>
          <w:rFonts w:ascii="Arial" w:hAnsi="Arial" w:cs="Arial"/>
          <w:b/>
          <w:color w:val="000000" w:themeColor="text1"/>
          <w:sz w:val="22"/>
          <w:szCs w:val="22"/>
        </w:rPr>
      </w:pPr>
    </w:p>
    <w:p w:rsidR="00D41060" w:rsidRDefault="00D41060" w:rsidP="000E69DA">
      <w:pPr>
        <w:jc w:val="both"/>
        <w:rPr>
          <w:rFonts w:ascii="Arial" w:hAnsi="Arial" w:cs="Arial"/>
          <w:b/>
          <w:color w:val="000000" w:themeColor="text1"/>
          <w:sz w:val="22"/>
          <w:szCs w:val="22"/>
        </w:rPr>
      </w:pPr>
    </w:p>
    <w:p w:rsidR="00D41060" w:rsidRDefault="00D41060" w:rsidP="000E69DA">
      <w:pPr>
        <w:jc w:val="both"/>
        <w:rPr>
          <w:rFonts w:ascii="Arial" w:hAnsi="Arial" w:cs="Arial"/>
          <w:b/>
          <w:color w:val="000000" w:themeColor="text1"/>
          <w:sz w:val="22"/>
          <w:szCs w:val="22"/>
        </w:rPr>
      </w:pPr>
    </w:p>
    <w:p w:rsidR="00D41060" w:rsidRDefault="00D41060" w:rsidP="000E69DA">
      <w:pPr>
        <w:jc w:val="both"/>
        <w:rPr>
          <w:rFonts w:ascii="Arial" w:hAnsi="Arial" w:cs="Arial"/>
          <w:b/>
          <w:color w:val="000000" w:themeColor="text1"/>
          <w:sz w:val="22"/>
          <w:szCs w:val="22"/>
        </w:rPr>
      </w:pPr>
    </w:p>
    <w:p w:rsidR="00D41060" w:rsidRDefault="00D41060" w:rsidP="000E69DA">
      <w:pPr>
        <w:jc w:val="both"/>
        <w:rPr>
          <w:rFonts w:ascii="Arial" w:hAnsi="Arial" w:cs="Arial"/>
          <w:b/>
          <w:color w:val="000000" w:themeColor="text1"/>
          <w:sz w:val="22"/>
          <w:szCs w:val="22"/>
        </w:rPr>
      </w:pPr>
    </w:p>
    <w:p w:rsidR="00D41060" w:rsidRDefault="00D41060" w:rsidP="000E69DA">
      <w:pPr>
        <w:jc w:val="both"/>
        <w:rPr>
          <w:rFonts w:ascii="Arial" w:hAnsi="Arial" w:cs="Arial"/>
          <w:b/>
          <w:color w:val="000000" w:themeColor="text1"/>
          <w:sz w:val="22"/>
          <w:szCs w:val="22"/>
        </w:rPr>
      </w:pPr>
    </w:p>
    <w:p w:rsidR="000E69DA" w:rsidRPr="007F0E49" w:rsidRDefault="006B5F44" w:rsidP="000E69DA">
      <w:pPr>
        <w:jc w:val="both"/>
        <w:rPr>
          <w:rFonts w:ascii="Arial" w:hAnsi="Arial" w:cs="Arial"/>
          <w:b/>
          <w:color w:val="FF0000"/>
          <w:sz w:val="22"/>
          <w:szCs w:val="22"/>
        </w:rPr>
      </w:pPr>
      <w:r w:rsidRPr="007F0E49">
        <w:rPr>
          <w:rFonts w:ascii="Arial" w:hAnsi="Arial" w:cs="Arial"/>
          <w:b/>
          <w:color w:val="000000" w:themeColor="text1"/>
          <w:sz w:val="22"/>
          <w:szCs w:val="22"/>
        </w:rPr>
        <w:lastRenderedPageBreak/>
        <w:t xml:space="preserve">Bilješka broj 4 - </w:t>
      </w:r>
      <w:r w:rsidR="00BA1EFA" w:rsidRPr="007F0E49">
        <w:rPr>
          <w:rFonts w:ascii="Arial" w:hAnsi="Arial" w:cs="Arial"/>
          <w:b/>
          <w:color w:val="000000" w:themeColor="text1"/>
          <w:sz w:val="22"/>
          <w:szCs w:val="22"/>
        </w:rPr>
        <w:t>2</w:t>
      </w:r>
      <w:r w:rsidR="000E69DA" w:rsidRPr="007F0E49">
        <w:rPr>
          <w:rFonts w:ascii="Arial" w:hAnsi="Arial" w:cs="Arial"/>
          <w:b/>
          <w:color w:val="000000" w:themeColor="text1"/>
          <w:sz w:val="22"/>
          <w:szCs w:val="22"/>
        </w:rPr>
        <w:t xml:space="preserve">  OBVEZE</w:t>
      </w:r>
      <w:r w:rsidR="009015D8" w:rsidRPr="007F0E49">
        <w:rPr>
          <w:rFonts w:ascii="Arial" w:hAnsi="Arial" w:cs="Arial"/>
          <w:b/>
          <w:color w:val="000000" w:themeColor="text1"/>
          <w:sz w:val="22"/>
          <w:szCs w:val="22"/>
        </w:rPr>
        <w:t xml:space="preserve"> </w:t>
      </w:r>
    </w:p>
    <w:p w:rsidR="000E69DA" w:rsidRPr="007F0E49" w:rsidRDefault="000E69DA" w:rsidP="000E69DA">
      <w:pPr>
        <w:jc w:val="both"/>
        <w:rPr>
          <w:rFonts w:ascii="Arial" w:hAnsi="Arial" w:cs="Arial"/>
          <w:b/>
          <w:sz w:val="22"/>
          <w:szCs w:val="22"/>
          <w:highlight w:val="green"/>
        </w:rPr>
      </w:pPr>
    </w:p>
    <w:p w:rsidR="00737E88" w:rsidRPr="007F0E49" w:rsidRDefault="00053AE8" w:rsidP="00ED34A8">
      <w:pPr>
        <w:jc w:val="both"/>
        <w:rPr>
          <w:rFonts w:ascii="Arial" w:hAnsi="Arial" w:cs="Arial"/>
          <w:sz w:val="22"/>
          <w:szCs w:val="22"/>
        </w:rPr>
      </w:pPr>
      <w:r w:rsidRPr="007F0E49">
        <w:rPr>
          <w:rFonts w:ascii="Arial" w:hAnsi="Arial" w:cs="Arial"/>
          <w:sz w:val="22"/>
          <w:szCs w:val="22"/>
        </w:rPr>
        <w:t>Ukupne o</w:t>
      </w:r>
      <w:r w:rsidR="000E69DA" w:rsidRPr="007F0E49">
        <w:rPr>
          <w:rFonts w:ascii="Arial" w:hAnsi="Arial" w:cs="Arial"/>
          <w:sz w:val="22"/>
          <w:szCs w:val="22"/>
        </w:rPr>
        <w:t xml:space="preserve">bveze bilježe </w:t>
      </w:r>
      <w:r w:rsidR="006B5F44" w:rsidRPr="007F0E49">
        <w:rPr>
          <w:rFonts w:ascii="Arial" w:hAnsi="Arial" w:cs="Arial"/>
          <w:sz w:val="22"/>
          <w:szCs w:val="22"/>
        </w:rPr>
        <w:t>smanjenje</w:t>
      </w:r>
      <w:r w:rsidR="00F139F0" w:rsidRPr="007F0E49">
        <w:rPr>
          <w:rFonts w:ascii="Arial" w:hAnsi="Arial" w:cs="Arial"/>
          <w:sz w:val="22"/>
          <w:szCs w:val="22"/>
        </w:rPr>
        <w:t xml:space="preserve"> </w:t>
      </w:r>
      <w:r w:rsidR="00661028" w:rsidRPr="007F0E49">
        <w:rPr>
          <w:rFonts w:ascii="Arial" w:hAnsi="Arial" w:cs="Arial"/>
          <w:sz w:val="22"/>
          <w:szCs w:val="22"/>
        </w:rPr>
        <w:t xml:space="preserve">od </w:t>
      </w:r>
      <w:r w:rsidR="006732DB" w:rsidRPr="007F0E49">
        <w:rPr>
          <w:rFonts w:ascii="Arial" w:hAnsi="Arial" w:cs="Arial"/>
          <w:sz w:val="22"/>
          <w:szCs w:val="22"/>
        </w:rPr>
        <w:t>59.479.148,68 kn ili 13,1</w:t>
      </w:r>
      <w:r w:rsidR="000E69DA" w:rsidRPr="007F0E49">
        <w:rPr>
          <w:rFonts w:ascii="Arial" w:hAnsi="Arial" w:cs="Arial"/>
          <w:sz w:val="22"/>
          <w:szCs w:val="22"/>
        </w:rPr>
        <w:t xml:space="preserve">% u odnosu na stanje prethodne godine </w:t>
      </w:r>
      <w:r w:rsidR="00F32C7A" w:rsidRPr="007F0E49">
        <w:rPr>
          <w:rFonts w:ascii="Arial" w:hAnsi="Arial" w:cs="Arial"/>
          <w:sz w:val="22"/>
          <w:szCs w:val="22"/>
        </w:rPr>
        <w:t>te</w:t>
      </w:r>
      <w:r w:rsidRPr="007F0E49">
        <w:rPr>
          <w:rFonts w:ascii="Arial" w:hAnsi="Arial" w:cs="Arial"/>
          <w:sz w:val="22"/>
          <w:szCs w:val="22"/>
        </w:rPr>
        <w:t xml:space="preserve"> </w:t>
      </w:r>
      <w:r w:rsidR="007577D1" w:rsidRPr="007F0E49">
        <w:rPr>
          <w:rFonts w:ascii="Arial" w:hAnsi="Arial" w:cs="Arial"/>
          <w:sz w:val="22"/>
          <w:szCs w:val="22"/>
        </w:rPr>
        <w:t xml:space="preserve">na kraju ovog izvještajnog razdoblja, </w:t>
      </w:r>
      <w:r w:rsidR="000E69DA" w:rsidRPr="007F0E49">
        <w:rPr>
          <w:rFonts w:ascii="Arial" w:hAnsi="Arial" w:cs="Arial"/>
          <w:sz w:val="22"/>
          <w:szCs w:val="22"/>
        </w:rPr>
        <w:t xml:space="preserve">iznose </w:t>
      </w:r>
      <w:r w:rsidR="00A74038" w:rsidRPr="007F0E49">
        <w:rPr>
          <w:rFonts w:ascii="Arial" w:hAnsi="Arial" w:cs="Arial"/>
          <w:sz w:val="22"/>
          <w:szCs w:val="22"/>
        </w:rPr>
        <w:t>395.183.021,32</w:t>
      </w:r>
      <w:r w:rsidR="000E69DA" w:rsidRPr="007F0E49">
        <w:rPr>
          <w:rFonts w:ascii="Arial" w:hAnsi="Arial" w:cs="Arial"/>
          <w:sz w:val="22"/>
          <w:szCs w:val="22"/>
        </w:rPr>
        <w:t xml:space="preserve"> kn</w:t>
      </w:r>
      <w:r w:rsidR="00F139F0" w:rsidRPr="007F0E49">
        <w:rPr>
          <w:rFonts w:ascii="Arial" w:hAnsi="Arial" w:cs="Arial"/>
          <w:sz w:val="22"/>
          <w:szCs w:val="22"/>
        </w:rPr>
        <w:t xml:space="preserve">. </w:t>
      </w:r>
      <w:r w:rsidR="00737E88" w:rsidRPr="007F0E49">
        <w:rPr>
          <w:rFonts w:ascii="Arial" w:hAnsi="Arial" w:cs="Arial"/>
          <w:sz w:val="22"/>
          <w:szCs w:val="22"/>
        </w:rPr>
        <w:t xml:space="preserve">U donjoj Tablici 1. Obveze prikazana su stanja i značajni iznosi smanjenja po skupinama obveza. </w:t>
      </w:r>
    </w:p>
    <w:p w:rsidR="00737E88" w:rsidRPr="007F0E49" w:rsidRDefault="00737E88" w:rsidP="00737E88">
      <w:pPr>
        <w:jc w:val="both"/>
        <w:rPr>
          <w:rFonts w:ascii="Arial" w:hAnsi="Arial" w:cs="Arial"/>
          <w:sz w:val="22"/>
          <w:szCs w:val="22"/>
        </w:rPr>
      </w:pPr>
      <w:r w:rsidRPr="007F0E49">
        <w:rPr>
          <w:rFonts w:ascii="Arial" w:hAnsi="Arial" w:cs="Arial"/>
          <w:sz w:val="22"/>
          <w:szCs w:val="22"/>
        </w:rPr>
        <w:t>U okviru obveza za rashode poslovanja (23) smanjenje od 42.369.958,52 kn nastalo je na stavkama obveza za materijalne rashode, financijske rashode, ostalih tekućih obveza i obveza za subvencije.</w:t>
      </w:r>
    </w:p>
    <w:p w:rsidR="00224A9F" w:rsidRPr="007F0E49" w:rsidRDefault="00224A9F" w:rsidP="00ED34A8">
      <w:pPr>
        <w:jc w:val="both"/>
        <w:rPr>
          <w:rFonts w:ascii="Arial" w:hAnsi="Arial" w:cs="Arial"/>
          <w:sz w:val="22"/>
          <w:szCs w:val="22"/>
        </w:rPr>
      </w:pPr>
    </w:p>
    <w:p w:rsidR="00ED34A8" w:rsidRPr="007F0E49" w:rsidRDefault="00142A56" w:rsidP="00ED34A8">
      <w:pPr>
        <w:jc w:val="both"/>
        <w:rPr>
          <w:rFonts w:ascii="Arial" w:hAnsi="Arial" w:cs="Arial"/>
          <w:sz w:val="22"/>
          <w:szCs w:val="22"/>
        </w:rPr>
      </w:pPr>
      <w:r w:rsidRPr="007F0E49">
        <w:rPr>
          <w:rFonts w:ascii="Arial" w:hAnsi="Arial" w:cs="Arial"/>
          <w:sz w:val="22"/>
          <w:szCs w:val="22"/>
        </w:rPr>
        <w:t xml:space="preserve">Više o strukturi dospjelih </w:t>
      </w:r>
      <w:r w:rsidR="00737E88" w:rsidRPr="007F0E49">
        <w:rPr>
          <w:rFonts w:ascii="Arial" w:hAnsi="Arial" w:cs="Arial"/>
          <w:sz w:val="22"/>
          <w:szCs w:val="22"/>
        </w:rPr>
        <w:t xml:space="preserve">i nedospjelih </w:t>
      </w:r>
      <w:r w:rsidRPr="007F0E49">
        <w:rPr>
          <w:rFonts w:ascii="Arial" w:hAnsi="Arial" w:cs="Arial"/>
          <w:sz w:val="22"/>
          <w:szCs w:val="22"/>
        </w:rPr>
        <w:t>obveza o</w:t>
      </w:r>
      <w:r w:rsidR="00714B4D" w:rsidRPr="007F0E49">
        <w:rPr>
          <w:rFonts w:ascii="Arial" w:hAnsi="Arial" w:cs="Arial"/>
          <w:sz w:val="22"/>
          <w:szCs w:val="22"/>
        </w:rPr>
        <w:t>pisano je pod Bilješkom broj 2</w:t>
      </w:r>
      <w:r w:rsidR="009271D7" w:rsidRPr="007F0E49">
        <w:rPr>
          <w:rFonts w:ascii="Arial" w:hAnsi="Arial" w:cs="Arial"/>
          <w:sz w:val="22"/>
          <w:szCs w:val="22"/>
        </w:rPr>
        <w:t>2</w:t>
      </w:r>
      <w:r w:rsidR="00F41593" w:rsidRPr="007F0E49">
        <w:rPr>
          <w:rFonts w:ascii="Arial" w:hAnsi="Arial" w:cs="Arial"/>
          <w:sz w:val="22"/>
          <w:szCs w:val="22"/>
        </w:rPr>
        <w:t>.</w:t>
      </w:r>
      <w:r w:rsidR="00714B4D" w:rsidRPr="007F0E49">
        <w:rPr>
          <w:rFonts w:ascii="Arial" w:hAnsi="Arial" w:cs="Arial"/>
          <w:sz w:val="22"/>
          <w:szCs w:val="22"/>
        </w:rPr>
        <w:t xml:space="preserve"> </w:t>
      </w:r>
      <w:r w:rsidR="00ED34A8" w:rsidRPr="007F0E49">
        <w:rPr>
          <w:rFonts w:ascii="Arial" w:hAnsi="Arial" w:cs="Arial"/>
          <w:sz w:val="22"/>
          <w:szCs w:val="22"/>
        </w:rPr>
        <w:t xml:space="preserve">  </w:t>
      </w:r>
    </w:p>
    <w:p w:rsidR="00D41060" w:rsidRDefault="00D41060" w:rsidP="000E69DA">
      <w:pPr>
        <w:jc w:val="both"/>
        <w:rPr>
          <w:rFonts w:ascii="Arial" w:hAnsi="Arial"/>
        </w:rPr>
      </w:pPr>
    </w:p>
    <w:p w:rsidR="00D41060" w:rsidRDefault="00D41060" w:rsidP="000E69DA">
      <w:pPr>
        <w:jc w:val="both"/>
        <w:rPr>
          <w:rFonts w:ascii="Arial" w:hAnsi="Arial"/>
        </w:rPr>
      </w:pPr>
    </w:p>
    <w:p w:rsidR="000E69DA" w:rsidRPr="00A73102" w:rsidRDefault="009D34E1" w:rsidP="000E69DA">
      <w:pPr>
        <w:jc w:val="both"/>
        <w:rPr>
          <w:rFonts w:ascii="Arial" w:hAnsi="Arial"/>
        </w:rPr>
      </w:pPr>
      <w:r w:rsidRPr="00A73102">
        <w:rPr>
          <w:rFonts w:ascii="Arial" w:hAnsi="Arial"/>
        </w:rPr>
        <w:t>Tablica 1. Obveze</w:t>
      </w:r>
      <w:r w:rsidR="006E7903">
        <w:rPr>
          <w:rFonts w:ascii="Arial" w:hAnsi="Arial"/>
        </w:rPr>
        <w:tab/>
      </w:r>
      <w:r w:rsidR="006E7903">
        <w:rPr>
          <w:rFonts w:ascii="Arial" w:hAnsi="Arial"/>
        </w:rPr>
        <w:tab/>
      </w:r>
      <w:r w:rsidR="006E7903">
        <w:rPr>
          <w:rFonts w:ascii="Arial" w:hAnsi="Arial"/>
        </w:rPr>
        <w:tab/>
      </w:r>
      <w:r w:rsidR="006E7903">
        <w:rPr>
          <w:rFonts w:ascii="Arial" w:hAnsi="Arial"/>
        </w:rPr>
        <w:tab/>
      </w:r>
      <w:r w:rsidR="006E7903">
        <w:rPr>
          <w:rFonts w:ascii="Arial" w:hAnsi="Arial"/>
        </w:rPr>
        <w:tab/>
      </w:r>
      <w:r w:rsidR="006E7903">
        <w:rPr>
          <w:rFonts w:ascii="Arial" w:hAnsi="Arial"/>
        </w:rPr>
        <w:tab/>
      </w:r>
      <w:r w:rsidR="006E7903">
        <w:rPr>
          <w:rFonts w:ascii="Arial" w:hAnsi="Arial"/>
        </w:rPr>
        <w:tab/>
      </w:r>
      <w:r w:rsidR="006E7903">
        <w:rPr>
          <w:rFonts w:ascii="Arial" w:hAnsi="Arial"/>
        </w:rPr>
        <w:tab/>
      </w:r>
      <w:r w:rsidR="006E7903">
        <w:rPr>
          <w:rFonts w:ascii="Arial" w:hAnsi="Arial"/>
        </w:rPr>
        <w:tab/>
      </w:r>
      <w:r w:rsidR="006E7903">
        <w:rPr>
          <w:rFonts w:ascii="Arial" w:hAnsi="Arial"/>
        </w:rPr>
        <w:tab/>
      </w:r>
      <w:r w:rsidR="006E7903">
        <w:rPr>
          <w:rFonts w:ascii="Arial" w:hAnsi="Arial"/>
        </w:rPr>
        <w:tab/>
      </w:r>
      <w:r w:rsidR="006E7903" w:rsidRPr="006E7903">
        <w:rPr>
          <w:rFonts w:ascii="Arial" w:hAnsi="Arial"/>
          <w:i/>
          <w:sz w:val="16"/>
          <w:szCs w:val="16"/>
        </w:rPr>
        <w:t>u kn</w:t>
      </w:r>
    </w:p>
    <w:tbl>
      <w:tblPr>
        <w:tblW w:w="10124" w:type="dxa"/>
        <w:tblInd w:w="-147" w:type="dxa"/>
        <w:tblLayout w:type="fixed"/>
        <w:tblLook w:val="04A0" w:firstRow="1" w:lastRow="0" w:firstColumn="1" w:lastColumn="0" w:noHBand="0" w:noVBand="1"/>
      </w:tblPr>
      <w:tblGrid>
        <w:gridCol w:w="489"/>
        <w:gridCol w:w="3223"/>
        <w:gridCol w:w="506"/>
        <w:gridCol w:w="1428"/>
        <w:gridCol w:w="1896"/>
        <w:gridCol w:w="1010"/>
        <w:gridCol w:w="1572"/>
      </w:tblGrid>
      <w:tr w:rsidR="00B370BB" w:rsidRPr="00A73102" w:rsidTr="00AD3F28">
        <w:trPr>
          <w:trHeight w:val="294"/>
        </w:trPr>
        <w:tc>
          <w:tcPr>
            <w:tcW w:w="489" w:type="dxa"/>
            <w:vMerge w:val="restart"/>
            <w:tcBorders>
              <w:top w:val="single" w:sz="4" w:space="0" w:color="auto"/>
              <w:left w:val="single" w:sz="4" w:space="0" w:color="auto"/>
              <w:bottom w:val="single" w:sz="8" w:space="0" w:color="000000"/>
              <w:right w:val="nil"/>
            </w:tcBorders>
            <w:shd w:val="clear" w:color="auto" w:fill="D5DCE4" w:themeFill="text2" w:themeFillTint="33"/>
            <w:vAlign w:val="center"/>
            <w:hideMark/>
          </w:tcPr>
          <w:p w:rsidR="00B370BB" w:rsidRPr="00E808B1" w:rsidRDefault="00AD3F28" w:rsidP="00AD3F28">
            <w:pPr>
              <w:jc w:val="both"/>
              <w:rPr>
                <w:rFonts w:ascii="Arial" w:hAnsi="Arial" w:cs="Arial"/>
                <w:b/>
                <w:color w:val="000000"/>
                <w:sz w:val="18"/>
                <w:szCs w:val="18"/>
                <w:lang w:eastAsia="en-US"/>
              </w:rPr>
            </w:pPr>
            <w:r w:rsidRPr="00E808B1">
              <w:rPr>
                <w:rFonts w:ascii="Arial" w:hAnsi="Arial" w:cs="Arial"/>
                <w:b/>
                <w:color w:val="000000"/>
                <w:sz w:val="18"/>
                <w:szCs w:val="18"/>
                <w:lang w:eastAsia="en-US"/>
              </w:rPr>
              <w:t>Rn</w:t>
            </w:r>
            <w:r w:rsidR="00B370BB" w:rsidRPr="00E808B1">
              <w:rPr>
                <w:rFonts w:ascii="Arial" w:hAnsi="Arial" w:cs="Arial"/>
                <w:b/>
                <w:color w:val="000000"/>
                <w:sz w:val="18"/>
                <w:szCs w:val="18"/>
                <w:lang w:eastAsia="en-US"/>
              </w:rPr>
              <w:t xml:space="preserve"> </w:t>
            </w:r>
          </w:p>
        </w:tc>
        <w:tc>
          <w:tcPr>
            <w:tcW w:w="3223" w:type="dxa"/>
            <w:vMerge w:val="restart"/>
            <w:tcBorders>
              <w:top w:val="single" w:sz="4" w:space="0" w:color="auto"/>
              <w:left w:val="nil"/>
              <w:bottom w:val="single" w:sz="8" w:space="0" w:color="000000"/>
              <w:right w:val="nil"/>
            </w:tcBorders>
            <w:shd w:val="clear" w:color="auto" w:fill="D5DCE4" w:themeFill="text2" w:themeFillTint="33"/>
            <w:noWrap/>
            <w:vAlign w:val="center"/>
            <w:hideMark/>
          </w:tcPr>
          <w:p w:rsidR="00B370BB" w:rsidRPr="00E808B1" w:rsidRDefault="00B370BB" w:rsidP="00EC2B03">
            <w:pPr>
              <w:jc w:val="center"/>
              <w:rPr>
                <w:rFonts w:ascii="Arial" w:hAnsi="Arial" w:cs="Arial"/>
                <w:b/>
                <w:color w:val="000000"/>
                <w:sz w:val="18"/>
                <w:szCs w:val="18"/>
                <w:lang w:eastAsia="en-US"/>
              </w:rPr>
            </w:pPr>
            <w:r w:rsidRPr="00E808B1">
              <w:rPr>
                <w:rFonts w:ascii="Arial" w:hAnsi="Arial" w:cs="Arial"/>
                <w:b/>
                <w:color w:val="000000"/>
                <w:sz w:val="18"/>
                <w:szCs w:val="18"/>
                <w:lang w:eastAsia="en-US"/>
              </w:rPr>
              <w:t>O P I S</w:t>
            </w:r>
          </w:p>
        </w:tc>
        <w:tc>
          <w:tcPr>
            <w:tcW w:w="506" w:type="dxa"/>
            <w:vMerge w:val="restart"/>
            <w:tcBorders>
              <w:top w:val="single" w:sz="4" w:space="0" w:color="auto"/>
              <w:left w:val="nil"/>
              <w:bottom w:val="single" w:sz="8" w:space="0" w:color="000000"/>
              <w:right w:val="nil"/>
            </w:tcBorders>
            <w:shd w:val="clear" w:color="auto" w:fill="D5DCE4" w:themeFill="text2" w:themeFillTint="33"/>
            <w:vAlign w:val="center"/>
            <w:hideMark/>
          </w:tcPr>
          <w:p w:rsidR="00B370BB" w:rsidRPr="00E808B1" w:rsidRDefault="00AD3F28" w:rsidP="00EC2B03">
            <w:pPr>
              <w:jc w:val="both"/>
              <w:rPr>
                <w:rFonts w:ascii="Arial" w:hAnsi="Arial" w:cs="Arial"/>
                <w:b/>
                <w:color w:val="000000"/>
                <w:sz w:val="18"/>
                <w:szCs w:val="18"/>
                <w:lang w:eastAsia="en-US"/>
              </w:rPr>
            </w:pPr>
            <w:r w:rsidRPr="00E808B1">
              <w:rPr>
                <w:rFonts w:ascii="Arial" w:hAnsi="Arial" w:cs="Arial"/>
                <w:b/>
                <w:color w:val="000000"/>
                <w:sz w:val="18"/>
                <w:szCs w:val="18"/>
                <w:lang w:eastAsia="en-US"/>
              </w:rPr>
              <w:t>Rn</w:t>
            </w:r>
            <w:r w:rsidR="00B370BB" w:rsidRPr="00E808B1">
              <w:rPr>
                <w:rFonts w:ascii="Arial" w:hAnsi="Arial" w:cs="Arial"/>
                <w:b/>
                <w:color w:val="000000"/>
                <w:sz w:val="18"/>
                <w:szCs w:val="18"/>
                <w:lang w:eastAsia="en-US"/>
              </w:rPr>
              <w:t xml:space="preserve">  </w:t>
            </w:r>
          </w:p>
        </w:tc>
        <w:tc>
          <w:tcPr>
            <w:tcW w:w="1428" w:type="dxa"/>
            <w:vMerge w:val="restart"/>
            <w:tcBorders>
              <w:top w:val="single" w:sz="4" w:space="0" w:color="auto"/>
              <w:left w:val="nil"/>
              <w:bottom w:val="single" w:sz="8" w:space="0" w:color="000000"/>
              <w:right w:val="nil"/>
            </w:tcBorders>
            <w:shd w:val="clear" w:color="auto" w:fill="D5DCE4" w:themeFill="text2" w:themeFillTint="33"/>
            <w:vAlign w:val="center"/>
            <w:hideMark/>
          </w:tcPr>
          <w:p w:rsidR="00B370BB" w:rsidRPr="00E808B1" w:rsidRDefault="00B370BB" w:rsidP="00EC2B03">
            <w:pPr>
              <w:jc w:val="center"/>
              <w:rPr>
                <w:rFonts w:ascii="Arial" w:hAnsi="Arial" w:cs="Arial"/>
                <w:b/>
                <w:color w:val="000000"/>
                <w:sz w:val="18"/>
                <w:szCs w:val="18"/>
                <w:lang w:eastAsia="en-US"/>
              </w:rPr>
            </w:pPr>
            <w:r w:rsidRPr="00E808B1">
              <w:rPr>
                <w:rFonts w:ascii="Arial" w:hAnsi="Arial" w:cs="Arial"/>
                <w:b/>
                <w:color w:val="000000"/>
                <w:sz w:val="18"/>
                <w:szCs w:val="18"/>
                <w:lang w:eastAsia="en-US"/>
              </w:rPr>
              <w:t>Stanje 01.01.2022.</w:t>
            </w:r>
          </w:p>
        </w:tc>
        <w:tc>
          <w:tcPr>
            <w:tcW w:w="1896" w:type="dxa"/>
            <w:vMerge w:val="restart"/>
            <w:tcBorders>
              <w:top w:val="single" w:sz="4" w:space="0" w:color="auto"/>
              <w:left w:val="nil"/>
              <w:bottom w:val="single" w:sz="8" w:space="0" w:color="000000"/>
              <w:right w:val="nil"/>
            </w:tcBorders>
            <w:shd w:val="clear" w:color="auto" w:fill="D5DCE4" w:themeFill="text2" w:themeFillTint="33"/>
            <w:vAlign w:val="center"/>
            <w:hideMark/>
          </w:tcPr>
          <w:p w:rsidR="00B370BB" w:rsidRPr="00E808B1" w:rsidRDefault="00B370BB" w:rsidP="00EC2B03">
            <w:pPr>
              <w:jc w:val="center"/>
              <w:rPr>
                <w:rFonts w:ascii="Arial" w:hAnsi="Arial" w:cs="Arial"/>
                <w:b/>
                <w:color w:val="000000"/>
                <w:sz w:val="18"/>
                <w:szCs w:val="18"/>
                <w:lang w:eastAsia="en-US"/>
              </w:rPr>
            </w:pPr>
            <w:r w:rsidRPr="00E808B1">
              <w:rPr>
                <w:rFonts w:ascii="Arial" w:hAnsi="Arial" w:cs="Arial"/>
                <w:b/>
                <w:color w:val="000000"/>
                <w:sz w:val="18"/>
                <w:szCs w:val="18"/>
                <w:lang w:eastAsia="en-US"/>
              </w:rPr>
              <w:t>Stanje 31.12.2022.</w:t>
            </w:r>
          </w:p>
        </w:tc>
        <w:tc>
          <w:tcPr>
            <w:tcW w:w="1010" w:type="dxa"/>
            <w:vMerge w:val="restart"/>
            <w:tcBorders>
              <w:top w:val="single" w:sz="4" w:space="0" w:color="auto"/>
              <w:left w:val="nil"/>
              <w:bottom w:val="single" w:sz="8" w:space="0" w:color="000000"/>
              <w:right w:val="nil"/>
            </w:tcBorders>
            <w:shd w:val="clear" w:color="auto" w:fill="D5DCE4" w:themeFill="text2" w:themeFillTint="33"/>
            <w:vAlign w:val="center"/>
            <w:hideMark/>
          </w:tcPr>
          <w:p w:rsidR="00B370BB" w:rsidRPr="00E808B1" w:rsidRDefault="00B370BB" w:rsidP="00EC2B03">
            <w:pPr>
              <w:jc w:val="center"/>
              <w:rPr>
                <w:rFonts w:ascii="Arial" w:hAnsi="Arial" w:cs="Arial"/>
                <w:b/>
                <w:color w:val="000000"/>
                <w:sz w:val="18"/>
                <w:szCs w:val="18"/>
                <w:lang w:eastAsia="en-US"/>
              </w:rPr>
            </w:pPr>
            <w:r w:rsidRPr="00E808B1">
              <w:rPr>
                <w:rFonts w:ascii="Arial" w:hAnsi="Arial" w:cs="Arial"/>
                <w:b/>
                <w:color w:val="000000"/>
                <w:sz w:val="18"/>
                <w:szCs w:val="18"/>
                <w:lang w:eastAsia="en-US"/>
              </w:rPr>
              <w:t xml:space="preserve">Indeks </w:t>
            </w:r>
            <w:r w:rsidRPr="00E808B1">
              <w:rPr>
                <w:rFonts w:ascii="Arial" w:hAnsi="Arial" w:cs="Arial"/>
                <w:b/>
                <w:color w:val="000000"/>
                <w:sz w:val="16"/>
                <w:szCs w:val="16"/>
                <w:lang w:eastAsia="en-US"/>
              </w:rPr>
              <w:t>(5/4*100)</w:t>
            </w:r>
          </w:p>
        </w:tc>
        <w:tc>
          <w:tcPr>
            <w:tcW w:w="1572" w:type="dxa"/>
            <w:tcBorders>
              <w:top w:val="single" w:sz="4" w:space="0" w:color="auto"/>
              <w:left w:val="nil"/>
              <w:bottom w:val="nil"/>
              <w:right w:val="single" w:sz="4" w:space="0" w:color="auto"/>
            </w:tcBorders>
            <w:shd w:val="clear" w:color="auto" w:fill="D5DCE4" w:themeFill="text2" w:themeFillTint="33"/>
            <w:vAlign w:val="center"/>
            <w:hideMark/>
          </w:tcPr>
          <w:p w:rsidR="00B370BB" w:rsidRPr="00E808B1" w:rsidRDefault="00B370BB" w:rsidP="00EC2B03">
            <w:pPr>
              <w:jc w:val="center"/>
              <w:rPr>
                <w:rFonts w:ascii="Arial" w:hAnsi="Arial" w:cs="Arial"/>
                <w:b/>
                <w:color w:val="000000"/>
                <w:sz w:val="18"/>
                <w:szCs w:val="18"/>
                <w:lang w:eastAsia="en-US"/>
              </w:rPr>
            </w:pPr>
            <w:r w:rsidRPr="00E808B1">
              <w:rPr>
                <w:rFonts w:ascii="Arial" w:hAnsi="Arial" w:cs="Arial"/>
                <w:b/>
                <w:color w:val="000000"/>
                <w:sz w:val="18"/>
                <w:szCs w:val="18"/>
                <w:lang w:eastAsia="en-US"/>
              </w:rPr>
              <w:t>Povećanje/</w:t>
            </w:r>
          </w:p>
        </w:tc>
      </w:tr>
      <w:tr w:rsidR="00B370BB" w:rsidRPr="00A73102" w:rsidTr="00AD3F28">
        <w:trPr>
          <w:trHeight w:val="503"/>
        </w:trPr>
        <w:tc>
          <w:tcPr>
            <w:tcW w:w="489" w:type="dxa"/>
            <w:vMerge/>
            <w:tcBorders>
              <w:top w:val="single" w:sz="8" w:space="0" w:color="auto"/>
              <w:left w:val="single" w:sz="4" w:space="0" w:color="auto"/>
              <w:bottom w:val="single" w:sz="8" w:space="0" w:color="000000"/>
              <w:right w:val="nil"/>
            </w:tcBorders>
            <w:shd w:val="clear" w:color="auto" w:fill="D5DCE4" w:themeFill="text2" w:themeFillTint="33"/>
            <w:vAlign w:val="center"/>
            <w:hideMark/>
          </w:tcPr>
          <w:p w:rsidR="00B370BB" w:rsidRPr="00E808B1" w:rsidRDefault="00B370BB" w:rsidP="00EC2B03">
            <w:pPr>
              <w:rPr>
                <w:rFonts w:ascii="Arial" w:hAnsi="Arial" w:cs="Arial"/>
                <w:b/>
                <w:color w:val="000000"/>
                <w:sz w:val="18"/>
                <w:szCs w:val="18"/>
                <w:lang w:eastAsia="en-US"/>
              </w:rPr>
            </w:pPr>
          </w:p>
        </w:tc>
        <w:tc>
          <w:tcPr>
            <w:tcW w:w="3223" w:type="dxa"/>
            <w:vMerge/>
            <w:tcBorders>
              <w:top w:val="single" w:sz="8" w:space="0" w:color="auto"/>
              <w:left w:val="nil"/>
              <w:bottom w:val="single" w:sz="8" w:space="0" w:color="000000"/>
              <w:right w:val="nil"/>
            </w:tcBorders>
            <w:shd w:val="clear" w:color="auto" w:fill="D5DCE4" w:themeFill="text2" w:themeFillTint="33"/>
            <w:vAlign w:val="center"/>
            <w:hideMark/>
          </w:tcPr>
          <w:p w:rsidR="00B370BB" w:rsidRPr="00E808B1" w:rsidRDefault="00B370BB" w:rsidP="00EC2B03">
            <w:pPr>
              <w:rPr>
                <w:rFonts w:ascii="Arial" w:hAnsi="Arial" w:cs="Arial"/>
                <w:b/>
                <w:color w:val="000000"/>
                <w:sz w:val="18"/>
                <w:szCs w:val="18"/>
                <w:lang w:eastAsia="en-US"/>
              </w:rPr>
            </w:pPr>
          </w:p>
        </w:tc>
        <w:tc>
          <w:tcPr>
            <w:tcW w:w="506" w:type="dxa"/>
            <w:vMerge/>
            <w:tcBorders>
              <w:top w:val="single" w:sz="8" w:space="0" w:color="auto"/>
              <w:left w:val="nil"/>
              <w:bottom w:val="single" w:sz="8" w:space="0" w:color="000000"/>
              <w:right w:val="nil"/>
            </w:tcBorders>
            <w:shd w:val="clear" w:color="auto" w:fill="D5DCE4" w:themeFill="text2" w:themeFillTint="33"/>
            <w:vAlign w:val="center"/>
            <w:hideMark/>
          </w:tcPr>
          <w:p w:rsidR="00B370BB" w:rsidRPr="00E808B1" w:rsidRDefault="00B370BB" w:rsidP="00EC2B03">
            <w:pPr>
              <w:rPr>
                <w:rFonts w:ascii="Arial" w:hAnsi="Arial" w:cs="Arial"/>
                <w:b/>
                <w:color w:val="000000"/>
                <w:sz w:val="18"/>
                <w:szCs w:val="18"/>
                <w:lang w:eastAsia="en-US"/>
              </w:rPr>
            </w:pPr>
          </w:p>
        </w:tc>
        <w:tc>
          <w:tcPr>
            <w:tcW w:w="1428" w:type="dxa"/>
            <w:vMerge/>
            <w:tcBorders>
              <w:top w:val="single" w:sz="8" w:space="0" w:color="auto"/>
              <w:left w:val="nil"/>
              <w:bottom w:val="single" w:sz="8" w:space="0" w:color="000000"/>
              <w:right w:val="nil"/>
            </w:tcBorders>
            <w:shd w:val="clear" w:color="auto" w:fill="D5DCE4" w:themeFill="text2" w:themeFillTint="33"/>
            <w:vAlign w:val="center"/>
            <w:hideMark/>
          </w:tcPr>
          <w:p w:rsidR="00B370BB" w:rsidRPr="00E808B1" w:rsidRDefault="00B370BB" w:rsidP="00EC2B03">
            <w:pPr>
              <w:rPr>
                <w:rFonts w:ascii="Arial" w:hAnsi="Arial" w:cs="Arial"/>
                <w:b/>
                <w:color w:val="000000"/>
                <w:sz w:val="18"/>
                <w:szCs w:val="18"/>
                <w:lang w:eastAsia="en-US"/>
              </w:rPr>
            </w:pPr>
          </w:p>
        </w:tc>
        <w:tc>
          <w:tcPr>
            <w:tcW w:w="1896" w:type="dxa"/>
            <w:vMerge/>
            <w:tcBorders>
              <w:top w:val="single" w:sz="8" w:space="0" w:color="auto"/>
              <w:left w:val="nil"/>
              <w:bottom w:val="single" w:sz="8" w:space="0" w:color="000000"/>
              <w:right w:val="nil"/>
            </w:tcBorders>
            <w:shd w:val="clear" w:color="auto" w:fill="D5DCE4" w:themeFill="text2" w:themeFillTint="33"/>
            <w:vAlign w:val="center"/>
            <w:hideMark/>
          </w:tcPr>
          <w:p w:rsidR="00B370BB" w:rsidRPr="00E808B1" w:rsidRDefault="00B370BB" w:rsidP="00EC2B03">
            <w:pPr>
              <w:rPr>
                <w:rFonts w:ascii="Arial" w:hAnsi="Arial" w:cs="Arial"/>
                <w:b/>
                <w:color w:val="000000"/>
                <w:sz w:val="18"/>
                <w:szCs w:val="18"/>
                <w:lang w:eastAsia="en-US"/>
              </w:rPr>
            </w:pPr>
          </w:p>
        </w:tc>
        <w:tc>
          <w:tcPr>
            <w:tcW w:w="1010" w:type="dxa"/>
            <w:vMerge/>
            <w:tcBorders>
              <w:top w:val="single" w:sz="8" w:space="0" w:color="auto"/>
              <w:left w:val="nil"/>
              <w:bottom w:val="single" w:sz="8" w:space="0" w:color="000000"/>
              <w:right w:val="nil"/>
            </w:tcBorders>
            <w:shd w:val="clear" w:color="auto" w:fill="D5DCE4" w:themeFill="text2" w:themeFillTint="33"/>
            <w:vAlign w:val="center"/>
            <w:hideMark/>
          </w:tcPr>
          <w:p w:rsidR="00B370BB" w:rsidRPr="00E808B1" w:rsidRDefault="00B370BB" w:rsidP="00EC2B03">
            <w:pPr>
              <w:rPr>
                <w:rFonts w:ascii="Arial" w:hAnsi="Arial" w:cs="Arial"/>
                <w:b/>
                <w:color w:val="000000"/>
                <w:sz w:val="18"/>
                <w:szCs w:val="18"/>
                <w:lang w:eastAsia="en-US"/>
              </w:rPr>
            </w:pPr>
          </w:p>
        </w:tc>
        <w:tc>
          <w:tcPr>
            <w:tcW w:w="1572" w:type="dxa"/>
            <w:tcBorders>
              <w:top w:val="nil"/>
              <w:left w:val="nil"/>
              <w:bottom w:val="single" w:sz="8" w:space="0" w:color="auto"/>
              <w:right w:val="single" w:sz="4" w:space="0" w:color="auto"/>
            </w:tcBorders>
            <w:shd w:val="clear" w:color="auto" w:fill="D5DCE4" w:themeFill="text2" w:themeFillTint="33"/>
            <w:vAlign w:val="center"/>
            <w:hideMark/>
          </w:tcPr>
          <w:p w:rsidR="00B370BB" w:rsidRPr="00E808B1" w:rsidRDefault="00B370BB" w:rsidP="00EC2B03">
            <w:pPr>
              <w:jc w:val="center"/>
              <w:rPr>
                <w:rFonts w:ascii="Arial" w:hAnsi="Arial" w:cs="Arial"/>
                <w:b/>
                <w:color w:val="000000"/>
                <w:sz w:val="18"/>
                <w:szCs w:val="18"/>
                <w:lang w:eastAsia="en-US"/>
              </w:rPr>
            </w:pPr>
            <w:r w:rsidRPr="00E808B1">
              <w:rPr>
                <w:rFonts w:ascii="Arial" w:hAnsi="Arial" w:cs="Arial"/>
                <w:b/>
                <w:color w:val="000000"/>
                <w:sz w:val="18"/>
                <w:szCs w:val="18"/>
                <w:lang w:eastAsia="en-US"/>
              </w:rPr>
              <w:t>smanjenje                 (5-4)</w:t>
            </w:r>
          </w:p>
        </w:tc>
      </w:tr>
      <w:tr w:rsidR="00B370BB" w:rsidRPr="00A73102" w:rsidTr="00780348">
        <w:trPr>
          <w:trHeight w:val="180"/>
        </w:trPr>
        <w:tc>
          <w:tcPr>
            <w:tcW w:w="489" w:type="dxa"/>
            <w:tcBorders>
              <w:top w:val="nil"/>
              <w:left w:val="single" w:sz="4" w:space="0" w:color="auto"/>
              <w:bottom w:val="single" w:sz="8" w:space="0" w:color="auto"/>
              <w:right w:val="nil"/>
            </w:tcBorders>
            <w:shd w:val="clear" w:color="auto" w:fill="D5DCE4" w:themeFill="text2" w:themeFillTint="33"/>
            <w:noWrap/>
            <w:vAlign w:val="center"/>
            <w:hideMark/>
          </w:tcPr>
          <w:p w:rsidR="00B370BB" w:rsidRPr="00A73102" w:rsidRDefault="00B370BB" w:rsidP="00EC2B03">
            <w:pPr>
              <w:jc w:val="center"/>
              <w:rPr>
                <w:rFonts w:ascii="Arial" w:hAnsi="Arial" w:cs="Arial"/>
                <w:i/>
                <w:iCs/>
                <w:color w:val="000000"/>
                <w:sz w:val="12"/>
                <w:szCs w:val="12"/>
                <w:lang w:eastAsia="en-US"/>
              </w:rPr>
            </w:pPr>
            <w:r w:rsidRPr="00A73102">
              <w:rPr>
                <w:rFonts w:ascii="Arial" w:hAnsi="Arial" w:cs="Arial"/>
                <w:i/>
                <w:iCs/>
                <w:color w:val="000000"/>
                <w:sz w:val="12"/>
                <w:szCs w:val="12"/>
                <w:lang w:eastAsia="en-US"/>
              </w:rPr>
              <w:t>1</w:t>
            </w:r>
          </w:p>
        </w:tc>
        <w:tc>
          <w:tcPr>
            <w:tcW w:w="3223" w:type="dxa"/>
            <w:tcBorders>
              <w:top w:val="nil"/>
              <w:left w:val="nil"/>
              <w:bottom w:val="single" w:sz="8" w:space="0" w:color="auto"/>
              <w:right w:val="nil"/>
            </w:tcBorders>
            <w:shd w:val="clear" w:color="auto" w:fill="D5DCE4" w:themeFill="text2" w:themeFillTint="33"/>
            <w:noWrap/>
            <w:vAlign w:val="center"/>
            <w:hideMark/>
          </w:tcPr>
          <w:p w:rsidR="00B370BB" w:rsidRPr="00A73102" w:rsidRDefault="00B370BB" w:rsidP="00EC2B03">
            <w:pPr>
              <w:jc w:val="center"/>
              <w:rPr>
                <w:rFonts w:ascii="Arial" w:hAnsi="Arial" w:cs="Arial"/>
                <w:i/>
                <w:iCs/>
                <w:color w:val="000000"/>
                <w:sz w:val="12"/>
                <w:szCs w:val="12"/>
                <w:lang w:eastAsia="en-US"/>
              </w:rPr>
            </w:pPr>
            <w:r w:rsidRPr="00A73102">
              <w:rPr>
                <w:rFonts w:ascii="Arial" w:hAnsi="Arial" w:cs="Arial"/>
                <w:i/>
                <w:iCs/>
                <w:color w:val="000000"/>
                <w:sz w:val="12"/>
                <w:szCs w:val="12"/>
                <w:lang w:eastAsia="en-US"/>
              </w:rPr>
              <w:t>2</w:t>
            </w:r>
          </w:p>
        </w:tc>
        <w:tc>
          <w:tcPr>
            <w:tcW w:w="506" w:type="dxa"/>
            <w:tcBorders>
              <w:top w:val="nil"/>
              <w:left w:val="nil"/>
              <w:bottom w:val="single" w:sz="8" w:space="0" w:color="auto"/>
              <w:right w:val="nil"/>
            </w:tcBorders>
            <w:shd w:val="clear" w:color="auto" w:fill="D5DCE4" w:themeFill="text2" w:themeFillTint="33"/>
            <w:noWrap/>
            <w:vAlign w:val="center"/>
            <w:hideMark/>
          </w:tcPr>
          <w:p w:rsidR="00B370BB" w:rsidRPr="00A73102" w:rsidRDefault="00B370BB" w:rsidP="00EC2B03">
            <w:pPr>
              <w:jc w:val="center"/>
              <w:rPr>
                <w:rFonts w:ascii="Arial" w:hAnsi="Arial" w:cs="Arial"/>
                <w:i/>
                <w:iCs/>
                <w:color w:val="000000"/>
                <w:sz w:val="12"/>
                <w:szCs w:val="12"/>
                <w:lang w:eastAsia="en-US"/>
              </w:rPr>
            </w:pPr>
            <w:r w:rsidRPr="00A73102">
              <w:rPr>
                <w:rFonts w:ascii="Arial" w:hAnsi="Arial" w:cs="Arial"/>
                <w:i/>
                <w:iCs/>
                <w:color w:val="000000"/>
                <w:sz w:val="12"/>
                <w:szCs w:val="12"/>
                <w:lang w:eastAsia="en-US"/>
              </w:rPr>
              <w:t>3</w:t>
            </w:r>
          </w:p>
        </w:tc>
        <w:tc>
          <w:tcPr>
            <w:tcW w:w="1428" w:type="dxa"/>
            <w:tcBorders>
              <w:top w:val="nil"/>
              <w:left w:val="nil"/>
              <w:bottom w:val="single" w:sz="8" w:space="0" w:color="auto"/>
              <w:right w:val="nil"/>
            </w:tcBorders>
            <w:shd w:val="clear" w:color="auto" w:fill="D5DCE4" w:themeFill="text2" w:themeFillTint="33"/>
            <w:noWrap/>
            <w:vAlign w:val="center"/>
            <w:hideMark/>
          </w:tcPr>
          <w:p w:rsidR="00B370BB" w:rsidRPr="00A73102" w:rsidRDefault="00B370BB" w:rsidP="00EC2B03">
            <w:pPr>
              <w:jc w:val="center"/>
              <w:rPr>
                <w:rFonts w:ascii="Arial" w:hAnsi="Arial" w:cs="Arial"/>
                <w:i/>
                <w:iCs/>
                <w:color w:val="000000"/>
                <w:sz w:val="12"/>
                <w:szCs w:val="12"/>
                <w:lang w:eastAsia="en-US"/>
              </w:rPr>
            </w:pPr>
            <w:r w:rsidRPr="00A73102">
              <w:rPr>
                <w:rFonts w:ascii="Arial" w:hAnsi="Arial" w:cs="Arial"/>
                <w:i/>
                <w:iCs/>
                <w:color w:val="000000"/>
                <w:sz w:val="12"/>
                <w:szCs w:val="12"/>
                <w:lang w:eastAsia="en-US"/>
              </w:rPr>
              <w:t>4</w:t>
            </w:r>
          </w:p>
        </w:tc>
        <w:tc>
          <w:tcPr>
            <w:tcW w:w="1896" w:type="dxa"/>
            <w:tcBorders>
              <w:top w:val="nil"/>
              <w:left w:val="nil"/>
              <w:bottom w:val="single" w:sz="8" w:space="0" w:color="auto"/>
              <w:right w:val="nil"/>
            </w:tcBorders>
            <w:shd w:val="clear" w:color="auto" w:fill="D5DCE4" w:themeFill="text2" w:themeFillTint="33"/>
            <w:noWrap/>
            <w:vAlign w:val="center"/>
            <w:hideMark/>
          </w:tcPr>
          <w:p w:rsidR="00B370BB" w:rsidRPr="00A73102" w:rsidRDefault="00B370BB" w:rsidP="00EC2B03">
            <w:pPr>
              <w:jc w:val="center"/>
              <w:rPr>
                <w:rFonts w:ascii="Arial" w:hAnsi="Arial" w:cs="Arial"/>
                <w:i/>
                <w:iCs/>
                <w:color w:val="000000"/>
                <w:sz w:val="12"/>
                <w:szCs w:val="12"/>
                <w:lang w:eastAsia="en-US"/>
              </w:rPr>
            </w:pPr>
            <w:r w:rsidRPr="00A73102">
              <w:rPr>
                <w:rFonts w:ascii="Arial" w:hAnsi="Arial" w:cs="Arial"/>
                <w:i/>
                <w:iCs/>
                <w:color w:val="000000"/>
                <w:sz w:val="12"/>
                <w:szCs w:val="12"/>
                <w:lang w:eastAsia="en-US"/>
              </w:rPr>
              <w:t>5</w:t>
            </w:r>
          </w:p>
        </w:tc>
        <w:tc>
          <w:tcPr>
            <w:tcW w:w="1010" w:type="dxa"/>
            <w:tcBorders>
              <w:top w:val="nil"/>
              <w:left w:val="nil"/>
              <w:bottom w:val="single" w:sz="8" w:space="0" w:color="auto"/>
              <w:right w:val="nil"/>
            </w:tcBorders>
            <w:shd w:val="clear" w:color="auto" w:fill="D5DCE4" w:themeFill="text2" w:themeFillTint="33"/>
            <w:noWrap/>
            <w:vAlign w:val="center"/>
            <w:hideMark/>
          </w:tcPr>
          <w:p w:rsidR="00B370BB" w:rsidRPr="00A73102" w:rsidRDefault="00B370BB" w:rsidP="00EC2B03">
            <w:pPr>
              <w:jc w:val="center"/>
              <w:rPr>
                <w:rFonts w:ascii="Arial" w:hAnsi="Arial" w:cs="Arial"/>
                <w:i/>
                <w:iCs/>
                <w:color w:val="000000"/>
                <w:sz w:val="12"/>
                <w:szCs w:val="12"/>
                <w:lang w:eastAsia="en-US"/>
              </w:rPr>
            </w:pPr>
            <w:r w:rsidRPr="00A73102">
              <w:rPr>
                <w:rFonts w:ascii="Arial" w:hAnsi="Arial" w:cs="Arial"/>
                <w:i/>
                <w:iCs/>
                <w:color w:val="000000"/>
                <w:sz w:val="12"/>
                <w:szCs w:val="12"/>
                <w:lang w:eastAsia="en-US"/>
              </w:rPr>
              <w:t>6</w:t>
            </w:r>
          </w:p>
        </w:tc>
        <w:tc>
          <w:tcPr>
            <w:tcW w:w="1572" w:type="dxa"/>
            <w:tcBorders>
              <w:top w:val="nil"/>
              <w:left w:val="nil"/>
              <w:bottom w:val="single" w:sz="8" w:space="0" w:color="auto"/>
              <w:right w:val="single" w:sz="4" w:space="0" w:color="auto"/>
            </w:tcBorders>
            <w:shd w:val="clear" w:color="auto" w:fill="D5DCE4" w:themeFill="text2" w:themeFillTint="33"/>
            <w:noWrap/>
            <w:vAlign w:val="center"/>
            <w:hideMark/>
          </w:tcPr>
          <w:p w:rsidR="00B370BB" w:rsidRPr="00A73102" w:rsidRDefault="00B370BB" w:rsidP="00EC2B03">
            <w:pPr>
              <w:jc w:val="center"/>
              <w:rPr>
                <w:rFonts w:ascii="Arial" w:hAnsi="Arial" w:cs="Arial"/>
                <w:i/>
                <w:iCs/>
                <w:color w:val="000000"/>
                <w:sz w:val="12"/>
                <w:szCs w:val="12"/>
                <w:lang w:eastAsia="en-US"/>
              </w:rPr>
            </w:pPr>
            <w:r w:rsidRPr="00A73102">
              <w:rPr>
                <w:rFonts w:ascii="Arial" w:hAnsi="Arial" w:cs="Arial"/>
                <w:i/>
                <w:iCs/>
                <w:color w:val="000000"/>
                <w:sz w:val="12"/>
                <w:szCs w:val="12"/>
                <w:lang w:eastAsia="en-US"/>
              </w:rPr>
              <w:t>7</w:t>
            </w:r>
          </w:p>
        </w:tc>
      </w:tr>
      <w:tr w:rsidR="00B370BB" w:rsidRPr="00A73102" w:rsidTr="00AD3F28">
        <w:trPr>
          <w:trHeight w:val="552"/>
        </w:trPr>
        <w:tc>
          <w:tcPr>
            <w:tcW w:w="489" w:type="dxa"/>
            <w:tcBorders>
              <w:top w:val="nil"/>
              <w:left w:val="single" w:sz="4" w:space="0" w:color="auto"/>
              <w:bottom w:val="single" w:sz="4" w:space="0" w:color="auto"/>
              <w:right w:val="nil"/>
            </w:tcBorders>
            <w:shd w:val="clear" w:color="auto" w:fill="auto"/>
            <w:noWrap/>
            <w:vAlign w:val="center"/>
            <w:hideMark/>
          </w:tcPr>
          <w:p w:rsidR="00B370BB" w:rsidRPr="00A73102" w:rsidRDefault="00B370BB" w:rsidP="005B6FA8">
            <w:pPr>
              <w:rPr>
                <w:rFonts w:ascii="Arial" w:hAnsi="Arial" w:cs="Arial"/>
                <w:b/>
                <w:color w:val="000000"/>
                <w:sz w:val="16"/>
                <w:szCs w:val="16"/>
                <w:lang w:eastAsia="en-US"/>
              </w:rPr>
            </w:pPr>
            <w:r w:rsidRPr="00A73102">
              <w:rPr>
                <w:rFonts w:ascii="Arial" w:hAnsi="Arial" w:cs="Arial"/>
                <w:b/>
                <w:color w:val="000000"/>
                <w:sz w:val="16"/>
                <w:szCs w:val="16"/>
                <w:lang w:eastAsia="en-US"/>
              </w:rPr>
              <w:t>2</w:t>
            </w:r>
          </w:p>
        </w:tc>
        <w:tc>
          <w:tcPr>
            <w:tcW w:w="3223" w:type="dxa"/>
            <w:tcBorders>
              <w:top w:val="nil"/>
              <w:left w:val="nil"/>
              <w:bottom w:val="single" w:sz="4" w:space="0" w:color="auto"/>
              <w:right w:val="nil"/>
            </w:tcBorders>
            <w:shd w:val="clear" w:color="auto" w:fill="auto"/>
            <w:noWrap/>
            <w:vAlign w:val="center"/>
            <w:hideMark/>
          </w:tcPr>
          <w:p w:rsidR="00B370BB" w:rsidRPr="00A73102" w:rsidRDefault="00B370BB" w:rsidP="005B6FA8">
            <w:pPr>
              <w:rPr>
                <w:rFonts w:ascii="Arial" w:hAnsi="Arial" w:cs="Arial"/>
                <w:b/>
                <w:color w:val="000000"/>
                <w:sz w:val="16"/>
                <w:szCs w:val="16"/>
                <w:lang w:eastAsia="en-US"/>
              </w:rPr>
            </w:pPr>
            <w:r w:rsidRPr="00A73102">
              <w:rPr>
                <w:rFonts w:ascii="Arial" w:hAnsi="Arial" w:cs="Arial"/>
                <w:b/>
                <w:color w:val="000000"/>
                <w:sz w:val="16"/>
                <w:szCs w:val="16"/>
                <w:lang w:eastAsia="en-US"/>
              </w:rPr>
              <w:t>Obveze</w:t>
            </w:r>
          </w:p>
        </w:tc>
        <w:tc>
          <w:tcPr>
            <w:tcW w:w="506" w:type="dxa"/>
            <w:tcBorders>
              <w:top w:val="nil"/>
              <w:left w:val="nil"/>
              <w:bottom w:val="single" w:sz="4" w:space="0" w:color="auto"/>
              <w:right w:val="nil"/>
            </w:tcBorders>
            <w:shd w:val="clear" w:color="auto" w:fill="auto"/>
            <w:noWrap/>
            <w:vAlign w:val="center"/>
            <w:hideMark/>
          </w:tcPr>
          <w:p w:rsidR="00B370BB" w:rsidRPr="00A73102" w:rsidRDefault="00B370BB" w:rsidP="00283114">
            <w:pPr>
              <w:jc w:val="center"/>
              <w:rPr>
                <w:rFonts w:ascii="Arial" w:hAnsi="Arial" w:cs="Arial"/>
                <w:b/>
                <w:color w:val="000000"/>
                <w:sz w:val="16"/>
                <w:szCs w:val="16"/>
                <w:lang w:eastAsia="en-US"/>
              </w:rPr>
            </w:pPr>
            <w:r w:rsidRPr="00A73102">
              <w:rPr>
                <w:rFonts w:ascii="Arial" w:hAnsi="Arial" w:cs="Arial"/>
                <w:b/>
                <w:color w:val="000000"/>
                <w:sz w:val="16"/>
                <w:szCs w:val="16"/>
                <w:lang w:eastAsia="en-US"/>
              </w:rPr>
              <w:t>2</w:t>
            </w:r>
          </w:p>
        </w:tc>
        <w:tc>
          <w:tcPr>
            <w:tcW w:w="1428" w:type="dxa"/>
            <w:tcBorders>
              <w:top w:val="nil"/>
              <w:left w:val="nil"/>
              <w:bottom w:val="single" w:sz="4" w:space="0" w:color="auto"/>
              <w:right w:val="nil"/>
            </w:tcBorders>
            <w:shd w:val="clear" w:color="auto" w:fill="auto"/>
            <w:noWrap/>
            <w:vAlign w:val="center"/>
            <w:hideMark/>
          </w:tcPr>
          <w:p w:rsidR="00B370BB" w:rsidRPr="00A73102" w:rsidRDefault="00B370BB" w:rsidP="00283114">
            <w:pPr>
              <w:rPr>
                <w:rFonts w:ascii="Arial" w:hAnsi="Arial" w:cs="Arial"/>
                <w:b/>
                <w:color w:val="000000"/>
                <w:sz w:val="16"/>
                <w:szCs w:val="16"/>
                <w:lang w:eastAsia="en-US"/>
              </w:rPr>
            </w:pPr>
            <w:r w:rsidRPr="00A73102">
              <w:rPr>
                <w:rFonts w:ascii="Arial" w:hAnsi="Arial" w:cs="Arial"/>
                <w:b/>
                <w:color w:val="000000"/>
                <w:sz w:val="16"/>
                <w:szCs w:val="16"/>
                <w:lang w:eastAsia="en-US"/>
              </w:rPr>
              <w:t>454.662.170</w:t>
            </w:r>
            <w:r w:rsidR="00547071" w:rsidRPr="00A73102">
              <w:rPr>
                <w:rFonts w:ascii="Arial" w:hAnsi="Arial" w:cs="Arial"/>
                <w:b/>
                <w:color w:val="000000"/>
                <w:sz w:val="16"/>
                <w:szCs w:val="16"/>
                <w:lang w:eastAsia="en-US"/>
              </w:rPr>
              <w:t>,00</w:t>
            </w:r>
          </w:p>
        </w:tc>
        <w:tc>
          <w:tcPr>
            <w:tcW w:w="1896" w:type="dxa"/>
            <w:tcBorders>
              <w:top w:val="nil"/>
              <w:left w:val="nil"/>
              <w:bottom w:val="single" w:sz="4" w:space="0" w:color="auto"/>
              <w:right w:val="nil"/>
            </w:tcBorders>
            <w:shd w:val="clear" w:color="auto" w:fill="auto"/>
            <w:noWrap/>
            <w:vAlign w:val="center"/>
            <w:hideMark/>
          </w:tcPr>
          <w:p w:rsidR="00B370BB" w:rsidRPr="00A73102" w:rsidRDefault="00283114" w:rsidP="00283114">
            <w:pPr>
              <w:jc w:val="center"/>
              <w:rPr>
                <w:rFonts w:ascii="Arial" w:hAnsi="Arial" w:cs="Arial"/>
                <w:b/>
                <w:color w:val="000000"/>
                <w:sz w:val="16"/>
                <w:szCs w:val="16"/>
                <w:lang w:eastAsia="en-US"/>
              </w:rPr>
            </w:pPr>
            <w:r w:rsidRPr="00A73102">
              <w:rPr>
                <w:rFonts w:ascii="Arial" w:hAnsi="Arial" w:cs="Arial"/>
                <w:b/>
                <w:color w:val="000000"/>
                <w:sz w:val="16"/>
                <w:szCs w:val="16"/>
                <w:lang w:eastAsia="en-US"/>
              </w:rPr>
              <w:t xml:space="preserve">      </w:t>
            </w:r>
            <w:r w:rsidR="00B370BB" w:rsidRPr="00A73102">
              <w:rPr>
                <w:rFonts w:ascii="Arial" w:hAnsi="Arial" w:cs="Arial"/>
                <w:b/>
                <w:color w:val="000000"/>
                <w:sz w:val="16"/>
                <w:szCs w:val="16"/>
                <w:lang w:eastAsia="en-US"/>
              </w:rPr>
              <w:t>395.183.021,32</w:t>
            </w:r>
          </w:p>
        </w:tc>
        <w:tc>
          <w:tcPr>
            <w:tcW w:w="1010" w:type="dxa"/>
            <w:tcBorders>
              <w:top w:val="nil"/>
              <w:left w:val="nil"/>
              <w:bottom w:val="single" w:sz="4" w:space="0" w:color="auto"/>
              <w:right w:val="nil"/>
            </w:tcBorders>
            <w:shd w:val="clear" w:color="auto" w:fill="auto"/>
            <w:noWrap/>
            <w:vAlign w:val="center"/>
            <w:hideMark/>
          </w:tcPr>
          <w:p w:rsidR="00B370BB" w:rsidRPr="00A73102" w:rsidRDefault="00B370BB" w:rsidP="00283114">
            <w:pPr>
              <w:jc w:val="center"/>
              <w:rPr>
                <w:rFonts w:ascii="Arial" w:hAnsi="Arial" w:cs="Arial"/>
                <w:b/>
                <w:color w:val="000000"/>
                <w:sz w:val="16"/>
                <w:szCs w:val="16"/>
                <w:lang w:eastAsia="en-US"/>
              </w:rPr>
            </w:pPr>
            <w:r w:rsidRPr="00A73102">
              <w:rPr>
                <w:rFonts w:ascii="Arial" w:hAnsi="Arial" w:cs="Arial"/>
                <w:b/>
                <w:color w:val="000000"/>
                <w:sz w:val="16"/>
                <w:szCs w:val="16"/>
                <w:lang w:eastAsia="en-US"/>
              </w:rPr>
              <w:t>86,9</w:t>
            </w:r>
          </w:p>
        </w:tc>
        <w:tc>
          <w:tcPr>
            <w:tcW w:w="1572" w:type="dxa"/>
            <w:tcBorders>
              <w:top w:val="nil"/>
              <w:left w:val="nil"/>
              <w:bottom w:val="single" w:sz="4" w:space="0" w:color="auto"/>
              <w:right w:val="single" w:sz="4" w:space="0" w:color="auto"/>
            </w:tcBorders>
            <w:shd w:val="clear" w:color="auto" w:fill="auto"/>
            <w:noWrap/>
            <w:vAlign w:val="center"/>
            <w:hideMark/>
          </w:tcPr>
          <w:p w:rsidR="00B370BB" w:rsidRPr="00A73102" w:rsidRDefault="00283114" w:rsidP="00283114">
            <w:pPr>
              <w:jc w:val="center"/>
              <w:rPr>
                <w:rFonts w:ascii="Arial" w:hAnsi="Arial" w:cs="Arial"/>
                <w:b/>
                <w:sz w:val="16"/>
                <w:szCs w:val="16"/>
                <w:lang w:eastAsia="en-US"/>
              </w:rPr>
            </w:pPr>
            <w:r w:rsidRPr="00A73102">
              <w:rPr>
                <w:rFonts w:ascii="Arial" w:hAnsi="Arial" w:cs="Arial"/>
                <w:b/>
                <w:sz w:val="16"/>
                <w:szCs w:val="16"/>
                <w:lang w:eastAsia="en-US"/>
              </w:rPr>
              <w:t xml:space="preserve">     </w:t>
            </w:r>
            <w:r w:rsidR="00B370BB" w:rsidRPr="00A73102">
              <w:rPr>
                <w:rFonts w:ascii="Arial" w:hAnsi="Arial" w:cs="Arial"/>
                <w:b/>
                <w:sz w:val="16"/>
                <w:szCs w:val="16"/>
                <w:lang w:eastAsia="en-US"/>
              </w:rPr>
              <w:t>-59.479.148,68</w:t>
            </w:r>
          </w:p>
        </w:tc>
      </w:tr>
      <w:tr w:rsidR="00B370BB" w:rsidRPr="00A73102" w:rsidTr="00AD3F28">
        <w:trPr>
          <w:trHeight w:val="592"/>
        </w:trPr>
        <w:tc>
          <w:tcPr>
            <w:tcW w:w="489" w:type="dxa"/>
            <w:tcBorders>
              <w:top w:val="nil"/>
              <w:left w:val="single" w:sz="4" w:space="0" w:color="auto"/>
              <w:bottom w:val="single" w:sz="4" w:space="0" w:color="auto"/>
              <w:right w:val="nil"/>
            </w:tcBorders>
            <w:shd w:val="clear" w:color="auto" w:fill="auto"/>
            <w:noWrap/>
            <w:vAlign w:val="center"/>
            <w:hideMark/>
          </w:tcPr>
          <w:p w:rsidR="00B370BB" w:rsidRPr="00A73102" w:rsidRDefault="00B370BB" w:rsidP="00EC2B03">
            <w:pPr>
              <w:jc w:val="both"/>
              <w:rPr>
                <w:rFonts w:ascii="Arial" w:hAnsi="Arial" w:cs="Arial"/>
                <w:color w:val="000000"/>
                <w:sz w:val="16"/>
                <w:szCs w:val="16"/>
                <w:lang w:eastAsia="en-US"/>
              </w:rPr>
            </w:pPr>
            <w:r w:rsidRPr="00A73102">
              <w:rPr>
                <w:rFonts w:ascii="Arial" w:hAnsi="Arial" w:cs="Arial"/>
                <w:color w:val="000000"/>
                <w:sz w:val="16"/>
                <w:szCs w:val="16"/>
                <w:lang w:eastAsia="en-US"/>
              </w:rPr>
              <w:t>23</w:t>
            </w:r>
          </w:p>
        </w:tc>
        <w:tc>
          <w:tcPr>
            <w:tcW w:w="3223" w:type="dxa"/>
            <w:tcBorders>
              <w:top w:val="nil"/>
              <w:left w:val="nil"/>
              <w:bottom w:val="single" w:sz="4" w:space="0" w:color="auto"/>
              <w:right w:val="nil"/>
            </w:tcBorders>
            <w:shd w:val="clear" w:color="auto" w:fill="auto"/>
            <w:noWrap/>
            <w:vAlign w:val="center"/>
            <w:hideMark/>
          </w:tcPr>
          <w:p w:rsidR="00B370BB" w:rsidRPr="00A73102" w:rsidRDefault="00B370BB" w:rsidP="00EC2B03">
            <w:pPr>
              <w:jc w:val="both"/>
              <w:rPr>
                <w:rFonts w:ascii="Arial" w:hAnsi="Arial" w:cs="Arial"/>
                <w:color w:val="000000"/>
                <w:sz w:val="16"/>
                <w:szCs w:val="16"/>
                <w:lang w:eastAsia="en-US"/>
              </w:rPr>
            </w:pPr>
            <w:r w:rsidRPr="00A73102">
              <w:rPr>
                <w:rFonts w:ascii="Arial" w:hAnsi="Arial" w:cs="Arial"/>
                <w:color w:val="000000"/>
                <w:sz w:val="16"/>
                <w:szCs w:val="16"/>
                <w:lang w:eastAsia="en-US"/>
              </w:rPr>
              <w:t>Obveze za rashode poslovanja</w:t>
            </w:r>
          </w:p>
        </w:tc>
        <w:tc>
          <w:tcPr>
            <w:tcW w:w="506" w:type="dxa"/>
            <w:tcBorders>
              <w:top w:val="nil"/>
              <w:left w:val="nil"/>
              <w:bottom w:val="single" w:sz="4" w:space="0" w:color="auto"/>
              <w:right w:val="nil"/>
            </w:tcBorders>
            <w:shd w:val="clear" w:color="auto" w:fill="auto"/>
            <w:noWrap/>
            <w:vAlign w:val="center"/>
            <w:hideMark/>
          </w:tcPr>
          <w:p w:rsidR="00B370BB" w:rsidRPr="00A73102" w:rsidRDefault="00B370BB" w:rsidP="00EC2B03">
            <w:pPr>
              <w:jc w:val="center"/>
              <w:rPr>
                <w:rFonts w:ascii="Arial" w:hAnsi="Arial" w:cs="Arial"/>
                <w:color w:val="000000"/>
                <w:sz w:val="16"/>
                <w:szCs w:val="16"/>
                <w:lang w:eastAsia="en-US"/>
              </w:rPr>
            </w:pPr>
            <w:r w:rsidRPr="00A73102">
              <w:rPr>
                <w:rFonts w:ascii="Arial" w:hAnsi="Arial" w:cs="Arial"/>
                <w:color w:val="000000"/>
                <w:sz w:val="16"/>
                <w:szCs w:val="16"/>
                <w:lang w:eastAsia="en-US"/>
              </w:rPr>
              <w:t>23</w:t>
            </w:r>
          </w:p>
        </w:tc>
        <w:tc>
          <w:tcPr>
            <w:tcW w:w="1428" w:type="dxa"/>
            <w:tcBorders>
              <w:top w:val="nil"/>
              <w:left w:val="nil"/>
              <w:bottom w:val="single" w:sz="4" w:space="0" w:color="auto"/>
              <w:right w:val="nil"/>
            </w:tcBorders>
            <w:shd w:val="clear" w:color="auto" w:fill="auto"/>
            <w:noWrap/>
            <w:vAlign w:val="center"/>
            <w:hideMark/>
          </w:tcPr>
          <w:p w:rsidR="00B370BB" w:rsidRPr="00A73102" w:rsidRDefault="00B370BB" w:rsidP="00547071">
            <w:pPr>
              <w:rPr>
                <w:rFonts w:ascii="Arial" w:hAnsi="Arial" w:cs="Arial"/>
                <w:color w:val="000000"/>
                <w:sz w:val="16"/>
                <w:szCs w:val="16"/>
                <w:lang w:eastAsia="en-US"/>
              </w:rPr>
            </w:pPr>
            <w:r w:rsidRPr="00A73102">
              <w:rPr>
                <w:rFonts w:ascii="Arial" w:hAnsi="Arial" w:cs="Arial"/>
                <w:color w:val="000000"/>
                <w:sz w:val="16"/>
                <w:szCs w:val="16"/>
                <w:lang w:eastAsia="en-US"/>
              </w:rPr>
              <w:t>150.325.286</w:t>
            </w:r>
            <w:r w:rsidR="00547071" w:rsidRPr="00A73102">
              <w:rPr>
                <w:rFonts w:ascii="Arial" w:hAnsi="Arial" w:cs="Arial"/>
                <w:color w:val="000000"/>
                <w:sz w:val="16"/>
                <w:szCs w:val="16"/>
                <w:lang w:eastAsia="en-US"/>
              </w:rPr>
              <w:t>,00</w:t>
            </w:r>
          </w:p>
        </w:tc>
        <w:tc>
          <w:tcPr>
            <w:tcW w:w="1896" w:type="dxa"/>
            <w:tcBorders>
              <w:top w:val="nil"/>
              <w:left w:val="nil"/>
              <w:bottom w:val="single" w:sz="4" w:space="0" w:color="auto"/>
              <w:right w:val="nil"/>
            </w:tcBorders>
            <w:shd w:val="clear" w:color="auto" w:fill="auto"/>
            <w:noWrap/>
            <w:vAlign w:val="center"/>
            <w:hideMark/>
          </w:tcPr>
          <w:p w:rsidR="00B370BB" w:rsidRPr="00A73102" w:rsidRDefault="00547071" w:rsidP="00547071">
            <w:pPr>
              <w:jc w:val="center"/>
              <w:rPr>
                <w:rFonts w:ascii="Arial" w:hAnsi="Arial" w:cs="Arial"/>
                <w:color w:val="000000"/>
                <w:sz w:val="16"/>
                <w:szCs w:val="16"/>
                <w:lang w:eastAsia="en-US"/>
              </w:rPr>
            </w:pPr>
            <w:r w:rsidRPr="00A73102">
              <w:rPr>
                <w:rFonts w:ascii="Arial" w:hAnsi="Arial" w:cs="Arial"/>
                <w:color w:val="000000"/>
                <w:sz w:val="16"/>
                <w:szCs w:val="16"/>
                <w:lang w:eastAsia="en-US"/>
              </w:rPr>
              <w:t xml:space="preserve">      </w:t>
            </w:r>
            <w:r w:rsidR="001902E0" w:rsidRPr="00A73102">
              <w:rPr>
                <w:rFonts w:ascii="Arial" w:hAnsi="Arial" w:cs="Arial"/>
                <w:color w:val="000000"/>
                <w:sz w:val="16"/>
                <w:szCs w:val="16"/>
                <w:lang w:eastAsia="en-US"/>
              </w:rPr>
              <w:t xml:space="preserve"> </w:t>
            </w:r>
            <w:r w:rsidR="00B370BB" w:rsidRPr="00A73102">
              <w:rPr>
                <w:rFonts w:ascii="Arial" w:hAnsi="Arial" w:cs="Arial"/>
                <w:color w:val="000000"/>
                <w:sz w:val="16"/>
                <w:szCs w:val="16"/>
                <w:lang w:eastAsia="en-US"/>
              </w:rPr>
              <w:t>107.955.327,48</w:t>
            </w:r>
          </w:p>
        </w:tc>
        <w:tc>
          <w:tcPr>
            <w:tcW w:w="1010" w:type="dxa"/>
            <w:tcBorders>
              <w:top w:val="nil"/>
              <w:left w:val="nil"/>
              <w:bottom w:val="single" w:sz="4" w:space="0" w:color="auto"/>
              <w:right w:val="nil"/>
            </w:tcBorders>
            <w:shd w:val="clear" w:color="auto" w:fill="auto"/>
            <w:noWrap/>
            <w:vAlign w:val="center"/>
            <w:hideMark/>
          </w:tcPr>
          <w:p w:rsidR="00B370BB" w:rsidRPr="00A73102" w:rsidRDefault="00547071" w:rsidP="00547071">
            <w:pPr>
              <w:jc w:val="center"/>
              <w:rPr>
                <w:rFonts w:ascii="Arial" w:hAnsi="Arial" w:cs="Arial"/>
                <w:color w:val="000000"/>
                <w:sz w:val="16"/>
                <w:szCs w:val="16"/>
                <w:lang w:eastAsia="en-US"/>
              </w:rPr>
            </w:pPr>
            <w:r w:rsidRPr="00A73102">
              <w:rPr>
                <w:rFonts w:ascii="Arial" w:hAnsi="Arial" w:cs="Arial"/>
                <w:color w:val="000000"/>
                <w:sz w:val="16"/>
                <w:szCs w:val="16"/>
                <w:lang w:eastAsia="en-US"/>
              </w:rPr>
              <w:t xml:space="preserve">  </w:t>
            </w:r>
            <w:r w:rsidR="00B370BB" w:rsidRPr="00A73102">
              <w:rPr>
                <w:rFonts w:ascii="Arial" w:hAnsi="Arial" w:cs="Arial"/>
                <w:color w:val="000000"/>
                <w:sz w:val="16"/>
                <w:szCs w:val="16"/>
                <w:lang w:eastAsia="en-US"/>
              </w:rPr>
              <w:t>71,8</w:t>
            </w:r>
          </w:p>
        </w:tc>
        <w:tc>
          <w:tcPr>
            <w:tcW w:w="1572" w:type="dxa"/>
            <w:tcBorders>
              <w:top w:val="nil"/>
              <w:left w:val="nil"/>
              <w:bottom w:val="single" w:sz="4" w:space="0" w:color="auto"/>
              <w:right w:val="single" w:sz="4" w:space="0" w:color="auto"/>
            </w:tcBorders>
            <w:shd w:val="clear" w:color="auto" w:fill="auto"/>
            <w:noWrap/>
            <w:vAlign w:val="center"/>
            <w:hideMark/>
          </w:tcPr>
          <w:p w:rsidR="00B370BB" w:rsidRPr="00A73102" w:rsidRDefault="00B370BB" w:rsidP="00EC2B03">
            <w:pPr>
              <w:jc w:val="right"/>
              <w:rPr>
                <w:rFonts w:ascii="Arial" w:hAnsi="Arial" w:cs="Arial"/>
                <w:color w:val="000000"/>
                <w:sz w:val="16"/>
                <w:szCs w:val="16"/>
                <w:lang w:eastAsia="en-US"/>
              </w:rPr>
            </w:pPr>
            <w:r w:rsidRPr="00A73102">
              <w:rPr>
                <w:rFonts w:ascii="Arial" w:hAnsi="Arial" w:cs="Arial"/>
                <w:color w:val="000000"/>
                <w:sz w:val="16"/>
                <w:szCs w:val="16"/>
                <w:lang w:eastAsia="en-US"/>
              </w:rPr>
              <w:t>-42.369.958,52</w:t>
            </w:r>
          </w:p>
        </w:tc>
      </w:tr>
      <w:tr w:rsidR="00B370BB" w:rsidRPr="00A73102" w:rsidTr="00AD3F28">
        <w:trPr>
          <w:trHeight w:val="592"/>
        </w:trPr>
        <w:tc>
          <w:tcPr>
            <w:tcW w:w="489" w:type="dxa"/>
            <w:tcBorders>
              <w:top w:val="nil"/>
              <w:left w:val="single" w:sz="4" w:space="0" w:color="auto"/>
              <w:bottom w:val="single" w:sz="4" w:space="0" w:color="auto"/>
              <w:right w:val="nil"/>
            </w:tcBorders>
            <w:shd w:val="clear" w:color="auto" w:fill="auto"/>
            <w:noWrap/>
            <w:vAlign w:val="center"/>
            <w:hideMark/>
          </w:tcPr>
          <w:p w:rsidR="00B370BB" w:rsidRPr="00A73102" w:rsidRDefault="00B370BB" w:rsidP="00EC2B03">
            <w:pPr>
              <w:jc w:val="both"/>
              <w:rPr>
                <w:rFonts w:ascii="Arial" w:hAnsi="Arial" w:cs="Arial"/>
                <w:color w:val="000000"/>
                <w:sz w:val="16"/>
                <w:szCs w:val="16"/>
                <w:lang w:eastAsia="en-US"/>
              </w:rPr>
            </w:pPr>
            <w:r w:rsidRPr="00A73102">
              <w:rPr>
                <w:rFonts w:ascii="Arial" w:hAnsi="Arial" w:cs="Arial"/>
                <w:color w:val="000000"/>
                <w:sz w:val="16"/>
                <w:szCs w:val="16"/>
                <w:lang w:eastAsia="en-US"/>
              </w:rPr>
              <w:t>24</w:t>
            </w:r>
          </w:p>
        </w:tc>
        <w:tc>
          <w:tcPr>
            <w:tcW w:w="3223" w:type="dxa"/>
            <w:tcBorders>
              <w:top w:val="nil"/>
              <w:left w:val="nil"/>
              <w:bottom w:val="single" w:sz="4" w:space="0" w:color="auto"/>
              <w:right w:val="nil"/>
            </w:tcBorders>
            <w:shd w:val="clear" w:color="auto" w:fill="auto"/>
            <w:noWrap/>
            <w:vAlign w:val="center"/>
            <w:hideMark/>
          </w:tcPr>
          <w:p w:rsidR="00B370BB" w:rsidRPr="00A73102" w:rsidRDefault="00564FAC" w:rsidP="00EC2B03">
            <w:pPr>
              <w:jc w:val="both"/>
              <w:rPr>
                <w:rFonts w:ascii="Arial" w:hAnsi="Arial" w:cs="Arial"/>
                <w:color w:val="000000"/>
                <w:sz w:val="16"/>
                <w:szCs w:val="16"/>
                <w:lang w:eastAsia="en-US"/>
              </w:rPr>
            </w:pPr>
            <w:r w:rsidRPr="00A73102">
              <w:rPr>
                <w:rFonts w:ascii="Arial" w:hAnsi="Arial" w:cs="Arial"/>
                <w:color w:val="000000"/>
                <w:sz w:val="16"/>
                <w:szCs w:val="16"/>
                <w:lang w:eastAsia="en-US"/>
              </w:rPr>
              <w:t xml:space="preserve">Obveze za </w:t>
            </w:r>
            <w:r w:rsidR="00B370BB" w:rsidRPr="00A73102">
              <w:rPr>
                <w:rFonts w:ascii="Arial" w:hAnsi="Arial" w:cs="Arial"/>
                <w:color w:val="000000"/>
                <w:sz w:val="16"/>
                <w:szCs w:val="16"/>
                <w:lang w:eastAsia="en-US"/>
              </w:rPr>
              <w:t>nabavu nefinancijske imovine</w:t>
            </w:r>
          </w:p>
        </w:tc>
        <w:tc>
          <w:tcPr>
            <w:tcW w:w="506" w:type="dxa"/>
            <w:tcBorders>
              <w:top w:val="nil"/>
              <w:left w:val="nil"/>
              <w:bottom w:val="single" w:sz="4" w:space="0" w:color="auto"/>
              <w:right w:val="nil"/>
            </w:tcBorders>
            <w:shd w:val="clear" w:color="auto" w:fill="auto"/>
            <w:noWrap/>
            <w:vAlign w:val="center"/>
            <w:hideMark/>
          </w:tcPr>
          <w:p w:rsidR="00B370BB" w:rsidRPr="00A73102" w:rsidRDefault="00B370BB" w:rsidP="00EC2B03">
            <w:pPr>
              <w:jc w:val="center"/>
              <w:rPr>
                <w:rFonts w:ascii="Arial" w:hAnsi="Arial" w:cs="Arial"/>
                <w:color w:val="000000"/>
                <w:sz w:val="16"/>
                <w:szCs w:val="16"/>
                <w:lang w:eastAsia="en-US"/>
              </w:rPr>
            </w:pPr>
            <w:r w:rsidRPr="00A73102">
              <w:rPr>
                <w:rFonts w:ascii="Arial" w:hAnsi="Arial" w:cs="Arial"/>
                <w:color w:val="000000"/>
                <w:sz w:val="16"/>
                <w:szCs w:val="16"/>
                <w:lang w:eastAsia="en-US"/>
              </w:rPr>
              <w:t>24</w:t>
            </w:r>
          </w:p>
        </w:tc>
        <w:tc>
          <w:tcPr>
            <w:tcW w:w="1428" w:type="dxa"/>
            <w:tcBorders>
              <w:top w:val="nil"/>
              <w:left w:val="nil"/>
              <w:bottom w:val="single" w:sz="4" w:space="0" w:color="auto"/>
              <w:right w:val="nil"/>
            </w:tcBorders>
            <w:shd w:val="clear" w:color="auto" w:fill="auto"/>
            <w:noWrap/>
            <w:vAlign w:val="center"/>
            <w:hideMark/>
          </w:tcPr>
          <w:p w:rsidR="00B370BB" w:rsidRPr="00A73102" w:rsidRDefault="00547071" w:rsidP="00547071">
            <w:pPr>
              <w:rPr>
                <w:rFonts w:ascii="Arial" w:hAnsi="Arial" w:cs="Arial"/>
                <w:color w:val="000000"/>
                <w:sz w:val="16"/>
                <w:szCs w:val="16"/>
                <w:lang w:eastAsia="en-US"/>
              </w:rPr>
            </w:pPr>
            <w:r w:rsidRPr="00A73102">
              <w:rPr>
                <w:rFonts w:ascii="Arial" w:hAnsi="Arial" w:cs="Arial"/>
                <w:color w:val="000000"/>
                <w:sz w:val="16"/>
                <w:szCs w:val="16"/>
                <w:lang w:eastAsia="en-US"/>
              </w:rPr>
              <w:t xml:space="preserve">  </w:t>
            </w:r>
            <w:r w:rsidR="00B370BB" w:rsidRPr="00A73102">
              <w:rPr>
                <w:rFonts w:ascii="Arial" w:hAnsi="Arial" w:cs="Arial"/>
                <w:color w:val="000000"/>
                <w:sz w:val="16"/>
                <w:szCs w:val="16"/>
                <w:lang w:eastAsia="en-US"/>
              </w:rPr>
              <w:t>16.541.351</w:t>
            </w:r>
            <w:r w:rsidRPr="00A73102">
              <w:rPr>
                <w:rFonts w:ascii="Arial" w:hAnsi="Arial" w:cs="Arial"/>
                <w:color w:val="000000"/>
                <w:sz w:val="16"/>
                <w:szCs w:val="16"/>
                <w:lang w:eastAsia="en-US"/>
              </w:rPr>
              <w:t>,00</w:t>
            </w:r>
          </w:p>
        </w:tc>
        <w:tc>
          <w:tcPr>
            <w:tcW w:w="1896" w:type="dxa"/>
            <w:tcBorders>
              <w:top w:val="nil"/>
              <w:left w:val="nil"/>
              <w:bottom w:val="single" w:sz="4" w:space="0" w:color="auto"/>
              <w:right w:val="nil"/>
            </w:tcBorders>
            <w:shd w:val="clear" w:color="auto" w:fill="auto"/>
            <w:noWrap/>
            <w:vAlign w:val="center"/>
            <w:hideMark/>
          </w:tcPr>
          <w:p w:rsidR="00B370BB" w:rsidRPr="00A73102" w:rsidRDefault="00547071" w:rsidP="00547071">
            <w:pPr>
              <w:jc w:val="center"/>
              <w:rPr>
                <w:rFonts w:ascii="Arial" w:hAnsi="Arial" w:cs="Arial"/>
                <w:color w:val="000000"/>
                <w:sz w:val="16"/>
                <w:szCs w:val="16"/>
                <w:lang w:eastAsia="en-US"/>
              </w:rPr>
            </w:pPr>
            <w:r w:rsidRPr="00A73102">
              <w:rPr>
                <w:rFonts w:ascii="Arial" w:hAnsi="Arial" w:cs="Arial"/>
                <w:color w:val="000000"/>
                <w:sz w:val="16"/>
                <w:szCs w:val="16"/>
                <w:lang w:eastAsia="en-US"/>
              </w:rPr>
              <w:t xml:space="preserve">          </w:t>
            </w:r>
            <w:r w:rsidR="00B370BB" w:rsidRPr="00A73102">
              <w:rPr>
                <w:rFonts w:ascii="Arial" w:hAnsi="Arial" w:cs="Arial"/>
                <w:color w:val="000000"/>
                <w:sz w:val="16"/>
                <w:szCs w:val="16"/>
                <w:lang w:eastAsia="en-US"/>
              </w:rPr>
              <w:t>12.990.480,18</w:t>
            </w:r>
          </w:p>
        </w:tc>
        <w:tc>
          <w:tcPr>
            <w:tcW w:w="1010" w:type="dxa"/>
            <w:tcBorders>
              <w:top w:val="nil"/>
              <w:left w:val="nil"/>
              <w:bottom w:val="single" w:sz="4" w:space="0" w:color="auto"/>
              <w:right w:val="nil"/>
            </w:tcBorders>
            <w:shd w:val="clear" w:color="auto" w:fill="auto"/>
            <w:noWrap/>
            <w:vAlign w:val="center"/>
            <w:hideMark/>
          </w:tcPr>
          <w:p w:rsidR="00B370BB" w:rsidRPr="00A73102" w:rsidRDefault="00B370BB" w:rsidP="00EC2B03">
            <w:pPr>
              <w:jc w:val="center"/>
              <w:rPr>
                <w:rFonts w:ascii="Arial" w:hAnsi="Arial" w:cs="Arial"/>
                <w:color w:val="000000"/>
                <w:sz w:val="16"/>
                <w:szCs w:val="16"/>
                <w:lang w:eastAsia="en-US"/>
              </w:rPr>
            </w:pPr>
            <w:r w:rsidRPr="00A73102">
              <w:rPr>
                <w:rFonts w:ascii="Arial" w:hAnsi="Arial" w:cs="Arial"/>
                <w:color w:val="000000"/>
                <w:sz w:val="16"/>
                <w:szCs w:val="16"/>
                <w:lang w:eastAsia="en-US"/>
              </w:rPr>
              <w:t xml:space="preserve">   78,5</w:t>
            </w:r>
          </w:p>
        </w:tc>
        <w:tc>
          <w:tcPr>
            <w:tcW w:w="1572" w:type="dxa"/>
            <w:tcBorders>
              <w:top w:val="nil"/>
              <w:left w:val="nil"/>
              <w:bottom w:val="single" w:sz="4" w:space="0" w:color="auto"/>
              <w:right w:val="single" w:sz="4" w:space="0" w:color="auto"/>
            </w:tcBorders>
            <w:shd w:val="clear" w:color="auto" w:fill="auto"/>
            <w:noWrap/>
            <w:vAlign w:val="center"/>
            <w:hideMark/>
          </w:tcPr>
          <w:p w:rsidR="00B370BB" w:rsidRPr="00A73102" w:rsidRDefault="00B370BB" w:rsidP="00EC2B03">
            <w:pPr>
              <w:jc w:val="right"/>
              <w:rPr>
                <w:rFonts w:ascii="Arial" w:hAnsi="Arial" w:cs="Arial"/>
                <w:color w:val="000000"/>
                <w:sz w:val="16"/>
                <w:szCs w:val="16"/>
                <w:lang w:eastAsia="en-US"/>
              </w:rPr>
            </w:pPr>
            <w:r w:rsidRPr="00A73102">
              <w:rPr>
                <w:rFonts w:ascii="Arial" w:hAnsi="Arial" w:cs="Arial"/>
                <w:color w:val="000000"/>
                <w:sz w:val="16"/>
                <w:szCs w:val="16"/>
                <w:lang w:eastAsia="en-US"/>
              </w:rPr>
              <w:t>-3.550.870,82</w:t>
            </w:r>
          </w:p>
        </w:tc>
      </w:tr>
      <w:tr w:rsidR="00B370BB" w:rsidRPr="00A73102" w:rsidTr="00AD3F28">
        <w:trPr>
          <w:trHeight w:val="592"/>
        </w:trPr>
        <w:tc>
          <w:tcPr>
            <w:tcW w:w="489" w:type="dxa"/>
            <w:tcBorders>
              <w:top w:val="nil"/>
              <w:left w:val="single" w:sz="4" w:space="0" w:color="auto"/>
              <w:bottom w:val="single" w:sz="4" w:space="0" w:color="auto"/>
              <w:right w:val="nil"/>
            </w:tcBorders>
            <w:shd w:val="clear" w:color="auto" w:fill="auto"/>
            <w:noWrap/>
            <w:vAlign w:val="center"/>
            <w:hideMark/>
          </w:tcPr>
          <w:p w:rsidR="00B370BB" w:rsidRPr="00A73102" w:rsidRDefault="00B370BB" w:rsidP="00EC2B03">
            <w:pPr>
              <w:jc w:val="both"/>
              <w:rPr>
                <w:rFonts w:ascii="Arial" w:hAnsi="Arial" w:cs="Arial"/>
                <w:color w:val="000000"/>
                <w:sz w:val="16"/>
                <w:szCs w:val="16"/>
                <w:lang w:eastAsia="en-US"/>
              </w:rPr>
            </w:pPr>
            <w:r w:rsidRPr="00A73102">
              <w:rPr>
                <w:rFonts w:ascii="Arial" w:hAnsi="Arial" w:cs="Arial"/>
                <w:color w:val="000000"/>
                <w:sz w:val="16"/>
                <w:szCs w:val="16"/>
                <w:lang w:eastAsia="en-US"/>
              </w:rPr>
              <w:t>26</w:t>
            </w:r>
          </w:p>
        </w:tc>
        <w:tc>
          <w:tcPr>
            <w:tcW w:w="3223" w:type="dxa"/>
            <w:tcBorders>
              <w:top w:val="nil"/>
              <w:left w:val="nil"/>
              <w:bottom w:val="single" w:sz="4" w:space="0" w:color="auto"/>
              <w:right w:val="nil"/>
            </w:tcBorders>
            <w:shd w:val="clear" w:color="auto" w:fill="auto"/>
            <w:noWrap/>
            <w:vAlign w:val="center"/>
            <w:hideMark/>
          </w:tcPr>
          <w:p w:rsidR="00B370BB" w:rsidRPr="00A73102" w:rsidRDefault="00B370BB" w:rsidP="00EC2B03">
            <w:pPr>
              <w:jc w:val="both"/>
              <w:rPr>
                <w:rFonts w:ascii="Arial" w:hAnsi="Arial" w:cs="Arial"/>
                <w:color w:val="000000"/>
                <w:sz w:val="16"/>
                <w:szCs w:val="16"/>
                <w:lang w:eastAsia="en-US"/>
              </w:rPr>
            </w:pPr>
            <w:r w:rsidRPr="00A73102">
              <w:rPr>
                <w:rFonts w:ascii="Arial" w:hAnsi="Arial" w:cs="Arial"/>
                <w:color w:val="000000"/>
                <w:sz w:val="16"/>
                <w:szCs w:val="16"/>
                <w:lang w:eastAsia="en-US"/>
              </w:rPr>
              <w:t>Obveze za kredite i zajmove</w:t>
            </w:r>
          </w:p>
        </w:tc>
        <w:tc>
          <w:tcPr>
            <w:tcW w:w="506" w:type="dxa"/>
            <w:tcBorders>
              <w:top w:val="nil"/>
              <w:left w:val="nil"/>
              <w:bottom w:val="single" w:sz="4" w:space="0" w:color="auto"/>
              <w:right w:val="nil"/>
            </w:tcBorders>
            <w:shd w:val="clear" w:color="auto" w:fill="auto"/>
            <w:noWrap/>
            <w:vAlign w:val="center"/>
            <w:hideMark/>
          </w:tcPr>
          <w:p w:rsidR="00B370BB" w:rsidRPr="00A73102" w:rsidRDefault="00B370BB" w:rsidP="00EC2B03">
            <w:pPr>
              <w:jc w:val="center"/>
              <w:rPr>
                <w:rFonts w:ascii="Arial" w:hAnsi="Arial" w:cs="Arial"/>
                <w:color w:val="000000"/>
                <w:sz w:val="16"/>
                <w:szCs w:val="16"/>
                <w:lang w:eastAsia="en-US"/>
              </w:rPr>
            </w:pPr>
            <w:r w:rsidRPr="00A73102">
              <w:rPr>
                <w:rFonts w:ascii="Arial" w:hAnsi="Arial" w:cs="Arial"/>
                <w:color w:val="000000"/>
                <w:sz w:val="16"/>
                <w:szCs w:val="16"/>
                <w:lang w:eastAsia="en-US"/>
              </w:rPr>
              <w:t>26</w:t>
            </w:r>
          </w:p>
        </w:tc>
        <w:tc>
          <w:tcPr>
            <w:tcW w:w="1428" w:type="dxa"/>
            <w:tcBorders>
              <w:top w:val="nil"/>
              <w:left w:val="nil"/>
              <w:bottom w:val="single" w:sz="4" w:space="0" w:color="auto"/>
              <w:right w:val="nil"/>
            </w:tcBorders>
            <w:shd w:val="clear" w:color="auto" w:fill="auto"/>
            <w:noWrap/>
            <w:vAlign w:val="center"/>
            <w:hideMark/>
          </w:tcPr>
          <w:p w:rsidR="00B370BB" w:rsidRPr="00A73102" w:rsidRDefault="00B370BB" w:rsidP="00547071">
            <w:pPr>
              <w:rPr>
                <w:rFonts w:ascii="Arial" w:hAnsi="Arial" w:cs="Arial"/>
                <w:color w:val="000000"/>
                <w:sz w:val="16"/>
                <w:szCs w:val="16"/>
                <w:lang w:eastAsia="en-US"/>
              </w:rPr>
            </w:pPr>
            <w:r w:rsidRPr="00A73102">
              <w:rPr>
                <w:rFonts w:ascii="Arial" w:hAnsi="Arial" w:cs="Arial"/>
                <w:color w:val="000000"/>
                <w:sz w:val="16"/>
                <w:szCs w:val="16"/>
                <w:lang w:eastAsia="en-US"/>
              </w:rPr>
              <w:t>287.350.034</w:t>
            </w:r>
            <w:r w:rsidR="00547071" w:rsidRPr="00A73102">
              <w:rPr>
                <w:rFonts w:ascii="Arial" w:hAnsi="Arial" w:cs="Arial"/>
                <w:color w:val="000000"/>
                <w:sz w:val="16"/>
                <w:szCs w:val="16"/>
                <w:lang w:eastAsia="en-US"/>
              </w:rPr>
              <w:t>,00</w:t>
            </w:r>
          </w:p>
        </w:tc>
        <w:tc>
          <w:tcPr>
            <w:tcW w:w="1896" w:type="dxa"/>
            <w:tcBorders>
              <w:top w:val="nil"/>
              <w:left w:val="nil"/>
              <w:bottom w:val="single" w:sz="4" w:space="0" w:color="auto"/>
              <w:right w:val="nil"/>
            </w:tcBorders>
            <w:shd w:val="clear" w:color="auto" w:fill="auto"/>
            <w:noWrap/>
            <w:vAlign w:val="center"/>
            <w:hideMark/>
          </w:tcPr>
          <w:p w:rsidR="00B370BB" w:rsidRPr="00A73102" w:rsidRDefault="00B370BB" w:rsidP="00EC2B03">
            <w:pPr>
              <w:rPr>
                <w:rFonts w:ascii="Arial" w:hAnsi="Arial" w:cs="Arial"/>
                <w:color w:val="000000"/>
                <w:sz w:val="16"/>
                <w:szCs w:val="16"/>
                <w:lang w:eastAsia="en-US"/>
              </w:rPr>
            </w:pPr>
            <w:r w:rsidRPr="00A73102">
              <w:rPr>
                <w:rFonts w:ascii="Arial" w:hAnsi="Arial" w:cs="Arial"/>
                <w:color w:val="000000"/>
                <w:sz w:val="16"/>
                <w:szCs w:val="16"/>
                <w:lang w:eastAsia="en-US"/>
              </w:rPr>
              <w:t xml:space="preserve">        </w:t>
            </w:r>
            <w:r w:rsidR="001902E0" w:rsidRPr="00A73102">
              <w:rPr>
                <w:rFonts w:ascii="Arial" w:hAnsi="Arial" w:cs="Arial"/>
                <w:color w:val="000000"/>
                <w:sz w:val="16"/>
                <w:szCs w:val="16"/>
                <w:lang w:eastAsia="en-US"/>
              </w:rPr>
              <w:t xml:space="preserve">  </w:t>
            </w:r>
            <w:r w:rsidRPr="00A73102">
              <w:rPr>
                <w:rFonts w:ascii="Arial" w:hAnsi="Arial" w:cs="Arial"/>
                <w:color w:val="000000"/>
                <w:sz w:val="16"/>
                <w:szCs w:val="16"/>
                <w:lang w:eastAsia="en-US"/>
              </w:rPr>
              <w:t>273.784.817,55</w:t>
            </w:r>
          </w:p>
        </w:tc>
        <w:tc>
          <w:tcPr>
            <w:tcW w:w="1010" w:type="dxa"/>
            <w:tcBorders>
              <w:top w:val="nil"/>
              <w:left w:val="nil"/>
              <w:bottom w:val="single" w:sz="4" w:space="0" w:color="auto"/>
              <w:right w:val="nil"/>
            </w:tcBorders>
            <w:shd w:val="clear" w:color="auto" w:fill="auto"/>
            <w:noWrap/>
            <w:vAlign w:val="center"/>
            <w:hideMark/>
          </w:tcPr>
          <w:p w:rsidR="00B370BB" w:rsidRPr="00A73102" w:rsidRDefault="004C55E8" w:rsidP="00EC2B03">
            <w:pPr>
              <w:jc w:val="center"/>
              <w:rPr>
                <w:rFonts w:ascii="Arial" w:hAnsi="Arial" w:cs="Arial"/>
                <w:color w:val="000000"/>
                <w:sz w:val="16"/>
                <w:szCs w:val="16"/>
                <w:lang w:eastAsia="en-US"/>
              </w:rPr>
            </w:pPr>
            <w:r w:rsidRPr="00A73102">
              <w:rPr>
                <w:rFonts w:ascii="Arial" w:hAnsi="Arial" w:cs="Arial"/>
                <w:color w:val="000000"/>
                <w:sz w:val="16"/>
                <w:szCs w:val="16"/>
                <w:lang w:eastAsia="en-US"/>
              </w:rPr>
              <w:t xml:space="preserve">   </w:t>
            </w:r>
            <w:r w:rsidR="0036298E" w:rsidRPr="00A73102">
              <w:rPr>
                <w:rFonts w:ascii="Arial" w:hAnsi="Arial" w:cs="Arial"/>
                <w:color w:val="000000"/>
                <w:sz w:val="16"/>
                <w:szCs w:val="16"/>
                <w:lang w:eastAsia="en-US"/>
              </w:rPr>
              <w:t xml:space="preserve"> </w:t>
            </w:r>
            <w:r w:rsidR="00B370BB" w:rsidRPr="00A73102">
              <w:rPr>
                <w:rFonts w:ascii="Arial" w:hAnsi="Arial" w:cs="Arial"/>
                <w:color w:val="000000"/>
                <w:sz w:val="16"/>
                <w:szCs w:val="16"/>
                <w:lang w:eastAsia="en-US"/>
              </w:rPr>
              <w:t>95,3</w:t>
            </w:r>
          </w:p>
        </w:tc>
        <w:tc>
          <w:tcPr>
            <w:tcW w:w="1572" w:type="dxa"/>
            <w:tcBorders>
              <w:top w:val="nil"/>
              <w:left w:val="nil"/>
              <w:bottom w:val="single" w:sz="4" w:space="0" w:color="auto"/>
              <w:right w:val="single" w:sz="4" w:space="0" w:color="auto"/>
            </w:tcBorders>
            <w:shd w:val="clear" w:color="auto" w:fill="auto"/>
            <w:noWrap/>
            <w:vAlign w:val="center"/>
            <w:hideMark/>
          </w:tcPr>
          <w:p w:rsidR="00B370BB" w:rsidRPr="00A73102" w:rsidRDefault="00B370BB" w:rsidP="00EC2B03">
            <w:pPr>
              <w:jc w:val="right"/>
              <w:rPr>
                <w:rFonts w:ascii="Arial" w:hAnsi="Arial" w:cs="Arial"/>
                <w:color w:val="000000"/>
                <w:sz w:val="16"/>
                <w:szCs w:val="16"/>
                <w:lang w:eastAsia="en-US"/>
              </w:rPr>
            </w:pPr>
            <w:r w:rsidRPr="00A73102">
              <w:rPr>
                <w:rFonts w:ascii="Arial" w:hAnsi="Arial" w:cs="Arial"/>
                <w:color w:val="000000"/>
                <w:sz w:val="16"/>
                <w:szCs w:val="16"/>
                <w:lang w:eastAsia="en-US"/>
              </w:rPr>
              <w:t>-13.565.216,45</w:t>
            </w:r>
          </w:p>
        </w:tc>
      </w:tr>
      <w:tr w:rsidR="00B370BB" w:rsidRPr="00A73102" w:rsidTr="00AD3F28">
        <w:trPr>
          <w:trHeight w:val="592"/>
        </w:trPr>
        <w:tc>
          <w:tcPr>
            <w:tcW w:w="489" w:type="dxa"/>
            <w:tcBorders>
              <w:top w:val="nil"/>
              <w:left w:val="single" w:sz="4" w:space="0" w:color="auto"/>
              <w:bottom w:val="single" w:sz="4" w:space="0" w:color="auto"/>
              <w:right w:val="nil"/>
            </w:tcBorders>
            <w:shd w:val="clear" w:color="auto" w:fill="auto"/>
            <w:vAlign w:val="center"/>
            <w:hideMark/>
          </w:tcPr>
          <w:p w:rsidR="00B370BB" w:rsidRPr="00A73102" w:rsidRDefault="00B370BB" w:rsidP="00EC2B03">
            <w:pPr>
              <w:jc w:val="both"/>
              <w:rPr>
                <w:rFonts w:ascii="Arial" w:hAnsi="Arial" w:cs="Arial"/>
                <w:color w:val="000000"/>
                <w:sz w:val="16"/>
                <w:szCs w:val="16"/>
                <w:lang w:eastAsia="en-US"/>
              </w:rPr>
            </w:pPr>
            <w:r w:rsidRPr="00A73102">
              <w:rPr>
                <w:rFonts w:ascii="Arial" w:hAnsi="Arial" w:cs="Arial"/>
                <w:color w:val="000000"/>
                <w:sz w:val="16"/>
                <w:szCs w:val="16"/>
                <w:lang w:eastAsia="en-US"/>
              </w:rPr>
              <w:t>29</w:t>
            </w:r>
          </w:p>
        </w:tc>
        <w:tc>
          <w:tcPr>
            <w:tcW w:w="3223" w:type="dxa"/>
            <w:tcBorders>
              <w:top w:val="nil"/>
              <w:left w:val="nil"/>
              <w:bottom w:val="single" w:sz="4" w:space="0" w:color="auto"/>
              <w:right w:val="nil"/>
            </w:tcBorders>
            <w:shd w:val="clear" w:color="auto" w:fill="auto"/>
            <w:vAlign w:val="center"/>
            <w:hideMark/>
          </w:tcPr>
          <w:p w:rsidR="00B370BB" w:rsidRPr="00A73102" w:rsidRDefault="00B370BB" w:rsidP="00EC2B03">
            <w:pPr>
              <w:jc w:val="both"/>
              <w:rPr>
                <w:rFonts w:ascii="Arial" w:hAnsi="Arial" w:cs="Arial"/>
                <w:color w:val="000000"/>
                <w:sz w:val="16"/>
                <w:szCs w:val="16"/>
                <w:lang w:eastAsia="en-US"/>
              </w:rPr>
            </w:pPr>
            <w:r w:rsidRPr="00A73102">
              <w:rPr>
                <w:rFonts w:ascii="Arial" w:hAnsi="Arial" w:cs="Arial"/>
                <w:color w:val="000000"/>
                <w:sz w:val="16"/>
                <w:szCs w:val="16"/>
                <w:lang w:eastAsia="en-US"/>
              </w:rPr>
              <w:t>Odgođeno plaćanje rashoda i prihodi budućeg razdoblja</w:t>
            </w:r>
          </w:p>
        </w:tc>
        <w:tc>
          <w:tcPr>
            <w:tcW w:w="506" w:type="dxa"/>
            <w:tcBorders>
              <w:top w:val="nil"/>
              <w:left w:val="nil"/>
              <w:bottom w:val="single" w:sz="4" w:space="0" w:color="auto"/>
              <w:right w:val="nil"/>
            </w:tcBorders>
            <w:shd w:val="clear" w:color="auto" w:fill="auto"/>
            <w:noWrap/>
            <w:vAlign w:val="center"/>
            <w:hideMark/>
          </w:tcPr>
          <w:p w:rsidR="00B370BB" w:rsidRPr="00A73102" w:rsidRDefault="00B370BB" w:rsidP="00EC2B03">
            <w:pPr>
              <w:jc w:val="center"/>
              <w:rPr>
                <w:rFonts w:ascii="Arial" w:hAnsi="Arial" w:cs="Arial"/>
                <w:color w:val="000000"/>
                <w:sz w:val="16"/>
                <w:szCs w:val="16"/>
                <w:lang w:eastAsia="en-US"/>
              </w:rPr>
            </w:pPr>
            <w:r w:rsidRPr="00A73102">
              <w:rPr>
                <w:rFonts w:ascii="Arial" w:hAnsi="Arial" w:cs="Arial"/>
                <w:color w:val="000000"/>
                <w:sz w:val="16"/>
                <w:szCs w:val="16"/>
                <w:lang w:eastAsia="en-US"/>
              </w:rPr>
              <w:t>29</w:t>
            </w:r>
          </w:p>
        </w:tc>
        <w:tc>
          <w:tcPr>
            <w:tcW w:w="1428" w:type="dxa"/>
            <w:tcBorders>
              <w:top w:val="nil"/>
              <w:left w:val="nil"/>
              <w:bottom w:val="single" w:sz="4" w:space="0" w:color="auto"/>
              <w:right w:val="nil"/>
            </w:tcBorders>
            <w:shd w:val="clear" w:color="auto" w:fill="auto"/>
            <w:noWrap/>
            <w:vAlign w:val="center"/>
            <w:hideMark/>
          </w:tcPr>
          <w:p w:rsidR="00B370BB" w:rsidRPr="00A73102" w:rsidRDefault="00547071" w:rsidP="00547071">
            <w:pPr>
              <w:jc w:val="center"/>
              <w:rPr>
                <w:rFonts w:ascii="Arial" w:hAnsi="Arial" w:cs="Arial"/>
                <w:color w:val="000000"/>
                <w:sz w:val="16"/>
                <w:szCs w:val="16"/>
                <w:lang w:eastAsia="en-US"/>
              </w:rPr>
            </w:pPr>
            <w:r w:rsidRPr="00A73102">
              <w:rPr>
                <w:rFonts w:ascii="Arial" w:hAnsi="Arial" w:cs="Arial"/>
                <w:color w:val="000000"/>
                <w:sz w:val="16"/>
                <w:szCs w:val="16"/>
                <w:lang w:eastAsia="en-US"/>
              </w:rPr>
              <w:t xml:space="preserve">    </w:t>
            </w:r>
            <w:r w:rsidR="00B370BB" w:rsidRPr="00A73102">
              <w:rPr>
                <w:rFonts w:ascii="Arial" w:hAnsi="Arial" w:cs="Arial"/>
                <w:color w:val="000000"/>
                <w:sz w:val="16"/>
                <w:szCs w:val="16"/>
                <w:lang w:eastAsia="en-US"/>
              </w:rPr>
              <w:t>445.499</w:t>
            </w:r>
            <w:r w:rsidRPr="00A73102">
              <w:rPr>
                <w:rFonts w:ascii="Arial" w:hAnsi="Arial" w:cs="Arial"/>
                <w:color w:val="000000"/>
                <w:sz w:val="16"/>
                <w:szCs w:val="16"/>
                <w:lang w:eastAsia="en-US"/>
              </w:rPr>
              <w:t>,00</w:t>
            </w:r>
          </w:p>
        </w:tc>
        <w:tc>
          <w:tcPr>
            <w:tcW w:w="1896" w:type="dxa"/>
            <w:tcBorders>
              <w:top w:val="nil"/>
              <w:left w:val="nil"/>
              <w:bottom w:val="single" w:sz="4" w:space="0" w:color="auto"/>
              <w:right w:val="nil"/>
            </w:tcBorders>
            <w:shd w:val="clear" w:color="auto" w:fill="auto"/>
            <w:noWrap/>
            <w:vAlign w:val="center"/>
            <w:hideMark/>
          </w:tcPr>
          <w:p w:rsidR="00B370BB" w:rsidRPr="00A73102" w:rsidRDefault="001902E0" w:rsidP="00547071">
            <w:pPr>
              <w:jc w:val="center"/>
              <w:rPr>
                <w:rFonts w:ascii="Arial" w:hAnsi="Arial" w:cs="Arial"/>
                <w:color w:val="000000"/>
                <w:sz w:val="16"/>
                <w:szCs w:val="16"/>
                <w:lang w:eastAsia="en-US"/>
              </w:rPr>
            </w:pPr>
            <w:r w:rsidRPr="00A73102">
              <w:rPr>
                <w:rFonts w:ascii="Arial" w:hAnsi="Arial" w:cs="Arial"/>
                <w:color w:val="000000"/>
                <w:sz w:val="16"/>
                <w:szCs w:val="16"/>
                <w:lang w:eastAsia="en-US"/>
              </w:rPr>
              <w:t xml:space="preserve">               </w:t>
            </w:r>
            <w:r w:rsidR="00B370BB" w:rsidRPr="00A73102">
              <w:rPr>
                <w:rFonts w:ascii="Arial" w:hAnsi="Arial" w:cs="Arial"/>
                <w:color w:val="000000"/>
                <w:sz w:val="16"/>
                <w:szCs w:val="16"/>
                <w:lang w:eastAsia="en-US"/>
              </w:rPr>
              <w:t>452.396,11</w:t>
            </w:r>
          </w:p>
        </w:tc>
        <w:tc>
          <w:tcPr>
            <w:tcW w:w="1010" w:type="dxa"/>
            <w:tcBorders>
              <w:top w:val="nil"/>
              <w:left w:val="nil"/>
              <w:bottom w:val="single" w:sz="4" w:space="0" w:color="auto"/>
              <w:right w:val="nil"/>
            </w:tcBorders>
            <w:shd w:val="clear" w:color="auto" w:fill="auto"/>
            <w:noWrap/>
            <w:vAlign w:val="center"/>
            <w:hideMark/>
          </w:tcPr>
          <w:p w:rsidR="00B370BB" w:rsidRPr="00A73102" w:rsidRDefault="00B370BB" w:rsidP="00EC2B03">
            <w:pPr>
              <w:jc w:val="center"/>
              <w:rPr>
                <w:rFonts w:ascii="Arial" w:hAnsi="Arial" w:cs="Arial"/>
                <w:color w:val="000000"/>
                <w:sz w:val="16"/>
                <w:szCs w:val="16"/>
                <w:lang w:eastAsia="en-US"/>
              </w:rPr>
            </w:pPr>
            <w:r w:rsidRPr="00A73102">
              <w:rPr>
                <w:rFonts w:ascii="Arial" w:hAnsi="Arial" w:cs="Arial"/>
                <w:color w:val="000000"/>
                <w:sz w:val="16"/>
                <w:szCs w:val="16"/>
                <w:lang w:eastAsia="en-US"/>
              </w:rPr>
              <w:t xml:space="preserve">   </w:t>
            </w:r>
            <w:r w:rsidR="0036298E" w:rsidRPr="00A73102">
              <w:rPr>
                <w:rFonts w:ascii="Arial" w:hAnsi="Arial" w:cs="Arial"/>
                <w:color w:val="000000"/>
                <w:sz w:val="16"/>
                <w:szCs w:val="16"/>
                <w:lang w:eastAsia="en-US"/>
              </w:rPr>
              <w:t xml:space="preserve"> </w:t>
            </w:r>
            <w:r w:rsidRPr="00A73102">
              <w:rPr>
                <w:rFonts w:ascii="Arial" w:hAnsi="Arial" w:cs="Arial"/>
                <w:color w:val="000000"/>
                <w:sz w:val="16"/>
                <w:szCs w:val="16"/>
                <w:lang w:eastAsia="en-US"/>
              </w:rPr>
              <w:t>101,5</w:t>
            </w:r>
          </w:p>
        </w:tc>
        <w:tc>
          <w:tcPr>
            <w:tcW w:w="1572" w:type="dxa"/>
            <w:tcBorders>
              <w:top w:val="nil"/>
              <w:left w:val="nil"/>
              <w:bottom w:val="single" w:sz="4" w:space="0" w:color="auto"/>
              <w:right w:val="single" w:sz="4" w:space="0" w:color="auto"/>
            </w:tcBorders>
            <w:shd w:val="clear" w:color="auto" w:fill="auto"/>
            <w:noWrap/>
            <w:vAlign w:val="center"/>
            <w:hideMark/>
          </w:tcPr>
          <w:p w:rsidR="00B370BB" w:rsidRPr="00A73102" w:rsidRDefault="00B370BB" w:rsidP="00EC2B03">
            <w:pPr>
              <w:jc w:val="center"/>
              <w:rPr>
                <w:rFonts w:ascii="Arial" w:hAnsi="Arial" w:cs="Arial"/>
                <w:color w:val="000000"/>
                <w:sz w:val="16"/>
                <w:szCs w:val="16"/>
                <w:lang w:eastAsia="en-US"/>
              </w:rPr>
            </w:pPr>
            <w:r w:rsidRPr="00A73102">
              <w:rPr>
                <w:rFonts w:ascii="Arial" w:hAnsi="Arial" w:cs="Arial"/>
                <w:color w:val="000000"/>
                <w:sz w:val="16"/>
                <w:szCs w:val="16"/>
                <w:lang w:eastAsia="en-US"/>
              </w:rPr>
              <w:t xml:space="preserve">                           </w:t>
            </w:r>
          </w:p>
          <w:p w:rsidR="00B370BB" w:rsidRPr="00A73102" w:rsidRDefault="00B370BB" w:rsidP="00EC2B03">
            <w:pPr>
              <w:jc w:val="center"/>
              <w:rPr>
                <w:rFonts w:ascii="Arial" w:hAnsi="Arial" w:cs="Arial"/>
                <w:color w:val="000000"/>
                <w:sz w:val="16"/>
                <w:szCs w:val="16"/>
                <w:lang w:eastAsia="en-US"/>
              </w:rPr>
            </w:pPr>
            <w:r w:rsidRPr="00A73102">
              <w:rPr>
                <w:rFonts w:ascii="Arial" w:hAnsi="Arial" w:cs="Arial"/>
                <w:color w:val="000000"/>
                <w:sz w:val="16"/>
                <w:szCs w:val="16"/>
                <w:lang w:eastAsia="en-US"/>
              </w:rPr>
              <w:t xml:space="preserve">         </w:t>
            </w:r>
            <w:r w:rsidR="0036298E" w:rsidRPr="00A73102">
              <w:rPr>
                <w:rFonts w:ascii="Arial" w:hAnsi="Arial" w:cs="Arial"/>
                <w:color w:val="000000"/>
                <w:sz w:val="16"/>
                <w:szCs w:val="16"/>
                <w:lang w:eastAsia="en-US"/>
              </w:rPr>
              <w:t xml:space="preserve">  </w:t>
            </w:r>
            <w:r w:rsidR="00547071" w:rsidRPr="00A73102">
              <w:rPr>
                <w:rFonts w:ascii="Arial" w:hAnsi="Arial" w:cs="Arial"/>
                <w:color w:val="000000"/>
                <w:sz w:val="16"/>
                <w:szCs w:val="16"/>
                <w:lang w:eastAsia="en-US"/>
              </w:rPr>
              <w:t xml:space="preserve">    </w:t>
            </w:r>
            <w:r w:rsidRPr="00A73102">
              <w:rPr>
                <w:rFonts w:ascii="Arial" w:hAnsi="Arial" w:cs="Arial"/>
                <w:color w:val="000000"/>
                <w:sz w:val="16"/>
                <w:szCs w:val="16"/>
                <w:lang w:eastAsia="en-US"/>
              </w:rPr>
              <w:t xml:space="preserve"> 6.897,11</w:t>
            </w:r>
          </w:p>
          <w:p w:rsidR="00B370BB" w:rsidRPr="00A73102" w:rsidRDefault="00B370BB" w:rsidP="00EC2B03">
            <w:pPr>
              <w:jc w:val="center"/>
              <w:rPr>
                <w:rFonts w:ascii="Arial" w:hAnsi="Arial" w:cs="Arial"/>
                <w:color w:val="000000"/>
                <w:sz w:val="16"/>
                <w:szCs w:val="16"/>
                <w:lang w:eastAsia="en-US"/>
              </w:rPr>
            </w:pPr>
          </w:p>
        </w:tc>
      </w:tr>
    </w:tbl>
    <w:p w:rsidR="00D0635C" w:rsidRPr="00A73102" w:rsidRDefault="00D0635C" w:rsidP="000E69DA">
      <w:pPr>
        <w:jc w:val="both"/>
        <w:rPr>
          <w:rFonts w:ascii="Arial" w:hAnsi="Arial"/>
        </w:rPr>
      </w:pPr>
    </w:p>
    <w:p w:rsidR="009D30FA" w:rsidRPr="00A73102" w:rsidRDefault="009D30FA" w:rsidP="000E69DA">
      <w:pPr>
        <w:keepNext/>
        <w:jc w:val="both"/>
        <w:outlineLvl w:val="3"/>
        <w:rPr>
          <w:rFonts w:ascii="Arial" w:hAnsi="Arial"/>
        </w:rPr>
      </w:pPr>
    </w:p>
    <w:p w:rsidR="00D41060" w:rsidRDefault="00D41060" w:rsidP="000E69DA">
      <w:pPr>
        <w:keepNext/>
        <w:jc w:val="both"/>
        <w:outlineLvl w:val="3"/>
        <w:rPr>
          <w:rFonts w:ascii="Arial" w:hAnsi="Arial" w:cs="Arial"/>
          <w:b/>
          <w:bCs/>
          <w:sz w:val="22"/>
          <w:szCs w:val="22"/>
        </w:rPr>
      </w:pPr>
    </w:p>
    <w:p w:rsidR="000E69DA" w:rsidRPr="007F0E49" w:rsidRDefault="000E69DA" w:rsidP="000E69DA">
      <w:pPr>
        <w:keepNext/>
        <w:jc w:val="both"/>
        <w:outlineLvl w:val="3"/>
        <w:rPr>
          <w:rFonts w:ascii="Arial" w:hAnsi="Arial" w:cs="Arial"/>
          <w:bCs/>
          <w:sz w:val="22"/>
          <w:szCs w:val="22"/>
        </w:rPr>
      </w:pPr>
      <w:r w:rsidRPr="007F0E49">
        <w:rPr>
          <w:rFonts w:ascii="Arial" w:hAnsi="Arial" w:cs="Arial"/>
          <w:b/>
          <w:bCs/>
          <w:sz w:val="22"/>
          <w:szCs w:val="22"/>
        </w:rPr>
        <w:t>Primljeni krediti i zajmovi</w:t>
      </w:r>
      <w:r w:rsidR="0052258A" w:rsidRPr="007F0E49">
        <w:rPr>
          <w:rFonts w:ascii="Arial" w:hAnsi="Arial" w:cs="Arial"/>
          <w:b/>
          <w:bCs/>
          <w:sz w:val="22"/>
          <w:szCs w:val="22"/>
        </w:rPr>
        <w:t xml:space="preserve"> -</w:t>
      </w:r>
      <w:r w:rsidR="001B7B22" w:rsidRPr="007F0E49">
        <w:rPr>
          <w:rFonts w:ascii="Arial" w:hAnsi="Arial" w:cs="Arial"/>
          <w:b/>
          <w:bCs/>
          <w:sz w:val="22"/>
          <w:szCs w:val="22"/>
        </w:rPr>
        <w:t xml:space="preserve"> dugoročni</w:t>
      </w:r>
      <w:r w:rsidR="00C84883" w:rsidRPr="007F0E49">
        <w:rPr>
          <w:rFonts w:ascii="Arial" w:hAnsi="Arial" w:cs="Arial"/>
          <w:b/>
          <w:bCs/>
          <w:sz w:val="22"/>
          <w:szCs w:val="22"/>
        </w:rPr>
        <w:t>:</w:t>
      </w:r>
    </w:p>
    <w:p w:rsidR="000E69DA" w:rsidRPr="007F0E49" w:rsidRDefault="000E69DA" w:rsidP="000E69DA">
      <w:pPr>
        <w:rPr>
          <w:rFonts w:ascii="Arial" w:hAnsi="Arial" w:cs="Arial"/>
          <w:sz w:val="22"/>
          <w:szCs w:val="22"/>
        </w:rPr>
      </w:pPr>
    </w:p>
    <w:p w:rsidR="000E69DA" w:rsidRPr="007F0E49" w:rsidRDefault="000E69DA" w:rsidP="00D907B7">
      <w:pPr>
        <w:numPr>
          <w:ilvl w:val="0"/>
          <w:numId w:val="7"/>
        </w:numPr>
        <w:spacing w:after="160" w:line="259" w:lineRule="auto"/>
        <w:jc w:val="both"/>
        <w:rPr>
          <w:rFonts w:ascii="Arial" w:hAnsi="Arial" w:cs="Arial"/>
          <w:b/>
          <w:sz w:val="22"/>
          <w:szCs w:val="22"/>
        </w:rPr>
      </w:pPr>
      <w:r w:rsidRPr="007F0E49">
        <w:rPr>
          <w:rFonts w:ascii="Arial" w:hAnsi="Arial" w:cs="Arial"/>
          <w:b/>
          <w:sz w:val="22"/>
          <w:szCs w:val="22"/>
        </w:rPr>
        <w:t xml:space="preserve">Zajam od RH, Ministarstvo financija, za sufinanciranje Projekta IPA ŽCGO Marišćina </w:t>
      </w:r>
    </w:p>
    <w:p w:rsidR="000E69DA" w:rsidRPr="007F0E49" w:rsidRDefault="000E69DA" w:rsidP="0010399B">
      <w:pPr>
        <w:spacing w:after="160" w:line="259" w:lineRule="auto"/>
        <w:ind w:left="360"/>
        <w:jc w:val="both"/>
        <w:rPr>
          <w:rFonts w:ascii="Arial" w:hAnsi="Arial" w:cs="Arial"/>
          <w:b/>
          <w:sz w:val="22"/>
          <w:szCs w:val="22"/>
        </w:rPr>
      </w:pPr>
      <w:r w:rsidRPr="007F0E49">
        <w:rPr>
          <w:rFonts w:ascii="Arial" w:hAnsi="Arial" w:cs="Arial"/>
          <w:sz w:val="22"/>
          <w:szCs w:val="22"/>
        </w:rPr>
        <w:t>Gradsko vijeće Grada Rijeke je na sjednici 21. prosinca 2011. godine donijelo Odluku o zaduživanju Grada Rijeke za sufinanciranje Projekta IPA ŽCGO Marišćina. Grad Rijeka je s Ministarstvom financija 17. siječnja 2012. godine zaključio Ugovor o zajmu za sufinanciranje izgradnje Županijskog centra za gospodarenje otpadom Marišćina (Program IPA, komponenta III, Operativni program Zaštita okoliša), na iznos od 2.011.751 EUR. Dodatkom ugovora od 20. prosinca 2013. godine povećan je maksimalni iznos zajma na 2.290.150 EUR dok su ostale odredbe ugovora ostale nepromijenjene.</w:t>
      </w:r>
      <w:r w:rsidR="0010399B" w:rsidRPr="007F0E49">
        <w:rPr>
          <w:rFonts w:ascii="Arial" w:hAnsi="Arial" w:cs="Arial"/>
          <w:b/>
          <w:sz w:val="22"/>
          <w:szCs w:val="22"/>
        </w:rPr>
        <w:t xml:space="preserve"> </w:t>
      </w:r>
      <w:r w:rsidR="001E7D99" w:rsidRPr="007F0E49">
        <w:rPr>
          <w:rFonts w:ascii="Arial" w:hAnsi="Arial" w:cs="Arial"/>
          <w:sz w:val="22"/>
          <w:szCs w:val="22"/>
        </w:rPr>
        <w:t xml:space="preserve">Sredstva zajma otplaćuju </w:t>
      </w:r>
      <w:r w:rsidRPr="007F0E49">
        <w:rPr>
          <w:rFonts w:ascii="Arial" w:hAnsi="Arial" w:cs="Arial"/>
          <w:sz w:val="22"/>
          <w:szCs w:val="22"/>
        </w:rPr>
        <w:t>se sukcesivno u roku od 25 godina, uključujući i poček od 5 godina, u 80 jednakih tromjesečnih rata. Dospijeće prve rate je 5 godina od prvog korištenja zajma, odnosno otplata zajma započela je 30. travnja 2017. godine.</w:t>
      </w:r>
    </w:p>
    <w:p w:rsidR="000E69DA" w:rsidRPr="007F0E49" w:rsidRDefault="000E69DA" w:rsidP="000E69DA">
      <w:pPr>
        <w:tabs>
          <w:tab w:val="center" w:pos="4320"/>
          <w:tab w:val="right" w:pos="8640"/>
        </w:tabs>
        <w:ind w:left="360"/>
        <w:jc w:val="both"/>
        <w:rPr>
          <w:rFonts w:ascii="Arial" w:hAnsi="Arial" w:cs="Arial"/>
          <w:sz w:val="22"/>
          <w:szCs w:val="22"/>
        </w:rPr>
      </w:pPr>
      <w:r w:rsidRPr="007F0E49">
        <w:rPr>
          <w:rFonts w:ascii="Arial" w:hAnsi="Arial" w:cs="Arial"/>
          <w:sz w:val="22"/>
          <w:szCs w:val="22"/>
        </w:rPr>
        <w:tab/>
        <w:t>Povlačenje zajma je počelo u 2012. godini</w:t>
      </w:r>
      <w:r w:rsidR="00DA6421" w:rsidRPr="007F0E49">
        <w:rPr>
          <w:rFonts w:ascii="Arial" w:hAnsi="Arial" w:cs="Arial"/>
          <w:sz w:val="22"/>
          <w:szCs w:val="22"/>
        </w:rPr>
        <w:t>,</w:t>
      </w:r>
      <w:r w:rsidRPr="007F0E49">
        <w:rPr>
          <w:rFonts w:ascii="Arial" w:hAnsi="Arial" w:cs="Arial"/>
          <w:sz w:val="22"/>
          <w:szCs w:val="22"/>
        </w:rPr>
        <w:t xml:space="preserve"> sukladno dinamici realizacije projekta izgradnje Županijskog centra za gospodarenje </w:t>
      </w:r>
      <w:r w:rsidR="00DA6421" w:rsidRPr="007F0E49">
        <w:rPr>
          <w:rFonts w:ascii="Arial" w:hAnsi="Arial" w:cs="Arial"/>
          <w:sz w:val="22"/>
          <w:szCs w:val="22"/>
        </w:rPr>
        <w:t>otpadom Marišćina i ukupno je za</w:t>
      </w:r>
      <w:r w:rsidR="00787950" w:rsidRPr="007F0E49">
        <w:rPr>
          <w:rFonts w:ascii="Arial" w:hAnsi="Arial" w:cs="Arial"/>
          <w:sz w:val="22"/>
          <w:szCs w:val="22"/>
        </w:rPr>
        <w:t xml:space="preserve"> projekt iskorišteno 14.823.521</w:t>
      </w:r>
      <w:r w:rsidR="00DF1500" w:rsidRPr="007F0E49">
        <w:rPr>
          <w:rFonts w:ascii="Arial" w:hAnsi="Arial" w:cs="Arial"/>
          <w:sz w:val="22"/>
          <w:szCs w:val="22"/>
        </w:rPr>
        <w:t>,00</w:t>
      </w:r>
      <w:r w:rsidR="00787950" w:rsidRPr="007F0E49">
        <w:rPr>
          <w:rFonts w:ascii="Arial" w:hAnsi="Arial" w:cs="Arial"/>
          <w:sz w:val="22"/>
          <w:szCs w:val="22"/>
        </w:rPr>
        <w:t xml:space="preserve"> </w:t>
      </w:r>
      <w:r w:rsidR="00DA6421" w:rsidRPr="007F0E49">
        <w:rPr>
          <w:rFonts w:ascii="Arial" w:hAnsi="Arial" w:cs="Arial"/>
          <w:sz w:val="22"/>
          <w:szCs w:val="22"/>
        </w:rPr>
        <w:t>kn kreditnih sredstava.</w:t>
      </w:r>
      <w:r w:rsidRPr="007F0E49">
        <w:rPr>
          <w:rFonts w:ascii="Arial" w:hAnsi="Arial" w:cs="Arial"/>
          <w:sz w:val="22"/>
          <w:szCs w:val="22"/>
        </w:rPr>
        <w:t xml:space="preserve"> Kamatna stopa za cijelo vrijeme trajanja zajma je fiksna i iznosi 3,987%. Kamata se obračunava od prvog korištenja zajma, a naplaćuje se nakon isteka počeka, u 80 jednakih tromjesečnih rata.</w:t>
      </w:r>
    </w:p>
    <w:p w:rsidR="000E69DA" w:rsidRPr="007F0E49" w:rsidRDefault="00FE2099" w:rsidP="00D160C9">
      <w:pPr>
        <w:ind w:firstLine="360"/>
        <w:jc w:val="both"/>
        <w:rPr>
          <w:rFonts w:ascii="Arial" w:hAnsi="Arial" w:cs="Arial"/>
          <w:b/>
          <w:sz w:val="22"/>
          <w:szCs w:val="22"/>
        </w:rPr>
      </w:pPr>
      <w:r w:rsidRPr="007F0E49">
        <w:rPr>
          <w:rFonts w:ascii="Arial" w:hAnsi="Arial" w:cs="Arial"/>
          <w:b/>
          <w:sz w:val="22"/>
          <w:szCs w:val="22"/>
        </w:rPr>
        <w:t>Stanje kredita na dan 31.12.2022</w:t>
      </w:r>
      <w:r w:rsidR="000E69DA" w:rsidRPr="007F0E49">
        <w:rPr>
          <w:rFonts w:ascii="Arial" w:hAnsi="Arial" w:cs="Arial"/>
          <w:b/>
          <w:sz w:val="22"/>
          <w:szCs w:val="22"/>
        </w:rPr>
        <w:t xml:space="preserve">. godine iznosi </w:t>
      </w:r>
      <w:r w:rsidRPr="007F0E49">
        <w:rPr>
          <w:rFonts w:ascii="Arial" w:hAnsi="Arial" w:cs="Arial"/>
          <w:b/>
          <w:sz w:val="22"/>
          <w:szCs w:val="22"/>
        </w:rPr>
        <w:t>10.428.356,34</w:t>
      </w:r>
      <w:r w:rsidR="001E7D99" w:rsidRPr="007F0E49">
        <w:rPr>
          <w:rFonts w:ascii="Arial" w:hAnsi="Arial" w:cs="Arial"/>
          <w:b/>
          <w:sz w:val="22"/>
          <w:szCs w:val="22"/>
        </w:rPr>
        <w:t xml:space="preserve"> </w:t>
      </w:r>
      <w:r w:rsidR="000E69DA" w:rsidRPr="007F0E49">
        <w:rPr>
          <w:rFonts w:ascii="Arial" w:hAnsi="Arial" w:cs="Arial"/>
          <w:b/>
          <w:sz w:val="22"/>
          <w:szCs w:val="22"/>
        </w:rPr>
        <w:t>kn.</w:t>
      </w:r>
    </w:p>
    <w:p w:rsidR="00D41060" w:rsidRDefault="00D41060" w:rsidP="00D41060">
      <w:pPr>
        <w:spacing w:after="160" w:line="259" w:lineRule="auto"/>
        <w:ind w:left="360"/>
        <w:jc w:val="both"/>
        <w:rPr>
          <w:rFonts w:ascii="Arial" w:hAnsi="Arial" w:cs="Arial"/>
          <w:b/>
          <w:sz w:val="22"/>
          <w:szCs w:val="22"/>
        </w:rPr>
      </w:pPr>
    </w:p>
    <w:p w:rsidR="000E69DA" w:rsidRPr="007F0E49" w:rsidRDefault="000E69DA" w:rsidP="00D907B7">
      <w:pPr>
        <w:numPr>
          <w:ilvl w:val="0"/>
          <w:numId w:val="7"/>
        </w:numPr>
        <w:spacing w:after="160" w:line="259" w:lineRule="auto"/>
        <w:jc w:val="both"/>
        <w:rPr>
          <w:rFonts w:ascii="Arial" w:hAnsi="Arial" w:cs="Arial"/>
          <w:b/>
          <w:sz w:val="22"/>
          <w:szCs w:val="22"/>
        </w:rPr>
      </w:pPr>
      <w:r w:rsidRPr="007F0E49">
        <w:rPr>
          <w:rFonts w:ascii="Arial" w:hAnsi="Arial" w:cs="Arial"/>
          <w:b/>
          <w:sz w:val="22"/>
          <w:szCs w:val="22"/>
        </w:rPr>
        <w:t>Kredit ERSTE&amp;STEIERMARKISCHE BANK d.d. na iznos od 123,6 mil. kuna</w:t>
      </w:r>
    </w:p>
    <w:p w:rsidR="000E69DA" w:rsidRPr="007F0E49" w:rsidRDefault="000E69DA" w:rsidP="000E69DA">
      <w:pPr>
        <w:tabs>
          <w:tab w:val="left" w:pos="426"/>
        </w:tabs>
        <w:ind w:left="360"/>
        <w:jc w:val="both"/>
        <w:rPr>
          <w:rFonts w:ascii="Arial" w:eastAsiaTheme="minorHAnsi" w:hAnsi="Arial" w:cs="Arial"/>
          <w:sz w:val="22"/>
          <w:szCs w:val="22"/>
          <w:lang w:eastAsia="en-US"/>
        </w:rPr>
      </w:pPr>
      <w:r w:rsidRPr="007F0E49">
        <w:rPr>
          <w:rFonts w:ascii="Arial" w:hAnsi="Arial" w:cs="Arial"/>
          <w:sz w:val="22"/>
          <w:szCs w:val="22"/>
        </w:rPr>
        <w:t xml:space="preserve">Gradsko vijeće Grada Rijeke je na sjednici 24. svibnja 2018. godine donijelo Odluku o zaduživanju Grada Rijeke za realizaciju kapitalnih projekata </w:t>
      </w:r>
      <w:r w:rsidRPr="007F0E49">
        <w:rPr>
          <w:rFonts w:ascii="Arial" w:eastAsiaTheme="minorHAnsi" w:hAnsi="Arial" w:cs="Arial"/>
          <w:sz w:val="22"/>
          <w:szCs w:val="22"/>
          <w:lang w:eastAsia="en-US"/>
        </w:rPr>
        <w:t>u iznosu od 123.629.955</w:t>
      </w:r>
      <w:r w:rsidR="00652E99" w:rsidRPr="007F0E49">
        <w:rPr>
          <w:rFonts w:ascii="Arial" w:eastAsiaTheme="minorHAnsi" w:hAnsi="Arial" w:cs="Arial"/>
          <w:sz w:val="22"/>
          <w:szCs w:val="22"/>
          <w:lang w:eastAsia="en-US"/>
        </w:rPr>
        <w:t>,00</w:t>
      </w:r>
      <w:r w:rsidRPr="007F0E49">
        <w:rPr>
          <w:rFonts w:ascii="Arial" w:eastAsiaTheme="minorHAnsi" w:hAnsi="Arial" w:cs="Arial"/>
          <w:sz w:val="22"/>
          <w:szCs w:val="22"/>
          <w:lang w:eastAsia="en-US"/>
        </w:rPr>
        <w:t xml:space="preserve"> kn</w:t>
      </w:r>
      <w:r w:rsidRPr="007F0E49">
        <w:rPr>
          <w:rFonts w:ascii="Arial" w:hAnsi="Arial" w:cs="Arial"/>
          <w:sz w:val="22"/>
          <w:szCs w:val="22"/>
        </w:rPr>
        <w:t xml:space="preserve">. </w:t>
      </w:r>
      <w:r w:rsidRPr="007F0E49">
        <w:rPr>
          <w:rFonts w:ascii="Arial" w:hAnsi="Arial" w:cs="Arial"/>
          <w:color w:val="000000" w:themeColor="text1"/>
          <w:sz w:val="22"/>
          <w:szCs w:val="22"/>
        </w:rPr>
        <w:t>Ministarstv</w:t>
      </w:r>
      <w:r w:rsidR="007D5E3A" w:rsidRPr="007F0E49">
        <w:rPr>
          <w:rFonts w:ascii="Arial" w:hAnsi="Arial" w:cs="Arial"/>
          <w:color w:val="000000" w:themeColor="text1"/>
          <w:sz w:val="22"/>
          <w:szCs w:val="22"/>
        </w:rPr>
        <w:t>o</w:t>
      </w:r>
      <w:r w:rsidRPr="007F0E49">
        <w:rPr>
          <w:rFonts w:ascii="Arial" w:hAnsi="Arial" w:cs="Arial"/>
          <w:color w:val="000000" w:themeColor="text1"/>
          <w:sz w:val="22"/>
          <w:szCs w:val="22"/>
        </w:rPr>
        <w:t xml:space="preserve"> financija je </w:t>
      </w:r>
      <w:r w:rsidR="007D5E3A" w:rsidRPr="007F0E49">
        <w:rPr>
          <w:rFonts w:ascii="Arial" w:hAnsi="Arial" w:cs="Arial"/>
          <w:color w:val="000000" w:themeColor="text1"/>
          <w:sz w:val="22"/>
          <w:szCs w:val="22"/>
        </w:rPr>
        <w:t xml:space="preserve">12. srpnja 2018. dalo </w:t>
      </w:r>
      <w:r w:rsidRPr="007F0E49">
        <w:rPr>
          <w:rFonts w:ascii="Arial" w:hAnsi="Arial" w:cs="Arial"/>
          <w:color w:val="000000" w:themeColor="text1"/>
          <w:sz w:val="22"/>
          <w:szCs w:val="22"/>
        </w:rPr>
        <w:t xml:space="preserve">suglasnost </w:t>
      </w:r>
      <w:r w:rsidR="007D5E3A" w:rsidRPr="007F0E49">
        <w:rPr>
          <w:rFonts w:ascii="Arial" w:hAnsi="Arial" w:cs="Arial"/>
          <w:color w:val="000000" w:themeColor="text1"/>
          <w:sz w:val="22"/>
          <w:szCs w:val="22"/>
        </w:rPr>
        <w:t xml:space="preserve">za zaduženje </w:t>
      </w:r>
      <w:r w:rsidRPr="007F0E49">
        <w:rPr>
          <w:rFonts w:ascii="Arial" w:hAnsi="Arial" w:cs="Arial"/>
          <w:color w:val="000000" w:themeColor="text1"/>
          <w:sz w:val="22"/>
          <w:szCs w:val="22"/>
        </w:rPr>
        <w:t>te je Grad Rijeka</w:t>
      </w:r>
      <w:r w:rsidRPr="007F0E49">
        <w:rPr>
          <w:rFonts w:ascii="Arial" w:eastAsiaTheme="minorHAnsi" w:hAnsi="Arial" w:cs="Arial"/>
          <w:sz w:val="22"/>
          <w:szCs w:val="22"/>
          <w:lang w:eastAsia="en-US"/>
        </w:rPr>
        <w:t xml:space="preserve"> s </w:t>
      </w:r>
      <w:r w:rsidRPr="007F0E49">
        <w:rPr>
          <w:rFonts w:ascii="Arial" w:hAnsi="Arial" w:cs="Arial"/>
          <w:sz w:val="22"/>
          <w:szCs w:val="22"/>
        </w:rPr>
        <w:lastRenderedPageBreak/>
        <w:t>ERSTE&amp;STEIERMÄRKISCHE BANK d.d. dana 31. kolovoza 2018. godine zaključio Ugovor o kreditu za f</w:t>
      </w:r>
      <w:r w:rsidRPr="007F0E49">
        <w:rPr>
          <w:rFonts w:ascii="Arial" w:eastAsiaTheme="minorHAnsi" w:hAnsi="Arial" w:cs="Arial"/>
          <w:sz w:val="22"/>
          <w:szCs w:val="22"/>
          <w:lang w:eastAsia="en-US"/>
        </w:rPr>
        <w:t xml:space="preserve">inanciranje kapitalnog projekta Revitalizacija kompleksa Benčić - Cigleni i T-objekt i za projekte energetskih obnova osnovnih škola i dječjih vrtića. Temeljem Odluke o Izmjenama i dopunama Odluke o zaduživanju od 30. rujna 2019. i </w:t>
      </w:r>
      <w:r w:rsidR="007D5E3A" w:rsidRPr="007F0E49">
        <w:rPr>
          <w:rFonts w:ascii="Arial" w:eastAsiaTheme="minorHAnsi" w:hAnsi="Arial" w:cs="Arial"/>
          <w:sz w:val="22"/>
          <w:szCs w:val="22"/>
          <w:lang w:eastAsia="en-US"/>
        </w:rPr>
        <w:t>dobivene s</w:t>
      </w:r>
      <w:r w:rsidRPr="007F0E49">
        <w:rPr>
          <w:rFonts w:ascii="Arial" w:eastAsiaTheme="minorHAnsi" w:hAnsi="Arial" w:cs="Arial"/>
          <w:sz w:val="22"/>
          <w:szCs w:val="22"/>
          <w:lang w:eastAsia="en-US"/>
        </w:rPr>
        <w:t xml:space="preserve">uglasnosti Ministarstva financija od 21. studenoga 2019. godine, Grad Rijeka je dana 6.12.2019. godine sklopio Aneks broj 1. Ugovora o kreditu </w:t>
      </w:r>
      <w:r w:rsidR="00E54150" w:rsidRPr="007F0E49">
        <w:rPr>
          <w:rFonts w:ascii="Arial" w:eastAsiaTheme="minorHAnsi" w:hAnsi="Arial" w:cs="Arial"/>
          <w:sz w:val="22"/>
          <w:szCs w:val="22"/>
          <w:lang w:eastAsia="en-US"/>
        </w:rPr>
        <w:t xml:space="preserve">kojim se ugovara </w:t>
      </w:r>
      <w:r w:rsidRPr="007F0E49">
        <w:rPr>
          <w:rFonts w:ascii="Arial" w:eastAsiaTheme="minorHAnsi" w:hAnsi="Arial" w:cs="Arial"/>
          <w:sz w:val="22"/>
          <w:szCs w:val="22"/>
          <w:lang w:eastAsia="en-US"/>
        </w:rPr>
        <w:t>prenamje</w:t>
      </w:r>
      <w:r w:rsidR="006F19C1" w:rsidRPr="007F0E49">
        <w:rPr>
          <w:rFonts w:ascii="Arial" w:eastAsiaTheme="minorHAnsi" w:hAnsi="Arial" w:cs="Arial"/>
          <w:sz w:val="22"/>
          <w:szCs w:val="22"/>
          <w:lang w:eastAsia="en-US"/>
        </w:rPr>
        <w:t>n</w:t>
      </w:r>
      <w:r w:rsidR="00E54150" w:rsidRPr="007F0E49">
        <w:rPr>
          <w:rFonts w:ascii="Arial" w:eastAsiaTheme="minorHAnsi" w:hAnsi="Arial" w:cs="Arial"/>
          <w:sz w:val="22"/>
          <w:szCs w:val="22"/>
          <w:lang w:eastAsia="en-US"/>
        </w:rPr>
        <w:t>a</w:t>
      </w:r>
      <w:r w:rsidR="006F19C1" w:rsidRPr="007F0E49">
        <w:rPr>
          <w:rFonts w:ascii="Arial" w:eastAsiaTheme="minorHAnsi" w:hAnsi="Arial" w:cs="Arial"/>
          <w:sz w:val="22"/>
          <w:szCs w:val="22"/>
          <w:lang w:eastAsia="en-US"/>
        </w:rPr>
        <w:t xml:space="preserve"> dijela sredstava</w:t>
      </w:r>
      <w:r w:rsidRPr="007F0E49">
        <w:rPr>
          <w:rFonts w:ascii="Arial" w:eastAsiaTheme="minorHAnsi" w:hAnsi="Arial" w:cs="Arial"/>
          <w:sz w:val="22"/>
          <w:szCs w:val="22"/>
          <w:lang w:eastAsia="en-US"/>
        </w:rPr>
        <w:t xml:space="preserve"> za obnovu broda Galeb u sklopu projekta Turistička valorizacija reprezentativnih spomeni</w:t>
      </w:r>
      <w:r w:rsidR="001E7D99" w:rsidRPr="007F0E49">
        <w:rPr>
          <w:rFonts w:ascii="Arial" w:eastAsiaTheme="minorHAnsi" w:hAnsi="Arial" w:cs="Arial"/>
          <w:sz w:val="22"/>
          <w:szCs w:val="22"/>
          <w:lang w:eastAsia="en-US"/>
        </w:rPr>
        <w:t>ka riječke industrijske baštine s time da je ukupan ugovoreni iznos kredita ostao neprom</w:t>
      </w:r>
      <w:r w:rsidR="00E54150" w:rsidRPr="007F0E49">
        <w:rPr>
          <w:rFonts w:ascii="Arial" w:eastAsiaTheme="minorHAnsi" w:hAnsi="Arial" w:cs="Arial"/>
          <w:sz w:val="22"/>
          <w:szCs w:val="22"/>
          <w:lang w:eastAsia="en-US"/>
        </w:rPr>
        <w:t>i</w:t>
      </w:r>
      <w:r w:rsidR="001E7D99" w:rsidRPr="007F0E49">
        <w:rPr>
          <w:rFonts w:ascii="Arial" w:eastAsiaTheme="minorHAnsi" w:hAnsi="Arial" w:cs="Arial"/>
          <w:sz w:val="22"/>
          <w:szCs w:val="22"/>
          <w:lang w:eastAsia="en-US"/>
        </w:rPr>
        <w:t>jenjen.</w:t>
      </w:r>
      <w:r w:rsidR="00E54150" w:rsidRPr="007F0E49">
        <w:rPr>
          <w:rFonts w:ascii="Arial" w:eastAsiaTheme="minorHAnsi" w:hAnsi="Arial" w:cs="Arial"/>
          <w:sz w:val="22"/>
          <w:szCs w:val="22"/>
          <w:lang w:eastAsia="en-US"/>
        </w:rPr>
        <w:t xml:space="preserve"> </w:t>
      </w:r>
      <w:r w:rsidR="001E7D99" w:rsidRPr="007F0E49">
        <w:rPr>
          <w:rFonts w:ascii="Arial" w:eastAsiaTheme="minorHAnsi" w:hAnsi="Arial" w:cs="Arial"/>
          <w:sz w:val="22"/>
          <w:szCs w:val="22"/>
          <w:lang w:eastAsia="en-US"/>
        </w:rPr>
        <w:t>Temeljem Odluke o zaduživanju od 11.</w:t>
      </w:r>
      <w:r w:rsidR="00E54150" w:rsidRPr="007F0E49">
        <w:rPr>
          <w:rFonts w:ascii="Arial" w:eastAsiaTheme="minorHAnsi" w:hAnsi="Arial" w:cs="Arial"/>
          <w:sz w:val="22"/>
          <w:szCs w:val="22"/>
          <w:lang w:eastAsia="en-US"/>
        </w:rPr>
        <w:t xml:space="preserve"> </w:t>
      </w:r>
      <w:r w:rsidR="001E7D99" w:rsidRPr="007F0E49">
        <w:rPr>
          <w:rFonts w:ascii="Arial" w:eastAsiaTheme="minorHAnsi" w:hAnsi="Arial" w:cs="Arial"/>
          <w:sz w:val="22"/>
          <w:szCs w:val="22"/>
          <w:lang w:eastAsia="en-US"/>
        </w:rPr>
        <w:t>ožujka 2021. godine sklopljen je Aneks broj 2 Ugovora o kreditu kojim je produlj</w:t>
      </w:r>
      <w:r w:rsidR="00201B1B" w:rsidRPr="007F0E49">
        <w:rPr>
          <w:rFonts w:ascii="Arial" w:eastAsiaTheme="minorHAnsi" w:hAnsi="Arial" w:cs="Arial"/>
          <w:sz w:val="22"/>
          <w:szCs w:val="22"/>
          <w:lang w:eastAsia="en-US"/>
        </w:rPr>
        <w:t>en rok korištenja kredita do 31.</w:t>
      </w:r>
      <w:r w:rsidR="001E7D99" w:rsidRPr="007F0E49">
        <w:rPr>
          <w:rFonts w:ascii="Arial" w:eastAsiaTheme="minorHAnsi" w:hAnsi="Arial" w:cs="Arial"/>
          <w:sz w:val="22"/>
          <w:szCs w:val="22"/>
          <w:lang w:eastAsia="en-US"/>
        </w:rPr>
        <w:t>12.2022. godine.</w:t>
      </w:r>
      <w:r w:rsidR="00FE2099" w:rsidRPr="007F0E49">
        <w:rPr>
          <w:rFonts w:ascii="Arial" w:eastAsiaTheme="minorHAnsi" w:hAnsi="Arial" w:cs="Arial"/>
          <w:sz w:val="22"/>
          <w:szCs w:val="22"/>
          <w:lang w:eastAsia="en-US"/>
        </w:rPr>
        <w:t>, a temeljem</w:t>
      </w:r>
      <w:r w:rsidR="00787950" w:rsidRPr="007F0E49">
        <w:rPr>
          <w:rFonts w:ascii="Arial" w:eastAsiaTheme="minorHAnsi" w:hAnsi="Arial" w:cs="Arial"/>
          <w:sz w:val="22"/>
          <w:szCs w:val="22"/>
          <w:lang w:eastAsia="en-US"/>
        </w:rPr>
        <w:t xml:space="preserve"> </w:t>
      </w:r>
      <w:r w:rsidR="00FE2099" w:rsidRPr="007F0E49">
        <w:rPr>
          <w:rFonts w:ascii="Arial" w:eastAsiaTheme="minorHAnsi" w:hAnsi="Arial" w:cs="Arial"/>
          <w:sz w:val="22"/>
          <w:szCs w:val="22"/>
          <w:lang w:eastAsia="en-US"/>
        </w:rPr>
        <w:t>Odluke o zaduživanju od 8.</w:t>
      </w:r>
      <w:r w:rsidR="00E54150" w:rsidRPr="007F0E49">
        <w:rPr>
          <w:rFonts w:ascii="Arial" w:eastAsiaTheme="minorHAnsi" w:hAnsi="Arial" w:cs="Arial"/>
          <w:sz w:val="22"/>
          <w:szCs w:val="22"/>
          <w:lang w:eastAsia="en-US"/>
        </w:rPr>
        <w:t xml:space="preserve"> </w:t>
      </w:r>
      <w:r w:rsidR="00FE2099" w:rsidRPr="007F0E49">
        <w:rPr>
          <w:rFonts w:ascii="Arial" w:eastAsiaTheme="minorHAnsi" w:hAnsi="Arial" w:cs="Arial"/>
          <w:sz w:val="22"/>
          <w:szCs w:val="22"/>
          <w:lang w:eastAsia="en-US"/>
        </w:rPr>
        <w:t>prosinca 2022.</w:t>
      </w:r>
      <w:r w:rsidR="00005475" w:rsidRPr="007F0E49">
        <w:rPr>
          <w:rFonts w:ascii="Arial" w:eastAsiaTheme="minorHAnsi" w:hAnsi="Arial" w:cs="Arial"/>
          <w:sz w:val="22"/>
          <w:szCs w:val="22"/>
          <w:lang w:eastAsia="en-US"/>
        </w:rPr>
        <w:t xml:space="preserve"> </w:t>
      </w:r>
      <w:r w:rsidR="00FE2099" w:rsidRPr="007F0E49">
        <w:rPr>
          <w:rFonts w:ascii="Arial" w:eastAsiaTheme="minorHAnsi" w:hAnsi="Arial" w:cs="Arial"/>
          <w:sz w:val="22"/>
          <w:szCs w:val="22"/>
          <w:lang w:eastAsia="en-US"/>
        </w:rPr>
        <w:t>godine sklopljen je Aneks broj 4 Ugovora o kreditu</w:t>
      </w:r>
      <w:r w:rsidR="00787950" w:rsidRPr="007F0E49">
        <w:rPr>
          <w:rFonts w:ascii="Arial" w:eastAsiaTheme="minorHAnsi" w:hAnsi="Arial" w:cs="Arial"/>
          <w:sz w:val="22"/>
          <w:szCs w:val="22"/>
          <w:lang w:eastAsia="en-US"/>
        </w:rPr>
        <w:t xml:space="preserve"> </w:t>
      </w:r>
      <w:r w:rsidR="00FE2099" w:rsidRPr="007F0E49">
        <w:rPr>
          <w:rFonts w:ascii="Arial" w:eastAsiaTheme="minorHAnsi" w:hAnsi="Arial" w:cs="Arial"/>
          <w:sz w:val="22"/>
          <w:szCs w:val="22"/>
          <w:lang w:eastAsia="en-US"/>
        </w:rPr>
        <w:t>kojim je produljen rok korištenja kredita do 31.12.2023. godine.</w:t>
      </w:r>
      <w:r w:rsidRPr="007F0E49">
        <w:rPr>
          <w:rFonts w:ascii="Arial" w:eastAsiaTheme="minorHAnsi" w:hAnsi="Arial" w:cs="Arial"/>
          <w:sz w:val="22"/>
          <w:szCs w:val="22"/>
          <w:lang w:eastAsia="en-US"/>
        </w:rPr>
        <w:t xml:space="preserve"> Sredstva kredita otplaćivat će se mjesečno 14 godina</w:t>
      </w:r>
      <w:r w:rsidR="001E7D99" w:rsidRPr="007F0E49">
        <w:rPr>
          <w:rFonts w:ascii="Arial" w:eastAsiaTheme="minorHAnsi" w:hAnsi="Arial" w:cs="Arial"/>
          <w:sz w:val="22"/>
          <w:szCs w:val="22"/>
          <w:lang w:eastAsia="en-US"/>
        </w:rPr>
        <w:t>,</w:t>
      </w:r>
      <w:r w:rsidR="00201B1B" w:rsidRPr="007F0E49">
        <w:rPr>
          <w:rFonts w:ascii="Arial" w:eastAsiaTheme="minorHAnsi" w:hAnsi="Arial" w:cs="Arial"/>
          <w:sz w:val="22"/>
          <w:szCs w:val="22"/>
          <w:lang w:eastAsia="en-US"/>
        </w:rPr>
        <w:t xml:space="preserve"> </w:t>
      </w:r>
      <w:r w:rsidR="001E7D99" w:rsidRPr="007F0E49">
        <w:rPr>
          <w:rFonts w:ascii="Arial" w:eastAsiaTheme="minorHAnsi" w:hAnsi="Arial" w:cs="Arial"/>
          <w:sz w:val="22"/>
          <w:szCs w:val="22"/>
          <w:lang w:eastAsia="en-US"/>
        </w:rPr>
        <w:t>od isteka roka korištenja.</w:t>
      </w:r>
      <w:r w:rsidRPr="007F0E49">
        <w:rPr>
          <w:rFonts w:ascii="Arial" w:eastAsiaTheme="minorHAnsi" w:hAnsi="Arial" w:cs="Arial"/>
          <w:sz w:val="22"/>
          <w:szCs w:val="22"/>
          <w:lang w:eastAsia="en-US"/>
        </w:rPr>
        <w:t xml:space="preserve"> Kamatna stopa je fiksna i iznosi 1,59%.</w:t>
      </w:r>
    </w:p>
    <w:p w:rsidR="00FE2099" w:rsidRPr="007F0E49" w:rsidRDefault="00D41060" w:rsidP="000E69DA">
      <w:pPr>
        <w:tabs>
          <w:tab w:val="left" w:pos="426"/>
        </w:tabs>
        <w:jc w:val="both"/>
        <w:rPr>
          <w:rFonts w:ascii="Arial" w:eastAsiaTheme="minorHAnsi" w:hAnsi="Arial" w:cs="Arial"/>
          <w:b/>
          <w:color w:val="FF0000"/>
          <w:sz w:val="22"/>
          <w:szCs w:val="22"/>
          <w:highlight w:val="yellow"/>
          <w:lang w:eastAsia="en-US"/>
        </w:rPr>
      </w:pPr>
      <w:r>
        <w:rPr>
          <w:rFonts w:ascii="Arial" w:eastAsiaTheme="minorHAnsi" w:hAnsi="Arial" w:cs="Arial"/>
          <w:b/>
          <w:sz w:val="22"/>
          <w:szCs w:val="22"/>
          <w:lang w:eastAsia="en-US"/>
        </w:rPr>
        <w:t xml:space="preserve">      </w:t>
      </w:r>
      <w:r w:rsidR="000E69DA" w:rsidRPr="007F0E49">
        <w:rPr>
          <w:rFonts w:ascii="Arial" w:eastAsiaTheme="minorHAnsi" w:hAnsi="Arial" w:cs="Arial"/>
          <w:b/>
          <w:sz w:val="22"/>
          <w:szCs w:val="22"/>
          <w:lang w:eastAsia="en-US"/>
        </w:rPr>
        <w:t xml:space="preserve">Povlačenje </w:t>
      </w:r>
      <w:r w:rsidR="00690EDB">
        <w:rPr>
          <w:rFonts w:ascii="Arial" w:eastAsiaTheme="minorHAnsi" w:hAnsi="Arial" w:cs="Arial"/>
          <w:b/>
          <w:sz w:val="22"/>
          <w:szCs w:val="22"/>
          <w:lang w:eastAsia="en-US"/>
        </w:rPr>
        <w:t>kredita</w:t>
      </w:r>
      <w:r w:rsidR="000E69DA" w:rsidRPr="007F0E49">
        <w:rPr>
          <w:rFonts w:ascii="Arial" w:eastAsiaTheme="minorHAnsi" w:hAnsi="Arial" w:cs="Arial"/>
          <w:b/>
          <w:sz w:val="22"/>
          <w:szCs w:val="22"/>
          <w:lang w:eastAsia="en-US"/>
        </w:rPr>
        <w:t xml:space="preserve"> </w:t>
      </w:r>
      <w:r w:rsidR="007D5E3A" w:rsidRPr="007F0E49">
        <w:rPr>
          <w:rFonts w:ascii="Arial" w:eastAsiaTheme="minorHAnsi" w:hAnsi="Arial" w:cs="Arial"/>
          <w:b/>
          <w:sz w:val="22"/>
          <w:szCs w:val="22"/>
          <w:lang w:eastAsia="en-US"/>
        </w:rPr>
        <w:t>započinje</w:t>
      </w:r>
      <w:r w:rsidR="000E69DA" w:rsidRPr="007F0E49">
        <w:rPr>
          <w:rFonts w:ascii="Arial" w:eastAsiaTheme="minorHAnsi" w:hAnsi="Arial" w:cs="Arial"/>
          <w:b/>
          <w:sz w:val="22"/>
          <w:szCs w:val="22"/>
          <w:lang w:eastAsia="en-US"/>
        </w:rPr>
        <w:t xml:space="preserve"> u listopadu 2018. godine i </w:t>
      </w:r>
      <w:r w:rsidR="007D5E3A" w:rsidRPr="007F0E49">
        <w:rPr>
          <w:rFonts w:ascii="Arial" w:eastAsiaTheme="minorHAnsi" w:hAnsi="Arial" w:cs="Arial"/>
          <w:b/>
          <w:sz w:val="22"/>
          <w:szCs w:val="22"/>
          <w:lang w:eastAsia="en-US"/>
        </w:rPr>
        <w:t xml:space="preserve">do </w:t>
      </w:r>
      <w:r w:rsidR="00FE2099" w:rsidRPr="007F0E49">
        <w:rPr>
          <w:rFonts w:ascii="Arial" w:eastAsiaTheme="minorHAnsi" w:hAnsi="Arial" w:cs="Arial"/>
          <w:b/>
          <w:sz w:val="22"/>
          <w:szCs w:val="22"/>
          <w:lang w:eastAsia="en-US"/>
        </w:rPr>
        <w:t>31.12.2022</w:t>
      </w:r>
      <w:r w:rsidR="00690EDB">
        <w:rPr>
          <w:rFonts w:ascii="Arial" w:eastAsiaTheme="minorHAnsi" w:hAnsi="Arial" w:cs="Arial"/>
          <w:b/>
          <w:sz w:val="22"/>
          <w:szCs w:val="22"/>
          <w:lang w:eastAsia="en-US"/>
        </w:rPr>
        <w:t xml:space="preserve">. godine iskorišteno </w:t>
      </w:r>
      <w:r w:rsidR="00690EDB">
        <w:rPr>
          <w:rFonts w:ascii="Arial" w:eastAsiaTheme="minorHAnsi" w:hAnsi="Arial" w:cs="Arial"/>
          <w:b/>
          <w:sz w:val="22"/>
          <w:szCs w:val="22"/>
          <w:lang w:eastAsia="en-US"/>
        </w:rPr>
        <w:tab/>
        <w:t xml:space="preserve">je </w:t>
      </w:r>
      <w:r w:rsidR="00FE2099" w:rsidRPr="007F0E49">
        <w:rPr>
          <w:rFonts w:ascii="Arial" w:eastAsiaTheme="minorHAnsi" w:hAnsi="Arial" w:cs="Arial"/>
          <w:b/>
          <w:sz w:val="22"/>
          <w:szCs w:val="22"/>
          <w:lang w:eastAsia="en-US"/>
        </w:rPr>
        <w:t>75.103.982,62 kuna</w:t>
      </w:r>
    </w:p>
    <w:p w:rsidR="000E69DA" w:rsidRDefault="000E69DA" w:rsidP="000E69DA">
      <w:pPr>
        <w:jc w:val="both"/>
        <w:rPr>
          <w:rFonts w:ascii="Arial" w:hAnsi="Arial" w:cs="Arial"/>
          <w:b/>
          <w:sz w:val="22"/>
          <w:szCs w:val="22"/>
          <w:highlight w:val="yellow"/>
        </w:rPr>
      </w:pPr>
    </w:p>
    <w:p w:rsidR="00D41060" w:rsidRPr="007F0E49" w:rsidRDefault="00D41060" w:rsidP="000E69DA">
      <w:pPr>
        <w:jc w:val="both"/>
        <w:rPr>
          <w:rFonts w:ascii="Arial" w:hAnsi="Arial" w:cs="Arial"/>
          <w:b/>
          <w:sz w:val="22"/>
          <w:szCs w:val="22"/>
          <w:highlight w:val="yellow"/>
        </w:rPr>
      </w:pPr>
    </w:p>
    <w:p w:rsidR="000E69DA" w:rsidRPr="007F0E49" w:rsidRDefault="000E69DA" w:rsidP="00D907B7">
      <w:pPr>
        <w:numPr>
          <w:ilvl w:val="0"/>
          <w:numId w:val="7"/>
        </w:numPr>
        <w:spacing w:after="160" w:line="259" w:lineRule="auto"/>
        <w:jc w:val="both"/>
        <w:rPr>
          <w:rFonts w:ascii="Arial" w:hAnsi="Arial" w:cs="Arial"/>
          <w:b/>
          <w:sz w:val="22"/>
          <w:szCs w:val="22"/>
        </w:rPr>
      </w:pPr>
      <w:r w:rsidRPr="007F0E49">
        <w:rPr>
          <w:rFonts w:ascii="Arial" w:hAnsi="Arial" w:cs="Arial"/>
          <w:b/>
          <w:sz w:val="22"/>
          <w:szCs w:val="22"/>
        </w:rPr>
        <w:t xml:space="preserve">Kredit ERSTE&amp;STEIERMARKISCHE BANK d.d. na iznos od 18,7 mil. kuna </w:t>
      </w:r>
    </w:p>
    <w:p w:rsidR="000E69DA" w:rsidRPr="007F0E49" w:rsidRDefault="000E69DA" w:rsidP="000E69DA">
      <w:pPr>
        <w:tabs>
          <w:tab w:val="left" w:pos="426"/>
        </w:tabs>
        <w:ind w:left="360"/>
        <w:jc w:val="both"/>
        <w:rPr>
          <w:rFonts w:ascii="Arial" w:eastAsiaTheme="minorHAnsi" w:hAnsi="Arial" w:cs="Arial"/>
          <w:sz w:val="22"/>
          <w:szCs w:val="22"/>
          <w:lang w:eastAsia="en-US"/>
        </w:rPr>
      </w:pPr>
      <w:r w:rsidRPr="007F0E49">
        <w:rPr>
          <w:rFonts w:ascii="Arial" w:hAnsi="Arial" w:cs="Arial"/>
          <w:color w:val="000000" w:themeColor="text1"/>
          <w:sz w:val="22"/>
          <w:szCs w:val="22"/>
        </w:rPr>
        <w:t>Gradsko vijeće Grada Rijeke je na sjednici 28. ožujka 2019. godine donijelo Odluku o zaduživanju Grada Rijeke za projekte energetskih obnova 5 osnovnih škola i dječjih vrtića te Muzeja Grada Rijeke</w:t>
      </w:r>
      <w:r w:rsidRPr="007F0E49">
        <w:rPr>
          <w:rFonts w:ascii="Arial" w:hAnsi="Arial" w:cs="Arial"/>
          <w:sz w:val="22"/>
          <w:szCs w:val="22"/>
        </w:rPr>
        <w:t>.</w:t>
      </w:r>
      <w:r w:rsidRPr="007F0E49">
        <w:rPr>
          <w:rFonts w:ascii="Arial" w:hAnsi="Arial" w:cs="Arial"/>
          <w:color w:val="000000" w:themeColor="text1"/>
          <w:sz w:val="22"/>
          <w:szCs w:val="22"/>
        </w:rPr>
        <w:t xml:space="preserve"> Slijedom navedenog, 30. travnja 2019. godine </w:t>
      </w:r>
      <w:r w:rsidR="00396543" w:rsidRPr="007F0E49">
        <w:rPr>
          <w:rFonts w:ascii="Arial" w:hAnsi="Arial" w:cs="Arial"/>
          <w:color w:val="000000" w:themeColor="text1"/>
          <w:sz w:val="22"/>
          <w:szCs w:val="22"/>
        </w:rPr>
        <w:t xml:space="preserve">dobivena je suglasnost </w:t>
      </w:r>
      <w:r w:rsidRPr="007F0E49">
        <w:rPr>
          <w:rFonts w:ascii="Arial" w:hAnsi="Arial" w:cs="Arial"/>
          <w:color w:val="000000" w:themeColor="text1"/>
          <w:sz w:val="22"/>
          <w:szCs w:val="22"/>
        </w:rPr>
        <w:t xml:space="preserve">Ministarstva financija </w:t>
      </w:r>
      <w:r w:rsidR="00396543" w:rsidRPr="007F0E49">
        <w:rPr>
          <w:rFonts w:ascii="Arial" w:hAnsi="Arial" w:cs="Arial"/>
          <w:color w:val="000000" w:themeColor="text1"/>
          <w:sz w:val="22"/>
          <w:szCs w:val="22"/>
        </w:rPr>
        <w:t>za zaduženje</w:t>
      </w:r>
      <w:r w:rsidRPr="007F0E49">
        <w:rPr>
          <w:rFonts w:ascii="Arial" w:hAnsi="Arial" w:cs="Arial"/>
          <w:color w:val="000000" w:themeColor="text1"/>
          <w:sz w:val="22"/>
          <w:szCs w:val="22"/>
        </w:rPr>
        <w:t xml:space="preserve"> te je Grad Rijeka</w:t>
      </w:r>
      <w:r w:rsidRPr="007F0E49">
        <w:rPr>
          <w:rFonts w:ascii="Arial" w:eastAsiaTheme="minorHAnsi" w:hAnsi="Arial" w:cs="Arial"/>
          <w:sz w:val="22"/>
          <w:szCs w:val="22"/>
          <w:lang w:eastAsia="en-US"/>
        </w:rPr>
        <w:t xml:space="preserve"> s </w:t>
      </w:r>
      <w:r w:rsidRPr="007F0E49">
        <w:rPr>
          <w:rFonts w:ascii="Arial" w:hAnsi="Arial" w:cs="Arial"/>
          <w:sz w:val="22"/>
          <w:szCs w:val="22"/>
        </w:rPr>
        <w:t xml:space="preserve">ERSTE&amp;STEIERMÄRKISCHE BANK d.d. dana 1. srpnja 2019. godine zaključio Ugovor </w:t>
      </w:r>
      <w:r w:rsidRPr="007F0E49">
        <w:rPr>
          <w:rFonts w:ascii="Arial" w:eastAsiaTheme="minorHAnsi" w:hAnsi="Arial" w:cs="Arial"/>
          <w:sz w:val="22"/>
          <w:szCs w:val="22"/>
          <w:lang w:eastAsia="en-US"/>
        </w:rPr>
        <w:t>u iznosu od 18.655.949</w:t>
      </w:r>
      <w:r w:rsidR="001B707D" w:rsidRPr="007F0E49">
        <w:rPr>
          <w:rFonts w:ascii="Arial" w:eastAsiaTheme="minorHAnsi" w:hAnsi="Arial" w:cs="Arial"/>
          <w:sz w:val="22"/>
          <w:szCs w:val="22"/>
          <w:lang w:eastAsia="en-US"/>
        </w:rPr>
        <w:t>,00</w:t>
      </w:r>
      <w:r w:rsidRPr="007F0E49">
        <w:rPr>
          <w:rFonts w:ascii="Arial" w:eastAsiaTheme="minorHAnsi" w:hAnsi="Arial" w:cs="Arial"/>
          <w:sz w:val="22"/>
          <w:szCs w:val="22"/>
          <w:lang w:eastAsia="en-US"/>
        </w:rPr>
        <w:t xml:space="preserve"> kuna.</w:t>
      </w:r>
      <w:r w:rsidR="00BA0FB4" w:rsidRPr="007F0E49">
        <w:rPr>
          <w:rFonts w:ascii="Arial" w:eastAsiaTheme="minorHAnsi" w:hAnsi="Arial" w:cs="Arial"/>
          <w:sz w:val="22"/>
          <w:szCs w:val="22"/>
          <w:lang w:eastAsia="en-US"/>
        </w:rPr>
        <w:t xml:space="preserve"> Aneksom broj 1 Ugovora o kreditu od 26.06.2020. godine produljio se rok korištenja kredita do 31.12.2020.</w:t>
      </w:r>
      <w:r w:rsidR="00005475" w:rsidRPr="007F0E49">
        <w:rPr>
          <w:rFonts w:ascii="Arial" w:eastAsiaTheme="minorHAnsi" w:hAnsi="Arial" w:cs="Arial"/>
          <w:sz w:val="22"/>
          <w:szCs w:val="22"/>
          <w:lang w:eastAsia="en-US"/>
        </w:rPr>
        <w:t xml:space="preserve"> </w:t>
      </w:r>
      <w:r w:rsidR="00BA0FB4" w:rsidRPr="007F0E49">
        <w:rPr>
          <w:rFonts w:ascii="Arial" w:eastAsiaTheme="minorHAnsi" w:hAnsi="Arial" w:cs="Arial"/>
          <w:sz w:val="22"/>
          <w:szCs w:val="22"/>
          <w:lang w:eastAsia="en-US"/>
        </w:rPr>
        <w:t>godine.</w:t>
      </w:r>
      <w:r w:rsidR="00201B1B" w:rsidRPr="007F0E49">
        <w:rPr>
          <w:rFonts w:ascii="Arial" w:eastAsiaTheme="minorHAnsi" w:hAnsi="Arial" w:cs="Arial"/>
          <w:sz w:val="22"/>
          <w:szCs w:val="22"/>
          <w:lang w:eastAsia="en-US"/>
        </w:rPr>
        <w:t xml:space="preserve"> Povlačenje kredita počelo je u listopadu 20</w:t>
      </w:r>
      <w:r w:rsidR="00663947" w:rsidRPr="007F0E49">
        <w:rPr>
          <w:rFonts w:ascii="Arial" w:eastAsiaTheme="minorHAnsi" w:hAnsi="Arial" w:cs="Arial"/>
          <w:sz w:val="22"/>
          <w:szCs w:val="22"/>
          <w:lang w:eastAsia="en-US"/>
        </w:rPr>
        <w:t>19.</w:t>
      </w:r>
      <w:r w:rsidR="00BA0232" w:rsidRPr="007F0E49">
        <w:rPr>
          <w:rFonts w:ascii="Arial" w:eastAsiaTheme="minorHAnsi" w:hAnsi="Arial" w:cs="Arial"/>
          <w:sz w:val="22"/>
          <w:szCs w:val="22"/>
          <w:lang w:eastAsia="en-US"/>
        </w:rPr>
        <w:t xml:space="preserve"> </w:t>
      </w:r>
      <w:r w:rsidR="00663947" w:rsidRPr="007F0E49">
        <w:rPr>
          <w:rFonts w:ascii="Arial" w:eastAsiaTheme="minorHAnsi" w:hAnsi="Arial" w:cs="Arial"/>
          <w:sz w:val="22"/>
          <w:szCs w:val="22"/>
          <w:lang w:eastAsia="en-US"/>
        </w:rPr>
        <w:t xml:space="preserve">godine i ukupno za projekte </w:t>
      </w:r>
      <w:r w:rsidR="00201B1B" w:rsidRPr="007F0E49">
        <w:rPr>
          <w:rFonts w:ascii="Arial" w:eastAsiaTheme="minorHAnsi" w:hAnsi="Arial" w:cs="Arial"/>
          <w:sz w:val="22"/>
          <w:szCs w:val="22"/>
          <w:lang w:eastAsia="en-US"/>
        </w:rPr>
        <w:t>iskorišteno je 18.649.857,88 kuna kreditnih sredstava.</w:t>
      </w:r>
      <w:r w:rsidR="00663947" w:rsidRPr="007F0E49">
        <w:rPr>
          <w:rFonts w:ascii="Arial" w:eastAsiaTheme="minorHAnsi" w:hAnsi="Arial" w:cs="Arial"/>
          <w:sz w:val="22"/>
          <w:szCs w:val="22"/>
          <w:lang w:eastAsia="en-US"/>
        </w:rPr>
        <w:t xml:space="preserve"> Sredstva kredita otplaćuju </w:t>
      </w:r>
      <w:r w:rsidRPr="007F0E49">
        <w:rPr>
          <w:rFonts w:ascii="Arial" w:eastAsiaTheme="minorHAnsi" w:hAnsi="Arial" w:cs="Arial"/>
          <w:sz w:val="22"/>
          <w:szCs w:val="22"/>
          <w:lang w:eastAsia="en-US"/>
        </w:rPr>
        <w:t>se mjesečno 10 godina,</w:t>
      </w:r>
      <w:r w:rsidR="00201B1B" w:rsidRPr="007F0E49">
        <w:rPr>
          <w:rFonts w:ascii="Arial" w:eastAsiaTheme="minorHAnsi" w:hAnsi="Arial" w:cs="Arial"/>
          <w:sz w:val="22"/>
          <w:szCs w:val="22"/>
          <w:lang w:eastAsia="en-US"/>
        </w:rPr>
        <w:t xml:space="preserve"> od isteka roka korištenja, odnosno otplata kredita započela je od siječnja 2021. godine.</w:t>
      </w:r>
      <w:r w:rsidR="00BA0FB4" w:rsidRPr="007F0E49">
        <w:rPr>
          <w:rFonts w:ascii="Arial" w:eastAsiaTheme="minorHAnsi" w:hAnsi="Arial" w:cs="Arial"/>
          <w:sz w:val="22"/>
          <w:szCs w:val="22"/>
          <w:lang w:eastAsia="en-US"/>
        </w:rPr>
        <w:t xml:space="preserve"> </w:t>
      </w:r>
      <w:r w:rsidRPr="007F0E49">
        <w:rPr>
          <w:rFonts w:ascii="Arial" w:eastAsiaTheme="minorHAnsi" w:hAnsi="Arial" w:cs="Arial"/>
          <w:sz w:val="22"/>
          <w:szCs w:val="22"/>
          <w:lang w:eastAsia="en-US"/>
        </w:rPr>
        <w:t>Kamatna stopa je fiksna i iznosi 1,27%.</w:t>
      </w:r>
      <w:r w:rsidR="00201B1B" w:rsidRPr="007F0E49">
        <w:rPr>
          <w:rFonts w:ascii="Arial" w:eastAsiaTheme="minorHAnsi" w:hAnsi="Arial" w:cs="Arial"/>
          <w:sz w:val="22"/>
          <w:szCs w:val="22"/>
          <w:lang w:eastAsia="en-US"/>
        </w:rPr>
        <w:t xml:space="preserve"> </w:t>
      </w:r>
    </w:p>
    <w:p w:rsidR="006F4D1A" w:rsidRPr="007F0E49" w:rsidRDefault="006F4D1A" w:rsidP="000E69DA">
      <w:pPr>
        <w:tabs>
          <w:tab w:val="left" w:pos="426"/>
        </w:tabs>
        <w:ind w:left="360"/>
        <w:jc w:val="both"/>
        <w:rPr>
          <w:rFonts w:ascii="Arial" w:hAnsi="Arial" w:cs="Arial"/>
          <w:color w:val="000000" w:themeColor="text1"/>
          <w:sz w:val="22"/>
          <w:szCs w:val="22"/>
        </w:rPr>
      </w:pPr>
      <w:r w:rsidRPr="007F0E49">
        <w:rPr>
          <w:rFonts w:ascii="Arial" w:hAnsi="Arial" w:cs="Arial"/>
          <w:color w:val="000000" w:themeColor="text1"/>
          <w:sz w:val="22"/>
          <w:szCs w:val="22"/>
        </w:rPr>
        <w:t>Na Javni poziv Ministarstva regionalnog razvoja i fondova Europske unije za sufinanciranje provedbe EU projekata na regionalnoj i lokalnoj razini objavljen krajem 2020. godine, Grad je za sufinanciranje vlastite komponente prijavio 6 projekata energetske obnove koji su završeni u 2020. godini, te su Gradu krajem 2021. godine odobrena bespovratna sredstva pomoći u iznosu od 7.498.038,49 kn.</w:t>
      </w:r>
    </w:p>
    <w:p w:rsidR="006F4D1A" w:rsidRPr="007F0E49" w:rsidRDefault="006F4D1A" w:rsidP="000E69DA">
      <w:pPr>
        <w:tabs>
          <w:tab w:val="left" w:pos="426"/>
        </w:tabs>
        <w:ind w:left="360"/>
        <w:jc w:val="both"/>
        <w:rPr>
          <w:rFonts w:ascii="Arial" w:hAnsi="Arial" w:cs="Arial"/>
          <w:sz w:val="22"/>
          <w:szCs w:val="22"/>
        </w:rPr>
      </w:pPr>
      <w:r w:rsidRPr="007F0E49">
        <w:rPr>
          <w:rFonts w:ascii="Arial" w:hAnsi="Arial" w:cs="Arial"/>
          <w:color w:val="000000" w:themeColor="text1"/>
          <w:sz w:val="22"/>
          <w:szCs w:val="22"/>
        </w:rPr>
        <w:t>Obzirom da je vlastita komponenta 6 realiziranih projekata energetske obnove prethodno financirana iz kredita Erste banke, Grad je po primitku navedenih bespovratnih sredstava izvršio prijevremenu djelomičnu otplatu navedenog kredita te je dana 24.12.2021. godine sklopljen Aneks broj 2 Ugovora o kreditu na novi iznos glavnice kredita u visini 9.442.249,11 kuna.</w:t>
      </w:r>
    </w:p>
    <w:p w:rsidR="000E69DA" w:rsidRPr="007F0E49" w:rsidRDefault="002545DC" w:rsidP="00313DEC">
      <w:pPr>
        <w:tabs>
          <w:tab w:val="left" w:pos="426"/>
        </w:tabs>
        <w:ind w:left="360"/>
        <w:jc w:val="both"/>
        <w:rPr>
          <w:rFonts w:ascii="Arial" w:hAnsi="Arial" w:cs="Arial"/>
          <w:b/>
          <w:sz w:val="22"/>
          <w:szCs w:val="22"/>
        </w:rPr>
      </w:pPr>
      <w:r w:rsidRPr="007F0E49">
        <w:rPr>
          <w:rFonts w:ascii="Arial" w:eastAsiaTheme="minorHAnsi" w:hAnsi="Arial" w:cs="Arial"/>
          <w:b/>
          <w:sz w:val="22"/>
          <w:szCs w:val="22"/>
          <w:lang w:eastAsia="en-US"/>
        </w:rPr>
        <w:t>T</w:t>
      </w:r>
      <w:r w:rsidR="00FE2099" w:rsidRPr="007F0E49">
        <w:rPr>
          <w:rFonts w:ascii="Arial" w:eastAsiaTheme="minorHAnsi" w:hAnsi="Arial" w:cs="Arial"/>
          <w:b/>
          <w:sz w:val="22"/>
          <w:szCs w:val="22"/>
          <w:lang w:eastAsia="en-US"/>
        </w:rPr>
        <w:t>ijekom 2022</w:t>
      </w:r>
      <w:r w:rsidR="00DA66DA" w:rsidRPr="007F0E49">
        <w:rPr>
          <w:rFonts w:ascii="Arial" w:eastAsiaTheme="minorHAnsi" w:hAnsi="Arial" w:cs="Arial"/>
          <w:b/>
          <w:sz w:val="22"/>
          <w:szCs w:val="22"/>
          <w:lang w:eastAsia="en-US"/>
        </w:rPr>
        <w:t xml:space="preserve">. </w:t>
      </w:r>
      <w:r w:rsidRPr="007F0E49">
        <w:rPr>
          <w:rFonts w:ascii="Arial" w:eastAsiaTheme="minorHAnsi" w:hAnsi="Arial" w:cs="Arial"/>
          <w:b/>
          <w:sz w:val="22"/>
          <w:szCs w:val="22"/>
          <w:lang w:eastAsia="en-US"/>
        </w:rPr>
        <w:t>godine ot</w:t>
      </w:r>
      <w:r w:rsidR="00DA66DA" w:rsidRPr="007F0E49">
        <w:rPr>
          <w:rFonts w:ascii="Arial" w:eastAsiaTheme="minorHAnsi" w:hAnsi="Arial" w:cs="Arial"/>
          <w:b/>
          <w:sz w:val="22"/>
          <w:szCs w:val="22"/>
          <w:lang w:eastAsia="en-US"/>
        </w:rPr>
        <w:t xml:space="preserve">plaćeno je </w:t>
      </w:r>
      <w:r w:rsidR="00FE2099" w:rsidRPr="007F0E49">
        <w:rPr>
          <w:rFonts w:ascii="Arial" w:eastAsiaTheme="minorHAnsi" w:hAnsi="Arial" w:cs="Arial"/>
          <w:b/>
          <w:sz w:val="22"/>
          <w:szCs w:val="22"/>
          <w:lang w:eastAsia="en-US"/>
        </w:rPr>
        <w:t>1.039.513,68</w:t>
      </w:r>
      <w:r w:rsidR="00DA66DA" w:rsidRPr="007F0E49">
        <w:rPr>
          <w:rFonts w:ascii="Arial" w:eastAsiaTheme="minorHAnsi" w:hAnsi="Arial" w:cs="Arial"/>
          <w:b/>
          <w:sz w:val="22"/>
          <w:szCs w:val="22"/>
          <w:lang w:eastAsia="en-US"/>
        </w:rPr>
        <w:t xml:space="preserve"> </w:t>
      </w:r>
      <w:r w:rsidRPr="007F0E49">
        <w:rPr>
          <w:rFonts w:ascii="Arial" w:eastAsiaTheme="minorHAnsi" w:hAnsi="Arial" w:cs="Arial"/>
          <w:b/>
          <w:sz w:val="22"/>
          <w:szCs w:val="22"/>
          <w:lang w:eastAsia="en-US"/>
        </w:rPr>
        <w:t>kuna te st</w:t>
      </w:r>
      <w:r w:rsidR="00DA66DA" w:rsidRPr="007F0E49">
        <w:rPr>
          <w:rFonts w:ascii="Arial" w:eastAsiaTheme="minorHAnsi" w:hAnsi="Arial" w:cs="Arial"/>
          <w:b/>
          <w:sz w:val="22"/>
          <w:szCs w:val="22"/>
          <w:lang w:eastAsia="en-US"/>
        </w:rPr>
        <w:t>anje obveze ovog kredita na dan</w:t>
      </w:r>
      <w:r w:rsidRPr="007F0E49">
        <w:rPr>
          <w:rFonts w:ascii="Arial" w:eastAsiaTheme="minorHAnsi" w:hAnsi="Arial" w:cs="Arial"/>
          <w:b/>
          <w:sz w:val="22"/>
          <w:szCs w:val="22"/>
          <w:lang w:eastAsia="en-US"/>
        </w:rPr>
        <w:t xml:space="preserve"> </w:t>
      </w:r>
      <w:r w:rsidR="006F4D1A" w:rsidRPr="007F0E49">
        <w:rPr>
          <w:rFonts w:ascii="Arial" w:eastAsiaTheme="minorHAnsi" w:hAnsi="Arial" w:cs="Arial"/>
          <w:b/>
          <w:sz w:val="22"/>
          <w:szCs w:val="22"/>
          <w:lang w:eastAsia="en-US"/>
        </w:rPr>
        <w:t>3</w:t>
      </w:r>
      <w:r w:rsidR="00FE2099" w:rsidRPr="007F0E49">
        <w:rPr>
          <w:rFonts w:ascii="Arial" w:eastAsiaTheme="minorHAnsi" w:hAnsi="Arial" w:cs="Arial"/>
          <w:b/>
          <w:sz w:val="22"/>
          <w:szCs w:val="22"/>
          <w:lang w:eastAsia="en-US"/>
        </w:rPr>
        <w:t>1.12.2022</w:t>
      </w:r>
      <w:r w:rsidR="00DA66DA" w:rsidRPr="007F0E49">
        <w:rPr>
          <w:rFonts w:ascii="Arial" w:eastAsiaTheme="minorHAnsi" w:hAnsi="Arial" w:cs="Arial"/>
          <w:b/>
          <w:sz w:val="22"/>
          <w:szCs w:val="22"/>
          <w:lang w:eastAsia="en-US"/>
        </w:rPr>
        <w:t xml:space="preserve">. </w:t>
      </w:r>
      <w:r w:rsidRPr="007F0E49">
        <w:rPr>
          <w:rFonts w:ascii="Arial" w:eastAsiaTheme="minorHAnsi" w:hAnsi="Arial" w:cs="Arial"/>
          <w:b/>
          <w:sz w:val="22"/>
          <w:szCs w:val="22"/>
          <w:lang w:eastAsia="en-US"/>
        </w:rPr>
        <w:t xml:space="preserve">godine iznosi </w:t>
      </w:r>
      <w:r w:rsidR="00FE2099" w:rsidRPr="007F0E49">
        <w:rPr>
          <w:rFonts w:ascii="Arial" w:eastAsiaTheme="minorHAnsi" w:hAnsi="Arial" w:cs="Arial"/>
          <w:b/>
          <w:sz w:val="22"/>
          <w:szCs w:val="22"/>
          <w:lang w:eastAsia="en-US"/>
        </w:rPr>
        <w:t>8.316.109,29</w:t>
      </w:r>
      <w:r w:rsidRPr="007F0E49">
        <w:rPr>
          <w:rFonts w:ascii="Arial" w:eastAsiaTheme="minorHAnsi" w:hAnsi="Arial" w:cs="Arial"/>
          <w:b/>
          <w:sz w:val="22"/>
          <w:szCs w:val="22"/>
          <w:lang w:eastAsia="en-US"/>
        </w:rPr>
        <w:t xml:space="preserve"> kuna.</w:t>
      </w:r>
    </w:p>
    <w:p w:rsidR="000E69DA" w:rsidRDefault="000E69DA" w:rsidP="000E69DA">
      <w:pPr>
        <w:jc w:val="both"/>
        <w:rPr>
          <w:rFonts w:ascii="Arial" w:hAnsi="Arial" w:cs="Arial"/>
          <w:b/>
          <w:sz w:val="22"/>
          <w:szCs w:val="22"/>
          <w:highlight w:val="yellow"/>
        </w:rPr>
      </w:pPr>
    </w:p>
    <w:p w:rsidR="00D41060" w:rsidRPr="007F0E49" w:rsidRDefault="00D41060" w:rsidP="000E69DA">
      <w:pPr>
        <w:jc w:val="both"/>
        <w:rPr>
          <w:rFonts w:ascii="Arial" w:hAnsi="Arial" w:cs="Arial"/>
          <w:b/>
          <w:sz w:val="22"/>
          <w:szCs w:val="22"/>
          <w:highlight w:val="yellow"/>
        </w:rPr>
      </w:pPr>
    </w:p>
    <w:p w:rsidR="000E69DA" w:rsidRPr="007F0E49" w:rsidRDefault="000E69DA" w:rsidP="00D907B7">
      <w:pPr>
        <w:numPr>
          <w:ilvl w:val="0"/>
          <w:numId w:val="7"/>
        </w:numPr>
        <w:spacing w:after="160" w:line="259" w:lineRule="auto"/>
        <w:jc w:val="both"/>
        <w:rPr>
          <w:rFonts w:ascii="Arial" w:hAnsi="Arial" w:cs="Arial"/>
          <w:b/>
          <w:sz w:val="22"/>
          <w:szCs w:val="22"/>
        </w:rPr>
      </w:pPr>
      <w:r w:rsidRPr="007F0E49">
        <w:rPr>
          <w:rFonts w:ascii="Arial" w:hAnsi="Arial" w:cs="Arial"/>
          <w:b/>
          <w:sz w:val="22"/>
          <w:szCs w:val="22"/>
        </w:rPr>
        <w:t xml:space="preserve">Kredit ERSTE&amp;STEIERMARKISCHE BANK d.d. na iznos od 35,0 mil. kuna </w:t>
      </w:r>
    </w:p>
    <w:p w:rsidR="000E69DA" w:rsidRPr="007F0E49" w:rsidRDefault="000E69DA" w:rsidP="000E69DA">
      <w:pPr>
        <w:tabs>
          <w:tab w:val="left" w:pos="426"/>
        </w:tabs>
        <w:ind w:left="360"/>
        <w:jc w:val="both"/>
        <w:rPr>
          <w:rFonts w:ascii="Arial" w:eastAsiaTheme="minorHAnsi" w:hAnsi="Arial" w:cs="Arial"/>
          <w:sz w:val="22"/>
          <w:szCs w:val="22"/>
          <w:lang w:eastAsia="en-US"/>
        </w:rPr>
      </w:pPr>
      <w:r w:rsidRPr="007F0E49">
        <w:rPr>
          <w:rFonts w:ascii="Arial" w:hAnsi="Arial" w:cs="Arial"/>
          <w:color w:val="000000" w:themeColor="text1"/>
          <w:sz w:val="22"/>
          <w:szCs w:val="22"/>
        </w:rPr>
        <w:t>Gradsko vijeće Grada Rijeke je na sjednici 24.</w:t>
      </w:r>
      <w:r w:rsidR="00873D87" w:rsidRPr="007F0E49">
        <w:rPr>
          <w:rFonts w:ascii="Arial" w:hAnsi="Arial" w:cs="Arial"/>
          <w:color w:val="000000" w:themeColor="text1"/>
          <w:sz w:val="22"/>
          <w:szCs w:val="22"/>
        </w:rPr>
        <w:t xml:space="preserve"> </w:t>
      </w:r>
      <w:r w:rsidRPr="007F0E49">
        <w:rPr>
          <w:rFonts w:ascii="Arial" w:hAnsi="Arial" w:cs="Arial"/>
          <w:color w:val="000000" w:themeColor="text1"/>
          <w:sz w:val="22"/>
          <w:szCs w:val="22"/>
        </w:rPr>
        <w:t xml:space="preserve">svibnja 2018. godine donijelo Odluku o zaduživanju Grada Rijeke za financiranje kapitalnog projekta „Uređenje javnih površina i izgradnja pripadajuće infrastrukture unutar bivšeg tvorničkog kompleksa Rikard Benčić“. </w:t>
      </w:r>
      <w:r w:rsidR="00684BAB" w:rsidRPr="007F0E49">
        <w:rPr>
          <w:rFonts w:ascii="Arial" w:hAnsi="Arial" w:cs="Arial"/>
          <w:color w:val="000000" w:themeColor="text1"/>
          <w:sz w:val="22"/>
          <w:szCs w:val="22"/>
        </w:rPr>
        <w:t xml:space="preserve">Vlada Republike Hrvatske dala je </w:t>
      </w:r>
      <w:r w:rsidRPr="007F0E49">
        <w:rPr>
          <w:rFonts w:ascii="Arial" w:hAnsi="Arial" w:cs="Arial"/>
          <w:color w:val="000000" w:themeColor="text1"/>
          <w:sz w:val="22"/>
          <w:szCs w:val="22"/>
        </w:rPr>
        <w:t xml:space="preserve">10. svibnja 2019. </w:t>
      </w:r>
      <w:r w:rsidR="00684BAB" w:rsidRPr="007F0E49">
        <w:rPr>
          <w:rFonts w:ascii="Arial" w:hAnsi="Arial" w:cs="Arial"/>
          <w:color w:val="000000" w:themeColor="text1"/>
          <w:sz w:val="22"/>
          <w:szCs w:val="22"/>
        </w:rPr>
        <w:t xml:space="preserve">suglasnost za zaduženje </w:t>
      </w:r>
      <w:r w:rsidRPr="007F0E49">
        <w:rPr>
          <w:rFonts w:ascii="Arial" w:hAnsi="Arial" w:cs="Arial"/>
          <w:color w:val="000000" w:themeColor="text1"/>
          <w:sz w:val="22"/>
          <w:szCs w:val="22"/>
        </w:rPr>
        <w:t xml:space="preserve">te je </w:t>
      </w:r>
      <w:r w:rsidRPr="007F0E49">
        <w:rPr>
          <w:rFonts w:ascii="Arial" w:eastAsiaTheme="minorHAnsi" w:hAnsi="Arial" w:cs="Arial"/>
          <w:sz w:val="22"/>
          <w:szCs w:val="22"/>
          <w:lang w:eastAsia="en-US"/>
        </w:rPr>
        <w:t xml:space="preserve">Grad Rijeka s </w:t>
      </w:r>
      <w:r w:rsidRPr="007F0E49">
        <w:rPr>
          <w:rFonts w:ascii="Arial" w:hAnsi="Arial" w:cs="Arial"/>
          <w:sz w:val="22"/>
          <w:szCs w:val="22"/>
        </w:rPr>
        <w:t xml:space="preserve">ERSTE&amp;STEIERMÄRKISCHE BANK d.d. Rijeka dana 24. svibnja 2019. godine zaključio Ugovor o kreditu </w:t>
      </w:r>
      <w:r w:rsidRPr="007F0E49">
        <w:rPr>
          <w:rFonts w:ascii="Arial" w:eastAsiaTheme="minorHAnsi" w:hAnsi="Arial" w:cs="Arial"/>
          <w:sz w:val="22"/>
          <w:szCs w:val="22"/>
          <w:lang w:eastAsia="en-US"/>
        </w:rPr>
        <w:t>u iznosu od 35.000.000</w:t>
      </w:r>
      <w:r w:rsidR="00B56FFB" w:rsidRPr="007F0E49">
        <w:rPr>
          <w:rFonts w:ascii="Arial" w:eastAsiaTheme="minorHAnsi" w:hAnsi="Arial" w:cs="Arial"/>
          <w:sz w:val="22"/>
          <w:szCs w:val="22"/>
          <w:lang w:eastAsia="en-US"/>
        </w:rPr>
        <w:t>,00</w:t>
      </w:r>
      <w:r w:rsidRPr="007F0E49">
        <w:rPr>
          <w:rFonts w:ascii="Arial" w:eastAsiaTheme="minorHAnsi" w:hAnsi="Arial" w:cs="Arial"/>
          <w:sz w:val="22"/>
          <w:szCs w:val="22"/>
          <w:lang w:eastAsia="en-US"/>
        </w:rPr>
        <w:t xml:space="preserve"> kuna. </w:t>
      </w:r>
      <w:r w:rsidR="00577C6B" w:rsidRPr="007F0E49">
        <w:rPr>
          <w:rFonts w:ascii="Arial" w:eastAsiaTheme="minorHAnsi" w:hAnsi="Arial" w:cs="Arial"/>
          <w:sz w:val="22"/>
          <w:szCs w:val="22"/>
          <w:lang w:eastAsia="en-US"/>
        </w:rPr>
        <w:t>Aneksom broj 1 Ugovora o kreditu od 5.5.2020. godine produljio se rok korištenja kredita do 30.6.2021. godine.</w:t>
      </w:r>
      <w:r w:rsidR="00BA0FB4" w:rsidRPr="007F0E49">
        <w:rPr>
          <w:rFonts w:ascii="Arial" w:eastAsiaTheme="minorHAnsi" w:hAnsi="Arial" w:cs="Arial"/>
          <w:sz w:val="22"/>
          <w:szCs w:val="22"/>
          <w:lang w:eastAsia="en-US"/>
        </w:rPr>
        <w:t xml:space="preserve"> </w:t>
      </w:r>
      <w:r w:rsidR="00DA66DA" w:rsidRPr="007F0E49">
        <w:rPr>
          <w:rFonts w:ascii="Arial" w:eastAsiaTheme="minorHAnsi" w:hAnsi="Arial" w:cs="Arial"/>
          <w:sz w:val="22"/>
          <w:szCs w:val="22"/>
          <w:lang w:eastAsia="en-US"/>
        </w:rPr>
        <w:t>Sredstva kredita otplaćuju</w:t>
      </w:r>
      <w:r w:rsidR="00577C6B" w:rsidRPr="007F0E49">
        <w:rPr>
          <w:rFonts w:ascii="Arial" w:eastAsiaTheme="minorHAnsi" w:hAnsi="Arial" w:cs="Arial"/>
          <w:sz w:val="22"/>
          <w:szCs w:val="22"/>
          <w:lang w:eastAsia="en-US"/>
        </w:rPr>
        <w:t xml:space="preserve"> će se mjesečno 14 godina, </w:t>
      </w:r>
      <w:r w:rsidR="00DA66DA" w:rsidRPr="007F0E49">
        <w:rPr>
          <w:rFonts w:ascii="Arial" w:eastAsiaTheme="minorHAnsi" w:hAnsi="Arial" w:cs="Arial"/>
          <w:sz w:val="22"/>
          <w:szCs w:val="22"/>
          <w:lang w:eastAsia="en-US"/>
        </w:rPr>
        <w:t>odnosno otplata kredita započela je u srpnju 2021. godine.</w:t>
      </w:r>
      <w:r w:rsidR="00577C6B" w:rsidRPr="007F0E49">
        <w:rPr>
          <w:rFonts w:ascii="Arial" w:eastAsiaTheme="minorHAnsi" w:hAnsi="Arial" w:cs="Arial"/>
          <w:sz w:val="22"/>
          <w:szCs w:val="22"/>
          <w:lang w:eastAsia="en-US"/>
        </w:rPr>
        <w:t xml:space="preserve"> </w:t>
      </w:r>
      <w:r w:rsidRPr="007F0E49">
        <w:rPr>
          <w:rFonts w:ascii="Arial" w:eastAsiaTheme="minorHAnsi" w:hAnsi="Arial" w:cs="Arial"/>
          <w:sz w:val="22"/>
          <w:szCs w:val="22"/>
          <w:lang w:eastAsia="en-US"/>
        </w:rPr>
        <w:t>Kamatna stopa je fiksna i iznosi 1,59%.</w:t>
      </w:r>
    </w:p>
    <w:p w:rsidR="000E69DA" w:rsidRPr="007F0E49" w:rsidRDefault="00FE2099" w:rsidP="000E69DA">
      <w:pPr>
        <w:ind w:left="360"/>
        <w:jc w:val="both"/>
        <w:rPr>
          <w:rFonts w:ascii="Arial" w:eastAsiaTheme="minorHAnsi" w:hAnsi="Arial" w:cs="Arial"/>
          <w:b/>
          <w:sz w:val="22"/>
          <w:szCs w:val="22"/>
          <w:lang w:eastAsia="en-US"/>
        </w:rPr>
      </w:pPr>
      <w:r w:rsidRPr="007F0E49">
        <w:rPr>
          <w:rFonts w:ascii="Arial" w:eastAsiaTheme="minorHAnsi" w:hAnsi="Arial" w:cs="Arial"/>
          <w:b/>
          <w:sz w:val="22"/>
          <w:szCs w:val="22"/>
          <w:lang w:eastAsia="en-US"/>
        </w:rPr>
        <w:t>Tijekom 2022</w:t>
      </w:r>
      <w:r w:rsidR="00DA66DA" w:rsidRPr="007F0E49">
        <w:rPr>
          <w:rFonts w:ascii="Arial" w:eastAsiaTheme="minorHAnsi" w:hAnsi="Arial" w:cs="Arial"/>
          <w:b/>
          <w:sz w:val="22"/>
          <w:szCs w:val="22"/>
          <w:lang w:eastAsia="en-US"/>
        </w:rPr>
        <w:t>.</w:t>
      </w:r>
      <w:r w:rsidR="00BC1838" w:rsidRPr="007F0E49">
        <w:rPr>
          <w:rFonts w:ascii="Arial" w:eastAsiaTheme="minorHAnsi" w:hAnsi="Arial" w:cs="Arial"/>
          <w:b/>
          <w:sz w:val="22"/>
          <w:szCs w:val="22"/>
          <w:lang w:eastAsia="en-US"/>
        </w:rPr>
        <w:t xml:space="preserve"> </w:t>
      </w:r>
      <w:r w:rsidR="00DA66DA" w:rsidRPr="007F0E49">
        <w:rPr>
          <w:rFonts w:ascii="Arial" w:eastAsiaTheme="minorHAnsi" w:hAnsi="Arial" w:cs="Arial"/>
          <w:b/>
          <w:sz w:val="22"/>
          <w:szCs w:val="22"/>
          <w:lang w:eastAsia="en-US"/>
        </w:rPr>
        <w:t xml:space="preserve">godine otplaćeno je </w:t>
      </w:r>
      <w:r w:rsidRPr="007F0E49">
        <w:rPr>
          <w:rFonts w:ascii="Arial" w:eastAsiaTheme="minorHAnsi" w:hAnsi="Arial" w:cs="Arial"/>
          <w:b/>
          <w:sz w:val="22"/>
          <w:szCs w:val="22"/>
          <w:lang w:eastAsia="en-US"/>
        </w:rPr>
        <w:t>2.499.999,96</w:t>
      </w:r>
      <w:r w:rsidR="00DA66DA" w:rsidRPr="007F0E49">
        <w:rPr>
          <w:rFonts w:ascii="Arial" w:eastAsiaTheme="minorHAnsi" w:hAnsi="Arial" w:cs="Arial"/>
          <w:b/>
          <w:sz w:val="22"/>
          <w:szCs w:val="22"/>
          <w:lang w:eastAsia="en-US"/>
        </w:rPr>
        <w:t xml:space="preserve"> kuna te stanje obvez</w:t>
      </w:r>
      <w:r w:rsidRPr="007F0E49">
        <w:rPr>
          <w:rFonts w:ascii="Arial" w:eastAsiaTheme="minorHAnsi" w:hAnsi="Arial" w:cs="Arial"/>
          <w:b/>
          <w:sz w:val="22"/>
          <w:szCs w:val="22"/>
          <w:lang w:eastAsia="en-US"/>
        </w:rPr>
        <w:t>e ovog kredita na dan 31.12.2022</w:t>
      </w:r>
      <w:r w:rsidR="00DA66DA" w:rsidRPr="007F0E49">
        <w:rPr>
          <w:rFonts w:ascii="Arial" w:eastAsiaTheme="minorHAnsi" w:hAnsi="Arial" w:cs="Arial"/>
          <w:b/>
          <w:sz w:val="22"/>
          <w:szCs w:val="22"/>
          <w:lang w:eastAsia="en-US"/>
        </w:rPr>
        <w:t xml:space="preserve">. godine iznosi </w:t>
      </w:r>
      <w:r w:rsidRPr="007F0E49">
        <w:rPr>
          <w:rFonts w:ascii="Arial" w:eastAsiaTheme="minorHAnsi" w:hAnsi="Arial" w:cs="Arial"/>
          <w:b/>
          <w:sz w:val="22"/>
          <w:szCs w:val="22"/>
          <w:lang w:eastAsia="en-US"/>
        </w:rPr>
        <w:t>31.250.000,06</w:t>
      </w:r>
      <w:r w:rsidR="00DA66DA" w:rsidRPr="007F0E49">
        <w:rPr>
          <w:rFonts w:ascii="Arial" w:eastAsiaTheme="minorHAnsi" w:hAnsi="Arial" w:cs="Arial"/>
          <w:b/>
          <w:sz w:val="22"/>
          <w:szCs w:val="22"/>
          <w:lang w:eastAsia="en-US"/>
        </w:rPr>
        <w:t xml:space="preserve"> kn.</w:t>
      </w:r>
    </w:p>
    <w:p w:rsidR="000E69DA" w:rsidRDefault="000E69DA" w:rsidP="000E69DA">
      <w:pPr>
        <w:jc w:val="both"/>
        <w:rPr>
          <w:rFonts w:ascii="Arial" w:hAnsi="Arial" w:cs="Arial"/>
          <w:b/>
          <w:sz w:val="22"/>
          <w:szCs w:val="22"/>
        </w:rPr>
      </w:pPr>
    </w:p>
    <w:p w:rsidR="00D41060" w:rsidRDefault="00D41060" w:rsidP="000E69DA">
      <w:pPr>
        <w:jc w:val="both"/>
        <w:rPr>
          <w:rFonts w:ascii="Arial" w:hAnsi="Arial" w:cs="Arial"/>
          <w:b/>
          <w:sz w:val="22"/>
          <w:szCs w:val="22"/>
        </w:rPr>
      </w:pPr>
    </w:p>
    <w:p w:rsidR="00D41060" w:rsidRPr="007F0E49" w:rsidRDefault="00D41060" w:rsidP="000E69DA">
      <w:pPr>
        <w:jc w:val="both"/>
        <w:rPr>
          <w:rFonts w:ascii="Arial" w:hAnsi="Arial" w:cs="Arial"/>
          <w:b/>
          <w:sz w:val="22"/>
          <w:szCs w:val="22"/>
        </w:rPr>
      </w:pPr>
    </w:p>
    <w:p w:rsidR="00292739" w:rsidRPr="007F0E49" w:rsidRDefault="000E69DA" w:rsidP="00D907B7">
      <w:pPr>
        <w:numPr>
          <w:ilvl w:val="0"/>
          <w:numId w:val="7"/>
        </w:numPr>
        <w:spacing w:after="160" w:line="259" w:lineRule="auto"/>
        <w:jc w:val="both"/>
        <w:rPr>
          <w:rFonts w:ascii="Arial" w:hAnsi="Arial" w:cs="Arial"/>
          <w:b/>
          <w:sz w:val="22"/>
          <w:szCs w:val="22"/>
        </w:rPr>
      </w:pPr>
      <w:r w:rsidRPr="007F0E49">
        <w:rPr>
          <w:rFonts w:ascii="Arial" w:hAnsi="Arial" w:cs="Arial"/>
          <w:b/>
          <w:sz w:val="22"/>
          <w:szCs w:val="22"/>
        </w:rPr>
        <w:lastRenderedPageBreak/>
        <w:t xml:space="preserve">Kredit ZAGREBAČKE BANKE d.d. na iznos od 44,0 mil. kuna </w:t>
      </w:r>
    </w:p>
    <w:p w:rsidR="00577C6B" w:rsidRPr="007F0E49" w:rsidRDefault="000E69DA" w:rsidP="006538C0">
      <w:pPr>
        <w:spacing w:line="259" w:lineRule="auto"/>
        <w:ind w:left="357"/>
        <w:jc w:val="both"/>
        <w:rPr>
          <w:rFonts w:ascii="Arial" w:eastAsiaTheme="minorHAnsi" w:hAnsi="Arial" w:cs="Arial"/>
          <w:sz w:val="22"/>
          <w:szCs w:val="22"/>
          <w:lang w:eastAsia="en-US"/>
        </w:rPr>
      </w:pPr>
      <w:r w:rsidRPr="007F0E49">
        <w:rPr>
          <w:rFonts w:ascii="Arial" w:hAnsi="Arial" w:cs="Arial"/>
          <w:color w:val="000000" w:themeColor="text1"/>
          <w:sz w:val="22"/>
          <w:szCs w:val="22"/>
        </w:rPr>
        <w:t xml:space="preserve">Gradsko vijeće Grada Rijeke je na sjednici 30. rujna 2019. godine donijelo Odluku o zaduživanju Grada Rijeke za realizaciju kapitalnog projekta „Turistička valorizacija reprezentativnih spomenika riječke industrijske baštine“. Slijedom navedenog, 15. studenog 2019. godine </w:t>
      </w:r>
      <w:r w:rsidR="005D6173" w:rsidRPr="007F0E49">
        <w:rPr>
          <w:rFonts w:ascii="Arial" w:hAnsi="Arial" w:cs="Arial"/>
          <w:color w:val="000000" w:themeColor="text1"/>
          <w:sz w:val="22"/>
          <w:szCs w:val="22"/>
        </w:rPr>
        <w:t xml:space="preserve">dobivena je suglasnost </w:t>
      </w:r>
      <w:r w:rsidRPr="007F0E49">
        <w:rPr>
          <w:rFonts w:ascii="Arial" w:hAnsi="Arial" w:cs="Arial"/>
          <w:color w:val="000000" w:themeColor="text1"/>
          <w:sz w:val="22"/>
          <w:szCs w:val="22"/>
        </w:rPr>
        <w:t>Ministarstva financija te je Grad Rijeka dana 6.12.2019. godine sklopio</w:t>
      </w:r>
      <w:r w:rsidRPr="007F0E49">
        <w:rPr>
          <w:rFonts w:ascii="Arial" w:eastAsiaTheme="minorHAnsi" w:hAnsi="Arial" w:cs="Arial"/>
          <w:sz w:val="22"/>
          <w:szCs w:val="22"/>
          <w:lang w:eastAsia="en-US"/>
        </w:rPr>
        <w:t xml:space="preserve"> s</w:t>
      </w:r>
      <w:r w:rsidR="00AC546F" w:rsidRPr="007F0E49">
        <w:rPr>
          <w:rFonts w:ascii="Arial" w:eastAsiaTheme="minorHAnsi" w:hAnsi="Arial" w:cs="Arial"/>
          <w:sz w:val="22"/>
          <w:szCs w:val="22"/>
          <w:lang w:eastAsia="en-US"/>
        </w:rPr>
        <w:t>a</w:t>
      </w:r>
      <w:r w:rsidRPr="007F0E49">
        <w:rPr>
          <w:rFonts w:ascii="Arial" w:eastAsiaTheme="minorHAnsi" w:hAnsi="Arial" w:cs="Arial"/>
          <w:sz w:val="22"/>
          <w:szCs w:val="22"/>
          <w:lang w:eastAsia="en-US"/>
        </w:rPr>
        <w:t xml:space="preserve"> Zagrebačkom bankom</w:t>
      </w:r>
      <w:r w:rsidRPr="007F0E49">
        <w:rPr>
          <w:rFonts w:ascii="Arial" w:hAnsi="Arial" w:cs="Arial"/>
          <w:sz w:val="22"/>
          <w:szCs w:val="22"/>
        </w:rPr>
        <w:t xml:space="preserve"> d.d. Ugovor o kreditu </w:t>
      </w:r>
      <w:r w:rsidRPr="007F0E49">
        <w:rPr>
          <w:rFonts w:ascii="Arial" w:eastAsiaTheme="minorHAnsi" w:hAnsi="Arial" w:cs="Arial"/>
          <w:sz w:val="22"/>
          <w:szCs w:val="22"/>
          <w:lang w:eastAsia="en-US"/>
        </w:rPr>
        <w:t>u iznosu od 44.000.000</w:t>
      </w:r>
      <w:r w:rsidR="00DC1544" w:rsidRPr="007F0E49">
        <w:rPr>
          <w:rFonts w:ascii="Arial" w:eastAsiaTheme="minorHAnsi" w:hAnsi="Arial" w:cs="Arial"/>
          <w:sz w:val="22"/>
          <w:szCs w:val="22"/>
          <w:lang w:eastAsia="en-US"/>
        </w:rPr>
        <w:t>,00</w:t>
      </w:r>
      <w:r w:rsidRPr="007F0E49">
        <w:rPr>
          <w:rFonts w:ascii="Arial" w:eastAsiaTheme="minorHAnsi" w:hAnsi="Arial" w:cs="Arial"/>
          <w:sz w:val="22"/>
          <w:szCs w:val="22"/>
          <w:lang w:eastAsia="en-US"/>
        </w:rPr>
        <w:t xml:space="preserve"> kuna. </w:t>
      </w:r>
      <w:r w:rsidR="00577C6B" w:rsidRPr="007F0E49">
        <w:rPr>
          <w:rFonts w:ascii="Arial" w:eastAsiaTheme="minorHAnsi" w:hAnsi="Arial" w:cs="Arial"/>
          <w:sz w:val="22"/>
          <w:szCs w:val="22"/>
          <w:lang w:eastAsia="en-US"/>
        </w:rPr>
        <w:t>Dodatkom broj 1 Ugovora o kreditu od 2.12.2020. godine produl</w:t>
      </w:r>
      <w:r w:rsidR="009B6CB9" w:rsidRPr="007F0E49">
        <w:rPr>
          <w:rFonts w:ascii="Arial" w:eastAsiaTheme="minorHAnsi" w:hAnsi="Arial" w:cs="Arial"/>
          <w:sz w:val="22"/>
          <w:szCs w:val="22"/>
          <w:lang w:eastAsia="en-US"/>
        </w:rPr>
        <w:t>jio se rok korištenja kredita do</w:t>
      </w:r>
      <w:r w:rsidR="00577C6B" w:rsidRPr="007F0E49">
        <w:rPr>
          <w:rFonts w:ascii="Arial" w:eastAsiaTheme="minorHAnsi" w:hAnsi="Arial" w:cs="Arial"/>
          <w:sz w:val="22"/>
          <w:szCs w:val="22"/>
          <w:lang w:eastAsia="en-US"/>
        </w:rPr>
        <w:t xml:space="preserve"> 31.12.2021. godine.</w:t>
      </w:r>
      <w:r w:rsidR="00313DEC" w:rsidRPr="007F0E49">
        <w:rPr>
          <w:rFonts w:ascii="Arial" w:eastAsiaTheme="minorHAnsi" w:hAnsi="Arial" w:cs="Arial"/>
          <w:sz w:val="22"/>
          <w:szCs w:val="22"/>
          <w:lang w:eastAsia="en-US"/>
        </w:rPr>
        <w:t xml:space="preserve"> Unatoč istom</w:t>
      </w:r>
      <w:r w:rsidR="003A2EF3" w:rsidRPr="007F0E49">
        <w:rPr>
          <w:rFonts w:ascii="Arial" w:eastAsiaTheme="minorHAnsi" w:hAnsi="Arial" w:cs="Arial"/>
          <w:sz w:val="22"/>
          <w:szCs w:val="22"/>
          <w:lang w:eastAsia="en-US"/>
        </w:rPr>
        <w:t xml:space="preserve">, </w:t>
      </w:r>
      <w:r w:rsidR="00313DEC" w:rsidRPr="007F0E49">
        <w:rPr>
          <w:rFonts w:ascii="Arial" w:eastAsiaTheme="minorHAnsi" w:hAnsi="Arial" w:cs="Arial"/>
          <w:sz w:val="22"/>
          <w:szCs w:val="22"/>
          <w:lang w:eastAsia="en-US"/>
        </w:rPr>
        <w:t>za produljenje</w:t>
      </w:r>
      <w:r w:rsidR="00174DD7" w:rsidRPr="007F0E49">
        <w:rPr>
          <w:rFonts w:ascii="Arial" w:eastAsiaTheme="minorHAnsi" w:hAnsi="Arial" w:cs="Arial"/>
          <w:sz w:val="22"/>
          <w:szCs w:val="22"/>
          <w:lang w:eastAsia="en-US"/>
        </w:rPr>
        <w:t xml:space="preserve"> roka korištenja do 31.12.2022. godine, sklopljen je Dodatak 2. Ugovora o kreditu dana 01.12.2021. godine.</w:t>
      </w:r>
    </w:p>
    <w:p w:rsidR="004038CA" w:rsidRPr="007F0E49" w:rsidRDefault="000E69DA" w:rsidP="006538C0">
      <w:pPr>
        <w:spacing w:line="259" w:lineRule="auto"/>
        <w:ind w:left="357"/>
        <w:jc w:val="both"/>
        <w:rPr>
          <w:rFonts w:ascii="Arial" w:hAnsi="Arial" w:cs="Arial"/>
          <w:b/>
          <w:sz w:val="22"/>
          <w:szCs w:val="22"/>
        </w:rPr>
      </w:pPr>
      <w:r w:rsidRPr="007F0E49">
        <w:rPr>
          <w:rFonts w:ascii="Arial" w:eastAsiaTheme="minorHAnsi" w:hAnsi="Arial" w:cs="Arial"/>
          <w:sz w:val="22"/>
          <w:szCs w:val="22"/>
          <w:lang w:eastAsia="en-US"/>
        </w:rPr>
        <w:t xml:space="preserve">Sredstva kredita otplaćivat će se mjesečno 10 godina, </w:t>
      </w:r>
      <w:r w:rsidR="00FF20E5" w:rsidRPr="007F0E49">
        <w:rPr>
          <w:rFonts w:ascii="Arial" w:eastAsiaTheme="minorHAnsi" w:hAnsi="Arial" w:cs="Arial"/>
          <w:sz w:val="22"/>
          <w:szCs w:val="22"/>
          <w:lang w:eastAsia="en-US"/>
        </w:rPr>
        <w:t xml:space="preserve">od isteka roka </w:t>
      </w:r>
      <w:r w:rsidR="00577C6B" w:rsidRPr="007F0E49">
        <w:rPr>
          <w:rFonts w:ascii="Arial" w:eastAsiaTheme="minorHAnsi" w:hAnsi="Arial" w:cs="Arial"/>
          <w:sz w:val="22"/>
          <w:szCs w:val="22"/>
          <w:lang w:eastAsia="en-US"/>
        </w:rPr>
        <w:t xml:space="preserve">korištenja. </w:t>
      </w:r>
      <w:r w:rsidRPr="007F0E49">
        <w:rPr>
          <w:rFonts w:ascii="Arial" w:eastAsiaTheme="minorHAnsi" w:hAnsi="Arial" w:cs="Arial"/>
          <w:sz w:val="22"/>
          <w:szCs w:val="22"/>
          <w:lang w:eastAsia="en-US"/>
        </w:rPr>
        <w:t>Kamatna stopa je fiksna i iznosi 1,25%.</w:t>
      </w:r>
    </w:p>
    <w:p w:rsidR="000E69DA" w:rsidRPr="007F0E49" w:rsidRDefault="000E69DA" w:rsidP="006538C0">
      <w:pPr>
        <w:spacing w:line="259" w:lineRule="auto"/>
        <w:ind w:left="357"/>
        <w:jc w:val="both"/>
        <w:rPr>
          <w:rFonts w:ascii="Arial" w:eastAsiaTheme="minorHAnsi" w:hAnsi="Arial" w:cs="Arial"/>
          <w:b/>
          <w:sz w:val="22"/>
          <w:szCs w:val="22"/>
          <w:lang w:eastAsia="en-US"/>
        </w:rPr>
      </w:pPr>
      <w:r w:rsidRPr="007F0E49">
        <w:rPr>
          <w:rFonts w:ascii="Arial" w:eastAsiaTheme="minorHAnsi" w:hAnsi="Arial" w:cs="Arial"/>
          <w:b/>
          <w:sz w:val="22"/>
          <w:szCs w:val="22"/>
          <w:lang w:eastAsia="en-US"/>
        </w:rPr>
        <w:t xml:space="preserve">Povlačenje </w:t>
      </w:r>
      <w:r w:rsidR="004850D3">
        <w:rPr>
          <w:rFonts w:ascii="Arial" w:eastAsiaTheme="minorHAnsi" w:hAnsi="Arial" w:cs="Arial"/>
          <w:b/>
          <w:sz w:val="22"/>
          <w:szCs w:val="22"/>
          <w:lang w:eastAsia="en-US"/>
        </w:rPr>
        <w:t>kredita</w:t>
      </w:r>
      <w:r w:rsidRPr="007F0E49">
        <w:rPr>
          <w:rFonts w:ascii="Arial" w:eastAsiaTheme="minorHAnsi" w:hAnsi="Arial" w:cs="Arial"/>
          <w:b/>
          <w:sz w:val="22"/>
          <w:szCs w:val="22"/>
          <w:lang w:eastAsia="en-US"/>
        </w:rPr>
        <w:t xml:space="preserve"> </w:t>
      </w:r>
      <w:r w:rsidR="00666F0C" w:rsidRPr="007F0E49">
        <w:rPr>
          <w:rFonts w:ascii="Arial" w:eastAsiaTheme="minorHAnsi" w:hAnsi="Arial" w:cs="Arial"/>
          <w:b/>
          <w:sz w:val="22"/>
          <w:szCs w:val="22"/>
          <w:lang w:eastAsia="en-US"/>
        </w:rPr>
        <w:t xml:space="preserve">započinje </w:t>
      </w:r>
      <w:r w:rsidRPr="007F0E49">
        <w:rPr>
          <w:rFonts w:ascii="Arial" w:eastAsiaTheme="minorHAnsi" w:hAnsi="Arial" w:cs="Arial"/>
          <w:b/>
          <w:sz w:val="22"/>
          <w:szCs w:val="22"/>
          <w:lang w:eastAsia="en-US"/>
        </w:rPr>
        <w:t xml:space="preserve">u prosincu 2019. godine i </w:t>
      </w:r>
      <w:r w:rsidR="00666F0C" w:rsidRPr="007F0E49">
        <w:rPr>
          <w:rFonts w:ascii="Arial" w:eastAsiaTheme="minorHAnsi" w:hAnsi="Arial" w:cs="Arial"/>
          <w:b/>
          <w:sz w:val="22"/>
          <w:szCs w:val="22"/>
          <w:lang w:eastAsia="en-US"/>
        </w:rPr>
        <w:t xml:space="preserve">do </w:t>
      </w:r>
      <w:r w:rsidR="00FE2099" w:rsidRPr="007F0E49">
        <w:rPr>
          <w:rFonts w:ascii="Arial" w:eastAsiaTheme="minorHAnsi" w:hAnsi="Arial" w:cs="Arial"/>
          <w:b/>
          <w:sz w:val="22"/>
          <w:szCs w:val="22"/>
          <w:lang w:eastAsia="en-US"/>
        </w:rPr>
        <w:t>31.12.2022</w:t>
      </w:r>
      <w:r w:rsidRPr="007F0E49">
        <w:rPr>
          <w:rFonts w:ascii="Arial" w:eastAsiaTheme="minorHAnsi" w:hAnsi="Arial" w:cs="Arial"/>
          <w:b/>
          <w:sz w:val="22"/>
          <w:szCs w:val="22"/>
          <w:lang w:eastAsia="en-US"/>
        </w:rPr>
        <w:t xml:space="preserve">. godine iskorišteno je </w:t>
      </w:r>
      <w:r w:rsidR="00FE2099" w:rsidRPr="007F0E49">
        <w:rPr>
          <w:rFonts w:ascii="Arial" w:eastAsiaTheme="minorHAnsi" w:hAnsi="Arial" w:cs="Arial"/>
          <w:b/>
          <w:sz w:val="22"/>
          <w:szCs w:val="22"/>
          <w:lang w:eastAsia="en-US"/>
        </w:rPr>
        <w:t>44.000.000,00</w:t>
      </w:r>
      <w:r w:rsidRPr="007F0E49">
        <w:rPr>
          <w:rFonts w:ascii="Arial" w:eastAsiaTheme="minorHAnsi" w:hAnsi="Arial" w:cs="Arial"/>
          <w:b/>
          <w:sz w:val="22"/>
          <w:szCs w:val="22"/>
          <w:lang w:eastAsia="en-US"/>
        </w:rPr>
        <w:t xml:space="preserve"> kuna.</w:t>
      </w:r>
    </w:p>
    <w:p w:rsidR="001F5BA3" w:rsidRPr="007F0E49" w:rsidRDefault="001F5BA3" w:rsidP="006538C0">
      <w:pPr>
        <w:spacing w:line="259" w:lineRule="auto"/>
        <w:ind w:left="357"/>
        <w:jc w:val="both"/>
        <w:rPr>
          <w:rFonts w:ascii="Arial" w:eastAsiaTheme="minorHAnsi" w:hAnsi="Arial" w:cs="Arial"/>
          <w:b/>
          <w:sz w:val="22"/>
          <w:szCs w:val="22"/>
          <w:lang w:eastAsia="en-US"/>
        </w:rPr>
      </w:pPr>
    </w:p>
    <w:p w:rsidR="001F5BA3" w:rsidRPr="007F0E49" w:rsidRDefault="001F5BA3" w:rsidP="006538C0">
      <w:pPr>
        <w:spacing w:line="259" w:lineRule="auto"/>
        <w:ind w:left="357"/>
        <w:jc w:val="both"/>
        <w:rPr>
          <w:rFonts w:ascii="Arial" w:eastAsiaTheme="minorHAnsi" w:hAnsi="Arial" w:cs="Arial"/>
          <w:b/>
          <w:sz w:val="22"/>
          <w:szCs w:val="22"/>
          <w:lang w:eastAsia="en-US"/>
        </w:rPr>
      </w:pPr>
      <w:r w:rsidRPr="007F0E49">
        <w:rPr>
          <w:rFonts w:ascii="Arial" w:eastAsiaTheme="minorHAnsi" w:hAnsi="Arial" w:cs="Arial"/>
          <w:b/>
          <w:sz w:val="22"/>
          <w:szCs w:val="22"/>
          <w:lang w:eastAsia="en-US"/>
        </w:rPr>
        <w:t>Kredit ERSTE&amp;STEIERMARKISCHE BANK d.d.</w:t>
      </w:r>
      <w:r w:rsidR="00AC546F" w:rsidRPr="007F0E49">
        <w:rPr>
          <w:rFonts w:ascii="Arial" w:eastAsiaTheme="minorHAnsi" w:hAnsi="Arial" w:cs="Arial"/>
          <w:b/>
          <w:sz w:val="22"/>
          <w:szCs w:val="22"/>
          <w:lang w:eastAsia="en-US"/>
        </w:rPr>
        <w:t xml:space="preserve"> </w:t>
      </w:r>
      <w:r w:rsidRPr="007F0E49">
        <w:rPr>
          <w:rFonts w:ascii="Arial" w:eastAsiaTheme="minorHAnsi" w:hAnsi="Arial" w:cs="Arial"/>
          <w:b/>
          <w:sz w:val="22"/>
          <w:szCs w:val="22"/>
          <w:lang w:eastAsia="en-US"/>
        </w:rPr>
        <w:t>na iznos od 12,7 mil.kuna</w:t>
      </w:r>
    </w:p>
    <w:p w:rsidR="001F5BA3" w:rsidRPr="007F0E49" w:rsidRDefault="001F5BA3" w:rsidP="006538C0">
      <w:pPr>
        <w:spacing w:line="259" w:lineRule="auto"/>
        <w:ind w:left="357"/>
        <w:jc w:val="both"/>
        <w:rPr>
          <w:rFonts w:ascii="Arial" w:eastAsiaTheme="minorHAnsi" w:hAnsi="Arial" w:cs="Arial"/>
          <w:b/>
          <w:sz w:val="22"/>
          <w:szCs w:val="22"/>
          <w:lang w:eastAsia="en-US"/>
        </w:rPr>
      </w:pPr>
    </w:p>
    <w:p w:rsidR="001F5BA3" w:rsidRPr="007F0E49" w:rsidRDefault="001F5BA3" w:rsidP="006538C0">
      <w:pPr>
        <w:spacing w:line="259" w:lineRule="auto"/>
        <w:ind w:left="357"/>
        <w:jc w:val="both"/>
        <w:rPr>
          <w:rFonts w:ascii="Arial" w:eastAsiaTheme="minorHAnsi" w:hAnsi="Arial" w:cs="Arial"/>
          <w:sz w:val="22"/>
          <w:szCs w:val="22"/>
          <w:lang w:eastAsia="en-US"/>
        </w:rPr>
      </w:pPr>
      <w:r w:rsidRPr="007F0E49">
        <w:rPr>
          <w:rFonts w:ascii="Arial" w:eastAsiaTheme="minorHAnsi" w:hAnsi="Arial" w:cs="Arial"/>
          <w:sz w:val="22"/>
          <w:szCs w:val="22"/>
          <w:lang w:eastAsia="en-US"/>
        </w:rPr>
        <w:t>Gradsko vijeće Grada Rijeke je na sjednici 4.</w:t>
      </w:r>
      <w:r w:rsidR="00AC546F" w:rsidRPr="007F0E49">
        <w:rPr>
          <w:rFonts w:ascii="Arial" w:eastAsiaTheme="minorHAnsi" w:hAnsi="Arial" w:cs="Arial"/>
          <w:sz w:val="22"/>
          <w:szCs w:val="22"/>
          <w:lang w:eastAsia="en-US"/>
        </w:rPr>
        <w:t xml:space="preserve"> </w:t>
      </w:r>
      <w:r w:rsidRPr="007F0E49">
        <w:rPr>
          <w:rFonts w:ascii="Arial" w:eastAsiaTheme="minorHAnsi" w:hAnsi="Arial" w:cs="Arial"/>
          <w:sz w:val="22"/>
          <w:szCs w:val="22"/>
          <w:lang w:eastAsia="en-US"/>
        </w:rPr>
        <w:t>svibnja 2022. godine</w:t>
      </w:r>
      <w:r w:rsidR="00787950" w:rsidRPr="007F0E49">
        <w:rPr>
          <w:rFonts w:ascii="Arial" w:eastAsiaTheme="minorHAnsi" w:hAnsi="Arial" w:cs="Arial"/>
          <w:sz w:val="22"/>
          <w:szCs w:val="22"/>
          <w:lang w:eastAsia="en-US"/>
        </w:rPr>
        <w:t xml:space="preserve"> donijelo</w:t>
      </w:r>
      <w:r w:rsidRPr="007F0E49">
        <w:rPr>
          <w:rFonts w:ascii="Arial" w:eastAsiaTheme="minorHAnsi" w:hAnsi="Arial" w:cs="Arial"/>
          <w:sz w:val="22"/>
          <w:szCs w:val="22"/>
          <w:lang w:eastAsia="en-US"/>
        </w:rPr>
        <w:t xml:space="preserve"> Odluku o zaduživanju Grada Rijeke za sufinanciranje kapitalnog projekta Energana</w:t>
      </w:r>
      <w:r w:rsidR="00AC546F" w:rsidRPr="007F0E49">
        <w:rPr>
          <w:rFonts w:ascii="Arial" w:eastAsiaTheme="minorHAnsi" w:hAnsi="Arial" w:cs="Arial"/>
          <w:sz w:val="22"/>
          <w:szCs w:val="22"/>
          <w:lang w:eastAsia="en-US"/>
        </w:rPr>
        <w:t xml:space="preserve"> </w:t>
      </w:r>
      <w:r w:rsidRPr="007F0E49">
        <w:rPr>
          <w:rFonts w:ascii="Arial" w:eastAsiaTheme="minorHAnsi" w:hAnsi="Arial" w:cs="Arial"/>
          <w:sz w:val="22"/>
          <w:szCs w:val="22"/>
          <w:lang w:eastAsia="en-US"/>
        </w:rPr>
        <w:t>-</w:t>
      </w:r>
      <w:r w:rsidR="00AC546F" w:rsidRPr="007F0E49">
        <w:rPr>
          <w:rFonts w:ascii="Arial" w:eastAsiaTheme="minorHAnsi" w:hAnsi="Arial" w:cs="Arial"/>
          <w:sz w:val="22"/>
          <w:szCs w:val="22"/>
          <w:lang w:eastAsia="en-US"/>
        </w:rPr>
        <w:t xml:space="preserve"> </w:t>
      </w:r>
      <w:r w:rsidRPr="007F0E49">
        <w:rPr>
          <w:rFonts w:ascii="Arial" w:eastAsiaTheme="minorHAnsi" w:hAnsi="Arial" w:cs="Arial"/>
          <w:sz w:val="22"/>
          <w:szCs w:val="22"/>
          <w:lang w:eastAsia="en-US"/>
        </w:rPr>
        <w:t>Start Up inkubator za kreativne tehnologije i IT industriju. Vlada Repu</w:t>
      </w:r>
      <w:r w:rsidR="00212FC8" w:rsidRPr="007F0E49">
        <w:rPr>
          <w:rFonts w:ascii="Arial" w:eastAsiaTheme="minorHAnsi" w:hAnsi="Arial" w:cs="Arial"/>
          <w:sz w:val="22"/>
          <w:szCs w:val="22"/>
          <w:lang w:eastAsia="en-US"/>
        </w:rPr>
        <w:t>blike Hrvatske dala je 25. kolo</w:t>
      </w:r>
      <w:r w:rsidRPr="007F0E49">
        <w:rPr>
          <w:rFonts w:ascii="Arial" w:eastAsiaTheme="minorHAnsi" w:hAnsi="Arial" w:cs="Arial"/>
          <w:sz w:val="22"/>
          <w:szCs w:val="22"/>
          <w:lang w:eastAsia="en-US"/>
        </w:rPr>
        <w:t>voza 2022. godine</w:t>
      </w:r>
      <w:r w:rsidR="00787950" w:rsidRPr="007F0E49">
        <w:rPr>
          <w:rFonts w:ascii="Arial" w:eastAsiaTheme="minorHAnsi" w:hAnsi="Arial" w:cs="Arial"/>
          <w:sz w:val="22"/>
          <w:szCs w:val="22"/>
          <w:lang w:eastAsia="en-US"/>
        </w:rPr>
        <w:t xml:space="preserve"> </w:t>
      </w:r>
      <w:r w:rsidRPr="007F0E49">
        <w:rPr>
          <w:rFonts w:ascii="Arial" w:eastAsiaTheme="minorHAnsi" w:hAnsi="Arial" w:cs="Arial"/>
          <w:sz w:val="22"/>
          <w:szCs w:val="22"/>
          <w:lang w:eastAsia="en-US"/>
        </w:rPr>
        <w:t xml:space="preserve">suglasnost za zaduženje te je Grad Rijeka s ERSTE&amp;STEIERMAKISCHE BANK d.d. dana 19.rujna 2022. godine zaključio Ugovor o kreditu u iznosu od 12.700.000,00 kn. Sredstva kredita </w:t>
      </w:r>
      <w:r w:rsidR="00F25A3E" w:rsidRPr="007F0E49">
        <w:rPr>
          <w:rFonts w:ascii="Arial" w:eastAsiaTheme="minorHAnsi" w:hAnsi="Arial" w:cs="Arial"/>
          <w:sz w:val="22"/>
          <w:szCs w:val="22"/>
          <w:lang w:eastAsia="en-US"/>
        </w:rPr>
        <w:t>otplaćivat će se mjesečno 10 godina</w:t>
      </w:r>
      <w:r w:rsidR="00212FC8" w:rsidRPr="007F0E49">
        <w:rPr>
          <w:rFonts w:ascii="Arial" w:eastAsiaTheme="minorHAnsi" w:hAnsi="Arial" w:cs="Arial"/>
          <w:sz w:val="22"/>
          <w:szCs w:val="22"/>
          <w:lang w:eastAsia="en-US"/>
        </w:rPr>
        <w:t xml:space="preserve">, </w:t>
      </w:r>
      <w:r w:rsidR="00F25A3E" w:rsidRPr="007F0E49">
        <w:rPr>
          <w:rFonts w:ascii="Arial" w:eastAsiaTheme="minorHAnsi" w:hAnsi="Arial" w:cs="Arial"/>
          <w:sz w:val="22"/>
          <w:szCs w:val="22"/>
          <w:lang w:eastAsia="en-US"/>
        </w:rPr>
        <w:t>od isteka roka korištenja</w:t>
      </w:r>
      <w:r w:rsidR="00212FC8" w:rsidRPr="007F0E49">
        <w:rPr>
          <w:rFonts w:ascii="Arial" w:eastAsiaTheme="minorHAnsi" w:hAnsi="Arial" w:cs="Arial"/>
          <w:sz w:val="22"/>
          <w:szCs w:val="22"/>
          <w:lang w:eastAsia="en-US"/>
        </w:rPr>
        <w:t>.</w:t>
      </w:r>
      <w:r w:rsidR="00F25A3E" w:rsidRPr="007F0E49">
        <w:rPr>
          <w:rFonts w:ascii="Arial" w:eastAsiaTheme="minorHAnsi" w:hAnsi="Arial" w:cs="Arial"/>
          <w:sz w:val="22"/>
          <w:szCs w:val="22"/>
          <w:lang w:eastAsia="en-US"/>
        </w:rPr>
        <w:t xml:space="preserve"> Kamatna stopa je fiksna i iznosi 0,65%</w:t>
      </w:r>
      <w:r w:rsidR="00B13117" w:rsidRPr="007F0E49">
        <w:rPr>
          <w:rFonts w:ascii="Arial" w:eastAsiaTheme="minorHAnsi" w:hAnsi="Arial" w:cs="Arial"/>
          <w:sz w:val="22"/>
          <w:szCs w:val="22"/>
          <w:lang w:eastAsia="en-US"/>
        </w:rPr>
        <w:t>.</w:t>
      </w:r>
    </w:p>
    <w:p w:rsidR="00F25A3E" w:rsidRPr="007F0E49" w:rsidRDefault="00F25A3E" w:rsidP="006538C0">
      <w:pPr>
        <w:spacing w:line="259" w:lineRule="auto"/>
        <w:ind w:left="357"/>
        <w:jc w:val="both"/>
        <w:rPr>
          <w:rFonts w:ascii="Arial" w:eastAsiaTheme="minorHAnsi" w:hAnsi="Arial" w:cs="Arial"/>
          <w:b/>
          <w:sz w:val="22"/>
          <w:szCs w:val="22"/>
          <w:lang w:eastAsia="en-US"/>
        </w:rPr>
      </w:pPr>
      <w:r w:rsidRPr="007F0E49">
        <w:rPr>
          <w:rFonts w:ascii="Arial" w:eastAsiaTheme="minorHAnsi" w:hAnsi="Arial" w:cs="Arial"/>
          <w:b/>
          <w:sz w:val="22"/>
          <w:szCs w:val="22"/>
          <w:lang w:eastAsia="en-US"/>
        </w:rPr>
        <w:t xml:space="preserve">Povlačenje </w:t>
      </w:r>
      <w:r w:rsidR="004850D3">
        <w:rPr>
          <w:rFonts w:ascii="Arial" w:eastAsiaTheme="minorHAnsi" w:hAnsi="Arial" w:cs="Arial"/>
          <w:b/>
          <w:sz w:val="22"/>
          <w:szCs w:val="22"/>
          <w:lang w:eastAsia="en-US"/>
        </w:rPr>
        <w:t xml:space="preserve">kredita </w:t>
      </w:r>
      <w:r w:rsidRPr="007F0E49">
        <w:rPr>
          <w:rFonts w:ascii="Arial" w:eastAsiaTheme="minorHAnsi" w:hAnsi="Arial" w:cs="Arial"/>
          <w:b/>
          <w:sz w:val="22"/>
          <w:szCs w:val="22"/>
          <w:lang w:eastAsia="en-US"/>
        </w:rPr>
        <w:t xml:space="preserve">započelo je u studenom 2022. godine i do 31.12.2022. godine iskorišteno je 379.808,53 kn. </w:t>
      </w:r>
    </w:p>
    <w:p w:rsidR="00174DD7" w:rsidRPr="007F0E49" w:rsidRDefault="00174DD7" w:rsidP="006538C0">
      <w:pPr>
        <w:spacing w:line="259" w:lineRule="auto"/>
        <w:ind w:left="357"/>
        <w:jc w:val="both"/>
        <w:rPr>
          <w:rFonts w:ascii="Arial" w:hAnsi="Arial" w:cs="Arial"/>
          <w:b/>
          <w:sz w:val="22"/>
          <w:szCs w:val="22"/>
        </w:rPr>
      </w:pPr>
    </w:p>
    <w:p w:rsidR="00D41060" w:rsidRDefault="00D41060" w:rsidP="000E69DA">
      <w:pPr>
        <w:keepNext/>
        <w:jc w:val="both"/>
        <w:outlineLvl w:val="3"/>
        <w:rPr>
          <w:rFonts w:ascii="Arial" w:hAnsi="Arial" w:cs="Arial"/>
          <w:b/>
          <w:bCs/>
          <w:sz w:val="22"/>
          <w:szCs w:val="22"/>
        </w:rPr>
      </w:pPr>
    </w:p>
    <w:p w:rsidR="000E69DA" w:rsidRPr="007F0E49" w:rsidRDefault="000E69DA" w:rsidP="000E69DA">
      <w:pPr>
        <w:keepNext/>
        <w:jc w:val="both"/>
        <w:outlineLvl w:val="3"/>
        <w:rPr>
          <w:rFonts w:ascii="Arial" w:hAnsi="Arial" w:cs="Arial"/>
          <w:b/>
          <w:bCs/>
          <w:sz w:val="22"/>
          <w:szCs w:val="22"/>
        </w:rPr>
      </w:pPr>
      <w:r w:rsidRPr="007F0E49">
        <w:rPr>
          <w:rFonts w:ascii="Arial" w:hAnsi="Arial" w:cs="Arial"/>
          <w:b/>
          <w:bCs/>
          <w:sz w:val="22"/>
          <w:szCs w:val="22"/>
        </w:rPr>
        <w:t>Primljeni robni zajmovi</w:t>
      </w:r>
      <w:r w:rsidR="007E045A" w:rsidRPr="007F0E49">
        <w:rPr>
          <w:rFonts w:ascii="Arial" w:hAnsi="Arial" w:cs="Arial"/>
          <w:b/>
          <w:bCs/>
          <w:sz w:val="22"/>
          <w:szCs w:val="22"/>
        </w:rPr>
        <w:t>:</w:t>
      </w:r>
    </w:p>
    <w:p w:rsidR="000E69DA" w:rsidRPr="007F0E49" w:rsidRDefault="000E69DA" w:rsidP="000E69DA">
      <w:pPr>
        <w:rPr>
          <w:rFonts w:ascii="Arial" w:hAnsi="Arial" w:cs="Arial"/>
          <w:sz w:val="22"/>
          <w:szCs w:val="22"/>
          <w:highlight w:val="yellow"/>
        </w:rPr>
      </w:pPr>
    </w:p>
    <w:p w:rsidR="000E69DA" w:rsidRPr="007F0E49" w:rsidRDefault="000E69DA" w:rsidP="000E69DA">
      <w:pPr>
        <w:jc w:val="both"/>
        <w:rPr>
          <w:rFonts w:ascii="Arial" w:hAnsi="Arial" w:cs="Arial"/>
          <w:sz w:val="22"/>
          <w:szCs w:val="22"/>
        </w:rPr>
      </w:pPr>
      <w:r w:rsidRPr="007F0E49">
        <w:rPr>
          <w:rFonts w:ascii="Arial" w:hAnsi="Arial" w:cs="Arial"/>
          <w:sz w:val="22"/>
          <w:szCs w:val="22"/>
        </w:rPr>
        <w:t xml:space="preserve">Robni zajmovi ne predstavljaju direktno zaduženje Grada na financijskom tržištu. Kod navedena tri robna zajma riječ je o preuzimanju stanova, prometnica i sportskih objekata, koje su izgradili Agencija za društveno poticanu stanogradnju Grada Rijeke, Rijeka promet d.d. i Rijeka sport d.o.o. Grad Rijeka </w:t>
      </w:r>
      <w:r w:rsidR="00AC546F" w:rsidRPr="007F0E49">
        <w:rPr>
          <w:rFonts w:ascii="Arial" w:hAnsi="Arial" w:cs="Arial"/>
          <w:sz w:val="22"/>
          <w:szCs w:val="22"/>
        </w:rPr>
        <w:t xml:space="preserve">evidentirao je navedene nekretnine </w:t>
      </w:r>
      <w:r w:rsidRPr="007F0E49">
        <w:rPr>
          <w:rFonts w:ascii="Arial" w:hAnsi="Arial" w:cs="Arial"/>
          <w:sz w:val="22"/>
          <w:szCs w:val="22"/>
        </w:rPr>
        <w:t xml:space="preserve">u svoje poslovne knjige povećavajući tako imovinu Grada za navedena ulaganja te preuzeo obvezu njihove otplate. </w:t>
      </w:r>
    </w:p>
    <w:p w:rsidR="00C4263D" w:rsidRDefault="00C4263D" w:rsidP="000E69DA">
      <w:pPr>
        <w:jc w:val="both"/>
        <w:rPr>
          <w:rFonts w:ascii="Arial" w:hAnsi="Arial" w:cs="Arial"/>
          <w:sz w:val="22"/>
          <w:szCs w:val="22"/>
        </w:rPr>
      </w:pPr>
    </w:p>
    <w:p w:rsidR="00D41060" w:rsidRPr="007F0E49" w:rsidRDefault="00D41060" w:rsidP="000E69DA">
      <w:pPr>
        <w:jc w:val="both"/>
        <w:rPr>
          <w:rFonts w:ascii="Arial" w:hAnsi="Arial" w:cs="Arial"/>
          <w:sz w:val="22"/>
          <w:szCs w:val="22"/>
        </w:rPr>
      </w:pPr>
    </w:p>
    <w:p w:rsidR="000E69DA" w:rsidRPr="007F0E49" w:rsidRDefault="000E69DA" w:rsidP="006538C0">
      <w:pPr>
        <w:pStyle w:val="ListParagraph"/>
        <w:numPr>
          <w:ilvl w:val="0"/>
          <w:numId w:val="21"/>
        </w:numPr>
        <w:tabs>
          <w:tab w:val="center" w:pos="4320"/>
          <w:tab w:val="right" w:pos="8640"/>
        </w:tabs>
        <w:spacing w:after="160" w:line="259" w:lineRule="auto"/>
        <w:ind w:left="340"/>
        <w:jc w:val="both"/>
        <w:rPr>
          <w:rFonts w:ascii="Arial" w:hAnsi="Arial" w:cs="Arial"/>
          <w:b/>
          <w:sz w:val="22"/>
          <w:szCs w:val="22"/>
        </w:rPr>
      </w:pPr>
      <w:r w:rsidRPr="007F0E49">
        <w:rPr>
          <w:rFonts w:ascii="Arial" w:hAnsi="Arial" w:cs="Arial"/>
          <w:b/>
          <w:sz w:val="22"/>
          <w:szCs w:val="22"/>
        </w:rPr>
        <w:t xml:space="preserve">Robni zajam </w:t>
      </w:r>
      <w:r w:rsidR="00544DF4" w:rsidRPr="007F0E49">
        <w:rPr>
          <w:rFonts w:ascii="Arial" w:hAnsi="Arial" w:cs="Arial"/>
          <w:b/>
          <w:sz w:val="22"/>
          <w:szCs w:val="22"/>
        </w:rPr>
        <w:t xml:space="preserve">od </w:t>
      </w:r>
      <w:r w:rsidRPr="007F0E49">
        <w:rPr>
          <w:rFonts w:ascii="Arial" w:hAnsi="Arial" w:cs="Arial"/>
          <w:b/>
          <w:sz w:val="22"/>
          <w:szCs w:val="22"/>
        </w:rPr>
        <w:t>Agencije za društveno poticanu stanogradnju Grada Rijeke</w:t>
      </w:r>
    </w:p>
    <w:p w:rsidR="000E69DA" w:rsidRPr="007F0E49" w:rsidRDefault="00544DF4" w:rsidP="006538C0">
      <w:pPr>
        <w:ind w:left="340"/>
        <w:jc w:val="both"/>
        <w:rPr>
          <w:rFonts w:ascii="Arial" w:hAnsi="Arial" w:cs="Arial"/>
          <w:sz w:val="22"/>
          <w:szCs w:val="22"/>
        </w:rPr>
      </w:pPr>
      <w:r w:rsidRPr="007F0E49">
        <w:rPr>
          <w:rFonts w:ascii="Arial" w:hAnsi="Arial" w:cs="Arial"/>
          <w:sz w:val="22"/>
          <w:szCs w:val="22"/>
        </w:rPr>
        <w:t xml:space="preserve">U skladu s </w:t>
      </w:r>
      <w:r w:rsidR="000E69DA" w:rsidRPr="007F0E49">
        <w:rPr>
          <w:rFonts w:ascii="Arial" w:hAnsi="Arial" w:cs="Arial"/>
          <w:sz w:val="22"/>
          <w:szCs w:val="22"/>
        </w:rPr>
        <w:t>Ugovor</w:t>
      </w:r>
      <w:r w:rsidRPr="007F0E49">
        <w:rPr>
          <w:rFonts w:ascii="Arial" w:hAnsi="Arial" w:cs="Arial"/>
          <w:sz w:val="22"/>
          <w:szCs w:val="22"/>
        </w:rPr>
        <w:t>om</w:t>
      </w:r>
      <w:r w:rsidR="000E69DA" w:rsidRPr="007F0E49">
        <w:rPr>
          <w:rFonts w:ascii="Arial" w:hAnsi="Arial" w:cs="Arial"/>
          <w:sz w:val="22"/>
          <w:szCs w:val="22"/>
        </w:rPr>
        <w:t xml:space="preserve"> o kupoprodaji od 10.2.2009. godine, Grad Rijeka se zadužio putem robnog zajma kod Agencije za društveno poticanu stanogradnju Grada Rijeke u iznosu od 69.451.427</w:t>
      </w:r>
      <w:r w:rsidR="00D416A0" w:rsidRPr="007F0E49">
        <w:rPr>
          <w:rFonts w:ascii="Arial" w:hAnsi="Arial" w:cs="Arial"/>
          <w:sz w:val="22"/>
          <w:szCs w:val="22"/>
        </w:rPr>
        <w:t>,00</w:t>
      </w:r>
      <w:r w:rsidR="000E69DA" w:rsidRPr="007F0E49">
        <w:rPr>
          <w:rFonts w:ascii="Arial" w:hAnsi="Arial" w:cs="Arial"/>
          <w:sz w:val="22"/>
          <w:szCs w:val="22"/>
        </w:rPr>
        <w:t xml:space="preserve"> kn, za kupnju dviju stambenih zgrada na Rujevici koje je po programu društveno poticane stanogradnje izgradila Agencija za društveno poticanu stanogradnju Grada Rijeke.</w:t>
      </w:r>
    </w:p>
    <w:p w:rsidR="000E69DA" w:rsidRPr="007F0E49" w:rsidRDefault="000E69DA" w:rsidP="006538C0">
      <w:pPr>
        <w:tabs>
          <w:tab w:val="center" w:pos="4320"/>
          <w:tab w:val="right" w:pos="8640"/>
        </w:tabs>
        <w:ind w:left="340"/>
        <w:jc w:val="both"/>
        <w:rPr>
          <w:rFonts w:ascii="Arial" w:hAnsi="Arial" w:cs="Arial"/>
          <w:sz w:val="22"/>
          <w:szCs w:val="22"/>
        </w:rPr>
      </w:pPr>
      <w:r w:rsidRPr="007F0E49">
        <w:rPr>
          <w:rFonts w:ascii="Arial" w:hAnsi="Arial" w:cs="Arial"/>
          <w:sz w:val="22"/>
          <w:szCs w:val="22"/>
        </w:rPr>
        <w:t>Otplata zajma u tromjesečnim anuitetima traje do 2028. godine, od čega se do 30.6.2018. otplaćuje iznos od 55.864.831</w:t>
      </w:r>
      <w:r w:rsidR="00D416A0" w:rsidRPr="007F0E49">
        <w:rPr>
          <w:rFonts w:ascii="Arial" w:hAnsi="Arial" w:cs="Arial"/>
          <w:sz w:val="22"/>
          <w:szCs w:val="22"/>
        </w:rPr>
        <w:t>,00</w:t>
      </w:r>
      <w:r w:rsidRPr="007F0E49">
        <w:rPr>
          <w:rFonts w:ascii="Arial" w:hAnsi="Arial" w:cs="Arial"/>
          <w:sz w:val="22"/>
          <w:szCs w:val="22"/>
        </w:rPr>
        <w:t xml:space="preserve"> kn, a nakon toga</w:t>
      </w:r>
      <w:r w:rsidR="00544DF4" w:rsidRPr="007F0E49">
        <w:rPr>
          <w:rFonts w:ascii="Arial" w:hAnsi="Arial" w:cs="Arial"/>
          <w:sz w:val="22"/>
          <w:szCs w:val="22"/>
        </w:rPr>
        <w:t>,</w:t>
      </w:r>
      <w:r w:rsidRPr="007F0E49">
        <w:rPr>
          <w:rFonts w:ascii="Arial" w:hAnsi="Arial" w:cs="Arial"/>
          <w:sz w:val="22"/>
          <w:szCs w:val="22"/>
        </w:rPr>
        <w:t xml:space="preserve"> od 30.9.2018. do 30.9.2028. godine</w:t>
      </w:r>
      <w:r w:rsidR="00544DF4" w:rsidRPr="007F0E49">
        <w:rPr>
          <w:rFonts w:ascii="Arial" w:hAnsi="Arial" w:cs="Arial"/>
          <w:sz w:val="22"/>
          <w:szCs w:val="22"/>
        </w:rPr>
        <w:t>,</w:t>
      </w:r>
      <w:r w:rsidRPr="007F0E49">
        <w:rPr>
          <w:rFonts w:ascii="Arial" w:hAnsi="Arial" w:cs="Arial"/>
          <w:sz w:val="22"/>
          <w:szCs w:val="22"/>
        </w:rPr>
        <w:t xml:space="preserve"> otplaćuje se preostali iznos od 13.586.595</w:t>
      </w:r>
      <w:r w:rsidR="00D416A0" w:rsidRPr="007F0E49">
        <w:rPr>
          <w:rFonts w:ascii="Arial" w:hAnsi="Arial" w:cs="Arial"/>
          <w:sz w:val="22"/>
          <w:szCs w:val="22"/>
        </w:rPr>
        <w:t>,00</w:t>
      </w:r>
      <w:r w:rsidRPr="007F0E49">
        <w:rPr>
          <w:rFonts w:ascii="Arial" w:hAnsi="Arial" w:cs="Arial"/>
          <w:sz w:val="22"/>
          <w:szCs w:val="22"/>
        </w:rPr>
        <w:t xml:space="preserve"> kn (povrat poticajnih sredstava RH).</w:t>
      </w:r>
    </w:p>
    <w:p w:rsidR="000E69DA" w:rsidRPr="007F0E49" w:rsidRDefault="000E69DA" w:rsidP="006538C0">
      <w:pPr>
        <w:keepNext/>
        <w:ind w:left="340"/>
        <w:jc w:val="both"/>
        <w:outlineLvl w:val="3"/>
        <w:rPr>
          <w:rFonts w:ascii="Arial" w:hAnsi="Arial" w:cs="Arial"/>
          <w:sz w:val="22"/>
          <w:szCs w:val="22"/>
        </w:rPr>
      </w:pPr>
      <w:r w:rsidRPr="007F0E49">
        <w:rPr>
          <w:rFonts w:ascii="Arial" w:hAnsi="Arial" w:cs="Arial"/>
          <w:sz w:val="22"/>
          <w:szCs w:val="22"/>
        </w:rPr>
        <w:t>Kamatna stopa za dio robnog zajma u iznosu 55.864.831</w:t>
      </w:r>
      <w:r w:rsidR="0097593C" w:rsidRPr="007F0E49">
        <w:rPr>
          <w:rFonts w:ascii="Arial" w:hAnsi="Arial" w:cs="Arial"/>
          <w:sz w:val="22"/>
          <w:szCs w:val="22"/>
        </w:rPr>
        <w:t>,00</w:t>
      </w:r>
      <w:r w:rsidRPr="007F0E49">
        <w:rPr>
          <w:rFonts w:ascii="Arial" w:hAnsi="Arial" w:cs="Arial"/>
          <w:sz w:val="22"/>
          <w:szCs w:val="22"/>
        </w:rPr>
        <w:t xml:space="preserve"> kn je promjenljiva, vezana za 3-mjesečni EURIBOR +1,95 p.p. godišnje. Na preostali dio zajma u iznosu 13.586.595 kn se u razdoblju počeka od 01.01.2007.do 30.9.2018.</w:t>
      </w:r>
      <w:r w:rsidR="00A33504" w:rsidRPr="007F0E49">
        <w:rPr>
          <w:rFonts w:ascii="Arial" w:hAnsi="Arial" w:cs="Arial"/>
          <w:sz w:val="22"/>
          <w:szCs w:val="22"/>
        </w:rPr>
        <w:t xml:space="preserve"> </w:t>
      </w:r>
      <w:r w:rsidRPr="007F0E49">
        <w:rPr>
          <w:rFonts w:ascii="Arial" w:hAnsi="Arial" w:cs="Arial"/>
          <w:sz w:val="22"/>
          <w:szCs w:val="22"/>
        </w:rPr>
        <w:t>godine obračunava kamata u visini 2% godišnje (konfor</w:t>
      </w:r>
      <w:r w:rsidR="00861FC8" w:rsidRPr="007F0E49">
        <w:rPr>
          <w:rFonts w:ascii="Arial" w:hAnsi="Arial" w:cs="Arial"/>
          <w:sz w:val="22"/>
          <w:szCs w:val="22"/>
        </w:rPr>
        <w:t>m</w:t>
      </w:r>
      <w:r w:rsidRPr="007F0E49">
        <w:rPr>
          <w:rFonts w:ascii="Arial" w:hAnsi="Arial" w:cs="Arial"/>
          <w:sz w:val="22"/>
          <w:szCs w:val="22"/>
        </w:rPr>
        <w:t>no) koja se pripisuje glavnici, a u razdoblju otplate od 30.09.2018. do 30.9.2028. godine kamata iznosi 5% godišnje (dekurzivno).</w:t>
      </w:r>
    </w:p>
    <w:p w:rsidR="000E69DA" w:rsidRPr="007F0E49" w:rsidRDefault="005C645A" w:rsidP="006538C0">
      <w:pPr>
        <w:keepNext/>
        <w:ind w:left="340"/>
        <w:jc w:val="both"/>
        <w:outlineLvl w:val="3"/>
        <w:rPr>
          <w:rFonts w:ascii="Arial" w:hAnsi="Arial" w:cs="Arial"/>
          <w:b/>
          <w:bCs/>
          <w:sz w:val="22"/>
          <w:szCs w:val="22"/>
        </w:rPr>
      </w:pPr>
      <w:r w:rsidRPr="007F0E49">
        <w:rPr>
          <w:rFonts w:ascii="Arial" w:hAnsi="Arial" w:cs="Arial"/>
          <w:b/>
          <w:sz w:val="22"/>
          <w:szCs w:val="22"/>
        </w:rPr>
        <w:t>Tijekom 2022</w:t>
      </w:r>
      <w:r w:rsidR="000E69DA" w:rsidRPr="007F0E49">
        <w:rPr>
          <w:rFonts w:ascii="Arial" w:hAnsi="Arial" w:cs="Arial"/>
          <w:b/>
          <w:sz w:val="22"/>
          <w:szCs w:val="22"/>
        </w:rPr>
        <w:t>.</w:t>
      </w:r>
      <w:r w:rsidR="00A33504" w:rsidRPr="007F0E49">
        <w:rPr>
          <w:rFonts w:ascii="Arial" w:hAnsi="Arial" w:cs="Arial"/>
          <w:b/>
          <w:sz w:val="22"/>
          <w:szCs w:val="22"/>
        </w:rPr>
        <w:t xml:space="preserve"> </w:t>
      </w:r>
      <w:r w:rsidR="000E69DA" w:rsidRPr="007F0E49">
        <w:rPr>
          <w:rFonts w:ascii="Arial" w:hAnsi="Arial" w:cs="Arial"/>
          <w:b/>
          <w:sz w:val="22"/>
          <w:szCs w:val="22"/>
        </w:rPr>
        <w:t xml:space="preserve">godine otplaćeno je </w:t>
      </w:r>
      <w:r w:rsidRPr="007F0E49">
        <w:rPr>
          <w:rFonts w:ascii="Arial" w:hAnsi="Arial" w:cs="Arial"/>
          <w:b/>
          <w:sz w:val="22"/>
          <w:szCs w:val="22"/>
        </w:rPr>
        <w:t>1.595.154,66</w:t>
      </w:r>
      <w:r w:rsidR="000E69DA" w:rsidRPr="007F0E49">
        <w:rPr>
          <w:rFonts w:ascii="Arial" w:hAnsi="Arial" w:cs="Arial"/>
          <w:b/>
          <w:sz w:val="22"/>
          <w:szCs w:val="22"/>
        </w:rPr>
        <w:t xml:space="preserve"> kn </w:t>
      </w:r>
      <w:r w:rsidR="00577C6B" w:rsidRPr="007F0E49">
        <w:rPr>
          <w:rFonts w:ascii="Arial" w:hAnsi="Arial" w:cs="Arial"/>
          <w:b/>
          <w:sz w:val="22"/>
          <w:szCs w:val="22"/>
        </w:rPr>
        <w:t xml:space="preserve">te </w:t>
      </w:r>
      <w:r w:rsidR="0032383C" w:rsidRPr="007F0E49">
        <w:rPr>
          <w:rFonts w:ascii="Arial" w:hAnsi="Arial" w:cs="Arial"/>
          <w:b/>
          <w:sz w:val="22"/>
          <w:szCs w:val="22"/>
        </w:rPr>
        <w:t xml:space="preserve">stanje obveze ovog zajma </w:t>
      </w:r>
      <w:r w:rsidR="000E69DA" w:rsidRPr="007F0E49">
        <w:rPr>
          <w:rFonts w:ascii="Arial" w:hAnsi="Arial" w:cs="Arial"/>
          <w:b/>
          <w:sz w:val="22"/>
          <w:szCs w:val="22"/>
        </w:rPr>
        <w:t xml:space="preserve">na dan </w:t>
      </w:r>
      <w:r w:rsidRPr="007F0E49">
        <w:rPr>
          <w:rFonts w:ascii="Arial" w:hAnsi="Arial" w:cs="Arial"/>
          <w:b/>
          <w:sz w:val="22"/>
          <w:szCs w:val="22"/>
        </w:rPr>
        <w:t>31.12.2022</w:t>
      </w:r>
      <w:r w:rsidR="000E69DA" w:rsidRPr="007F0E49">
        <w:rPr>
          <w:rFonts w:ascii="Arial" w:hAnsi="Arial" w:cs="Arial"/>
          <w:b/>
          <w:sz w:val="22"/>
          <w:szCs w:val="22"/>
        </w:rPr>
        <w:t xml:space="preserve">. godine iznosi </w:t>
      </w:r>
      <w:r w:rsidRPr="007F0E49">
        <w:rPr>
          <w:rFonts w:ascii="Arial" w:hAnsi="Arial" w:cs="Arial"/>
          <w:b/>
          <w:sz w:val="22"/>
          <w:szCs w:val="22"/>
        </w:rPr>
        <w:t>10.882.661,46</w:t>
      </w:r>
      <w:r w:rsidR="000E69DA" w:rsidRPr="007F0E49">
        <w:rPr>
          <w:rFonts w:ascii="Arial" w:hAnsi="Arial" w:cs="Arial"/>
          <w:b/>
          <w:sz w:val="22"/>
          <w:szCs w:val="22"/>
        </w:rPr>
        <w:t xml:space="preserve"> kn.</w:t>
      </w:r>
    </w:p>
    <w:p w:rsidR="000E69DA" w:rsidRDefault="000E69DA" w:rsidP="006538C0">
      <w:pPr>
        <w:tabs>
          <w:tab w:val="center" w:pos="4320"/>
          <w:tab w:val="right" w:pos="8640"/>
        </w:tabs>
        <w:ind w:left="340"/>
        <w:jc w:val="both"/>
        <w:rPr>
          <w:rFonts w:ascii="Arial" w:hAnsi="Arial" w:cs="Arial"/>
          <w:sz w:val="22"/>
          <w:szCs w:val="22"/>
          <w:highlight w:val="yellow"/>
        </w:rPr>
      </w:pPr>
    </w:p>
    <w:p w:rsidR="00D41060" w:rsidRDefault="00D41060" w:rsidP="006538C0">
      <w:pPr>
        <w:tabs>
          <w:tab w:val="center" w:pos="4320"/>
          <w:tab w:val="right" w:pos="8640"/>
        </w:tabs>
        <w:ind w:left="340"/>
        <w:jc w:val="both"/>
        <w:rPr>
          <w:rFonts w:ascii="Arial" w:hAnsi="Arial" w:cs="Arial"/>
          <w:sz w:val="22"/>
          <w:szCs w:val="22"/>
          <w:highlight w:val="yellow"/>
        </w:rPr>
      </w:pPr>
    </w:p>
    <w:p w:rsidR="00D41060" w:rsidRPr="007F0E49" w:rsidRDefault="00D41060" w:rsidP="006538C0">
      <w:pPr>
        <w:tabs>
          <w:tab w:val="center" w:pos="4320"/>
          <w:tab w:val="right" w:pos="8640"/>
        </w:tabs>
        <w:ind w:left="340"/>
        <w:jc w:val="both"/>
        <w:rPr>
          <w:rFonts w:ascii="Arial" w:hAnsi="Arial" w:cs="Arial"/>
          <w:sz w:val="22"/>
          <w:szCs w:val="22"/>
          <w:highlight w:val="yellow"/>
        </w:rPr>
      </w:pPr>
    </w:p>
    <w:p w:rsidR="000E69DA" w:rsidRPr="007F0E49" w:rsidRDefault="000E69DA" w:rsidP="006538C0">
      <w:pPr>
        <w:numPr>
          <w:ilvl w:val="0"/>
          <w:numId w:val="7"/>
        </w:numPr>
        <w:tabs>
          <w:tab w:val="center" w:pos="4320"/>
          <w:tab w:val="right" w:pos="8640"/>
        </w:tabs>
        <w:spacing w:after="160" w:line="259" w:lineRule="auto"/>
        <w:ind w:left="340"/>
        <w:jc w:val="both"/>
        <w:rPr>
          <w:rFonts w:ascii="Arial" w:hAnsi="Arial" w:cs="Arial"/>
          <w:sz w:val="22"/>
          <w:szCs w:val="22"/>
        </w:rPr>
      </w:pPr>
      <w:r w:rsidRPr="007F0E49">
        <w:rPr>
          <w:rFonts w:ascii="Arial" w:hAnsi="Arial" w:cs="Arial"/>
          <w:b/>
          <w:sz w:val="22"/>
          <w:szCs w:val="22"/>
        </w:rPr>
        <w:lastRenderedPageBreak/>
        <w:t>Robni zajam od trgovačkog društva Rijeka sport d.o.o.</w:t>
      </w:r>
    </w:p>
    <w:p w:rsidR="000E69DA" w:rsidRPr="007F0E49" w:rsidRDefault="000E69DA" w:rsidP="00D12821">
      <w:pPr>
        <w:autoSpaceDE w:val="0"/>
        <w:autoSpaceDN w:val="0"/>
        <w:adjustRightInd w:val="0"/>
        <w:ind w:left="340"/>
        <w:jc w:val="both"/>
        <w:rPr>
          <w:rFonts w:ascii="Arial" w:eastAsia="SimSun" w:hAnsi="Arial" w:cs="Arial"/>
          <w:sz w:val="22"/>
          <w:szCs w:val="22"/>
          <w:lang w:eastAsia="zh-CN"/>
        </w:rPr>
      </w:pPr>
      <w:r w:rsidRPr="007F0E49">
        <w:rPr>
          <w:rFonts w:ascii="Arial" w:eastAsia="SimSun" w:hAnsi="Arial" w:cs="Arial"/>
          <w:sz w:val="22"/>
          <w:szCs w:val="22"/>
          <w:lang w:eastAsia="zh-CN"/>
        </w:rPr>
        <w:t xml:space="preserve">Temeljem Ugovora o reguliranju međusobnih odnosa vezanih za financiranje ulaganja u objekte u vlasništvu Grada Rijeke do konca 2009. godine i Ugovora o reguliranju međusobnih odnosa u vezi s financiranjem izgradnje Dvoranskog plivališta Kantrida sklopljenim 14.4.2010. godine, Grad Rijeka je ugovorio povrat sredstava TD Rijeka sport d.o.o. za izvršeno financiranje ulaganja na sportskim objektima te evidentiranje imovine i njezine vrijednosti u knjigama imovine Grada. Za realizaciju navedene ugovorne obveze Grad Rijeka se zadužio putem robnog zajma kod </w:t>
      </w:r>
      <w:r w:rsidR="00CB6868" w:rsidRPr="007F0E49">
        <w:rPr>
          <w:rFonts w:ascii="Arial" w:eastAsia="SimSun" w:hAnsi="Arial" w:cs="Arial"/>
          <w:sz w:val="22"/>
          <w:szCs w:val="22"/>
          <w:lang w:eastAsia="zh-CN"/>
        </w:rPr>
        <w:t xml:space="preserve">trgovačkog društva </w:t>
      </w:r>
      <w:r w:rsidRPr="007F0E49">
        <w:rPr>
          <w:rFonts w:ascii="Arial" w:eastAsia="SimSun" w:hAnsi="Arial" w:cs="Arial"/>
          <w:sz w:val="22"/>
          <w:szCs w:val="22"/>
          <w:lang w:eastAsia="zh-CN"/>
        </w:rPr>
        <w:t>Rijeka sport d.o.o. u iznosu od 88.887.131</w:t>
      </w:r>
      <w:r w:rsidR="00D416A0" w:rsidRPr="007F0E49">
        <w:rPr>
          <w:rFonts w:ascii="Arial" w:eastAsia="SimSun" w:hAnsi="Arial" w:cs="Arial"/>
          <w:sz w:val="22"/>
          <w:szCs w:val="22"/>
          <w:lang w:eastAsia="zh-CN"/>
        </w:rPr>
        <w:t>,00</w:t>
      </w:r>
      <w:r w:rsidRPr="007F0E49">
        <w:rPr>
          <w:rFonts w:ascii="Arial" w:eastAsia="SimSun" w:hAnsi="Arial" w:cs="Arial"/>
          <w:sz w:val="22"/>
          <w:szCs w:val="22"/>
          <w:lang w:eastAsia="zh-CN"/>
        </w:rPr>
        <w:t xml:space="preserve"> kn. Za iznos navedenih ulaganja, u 2010. godini je povećana vrijednost imovine u poslovnim knjigama Grada.</w:t>
      </w:r>
    </w:p>
    <w:p w:rsidR="000E69DA" w:rsidRPr="007F0E49" w:rsidRDefault="000E69DA" w:rsidP="00D12821">
      <w:pPr>
        <w:autoSpaceDE w:val="0"/>
        <w:autoSpaceDN w:val="0"/>
        <w:adjustRightInd w:val="0"/>
        <w:ind w:left="340"/>
        <w:jc w:val="both"/>
        <w:rPr>
          <w:rFonts w:ascii="Arial" w:eastAsia="SimSun" w:hAnsi="Arial" w:cs="Arial"/>
          <w:sz w:val="22"/>
          <w:szCs w:val="22"/>
          <w:lang w:eastAsia="zh-CN"/>
        </w:rPr>
      </w:pPr>
      <w:r w:rsidRPr="007F0E49">
        <w:rPr>
          <w:rFonts w:ascii="Arial" w:eastAsia="SimSun" w:hAnsi="Arial" w:cs="Arial"/>
          <w:sz w:val="22"/>
          <w:szCs w:val="22"/>
          <w:lang w:eastAsia="zh-CN"/>
        </w:rPr>
        <w:t>U 2011. godini Grad Rijeka je temeljem Ugovora o reguliranju međusobnih odnosa vezanih za financiranje ulaganja u objekte u vlasništvu Grada Rijeke u razdoblju od 1. siječnja do 31. prosinca 2010. godine zaključenog 7.03.2011. godine i Ugovora o reguliranju međusobnih odnosa vezanih za financiranje ulaganja u objekte u vlasništvu Grada Rijeke u razdoblju 1. siječnja do 14. lipnja 2011. godine zaključenog 14.06.2011. godine, preuzeo izvršena ulaganja na sportskim objektima koja je financirao Rijeka sport d.o.o. u iznosu od 38.434.624</w:t>
      </w:r>
      <w:r w:rsidR="00D416A0" w:rsidRPr="007F0E49">
        <w:rPr>
          <w:rFonts w:ascii="Arial" w:eastAsia="SimSun" w:hAnsi="Arial" w:cs="Arial"/>
          <w:sz w:val="22"/>
          <w:szCs w:val="22"/>
          <w:lang w:eastAsia="zh-CN"/>
        </w:rPr>
        <w:t>,00</w:t>
      </w:r>
      <w:r w:rsidR="00CB6868" w:rsidRPr="007F0E49">
        <w:rPr>
          <w:rFonts w:ascii="Arial" w:eastAsia="SimSun" w:hAnsi="Arial" w:cs="Arial"/>
          <w:sz w:val="22"/>
          <w:szCs w:val="22"/>
          <w:lang w:eastAsia="zh-CN"/>
        </w:rPr>
        <w:t xml:space="preserve"> kn</w:t>
      </w:r>
      <w:r w:rsidRPr="007F0E49">
        <w:rPr>
          <w:rFonts w:ascii="Arial" w:eastAsia="SimSun" w:hAnsi="Arial" w:cs="Arial"/>
          <w:sz w:val="22"/>
          <w:szCs w:val="22"/>
          <w:lang w:eastAsia="zh-CN"/>
        </w:rPr>
        <w:t xml:space="preserve"> te je za navedeni iznos ulaganja povećana vrijednost imovine u knjigama imovine Grada. </w:t>
      </w:r>
    </w:p>
    <w:p w:rsidR="000E69DA" w:rsidRPr="007F0E49" w:rsidRDefault="00CB6868" w:rsidP="00D12821">
      <w:pPr>
        <w:autoSpaceDE w:val="0"/>
        <w:autoSpaceDN w:val="0"/>
        <w:adjustRightInd w:val="0"/>
        <w:ind w:left="340"/>
        <w:jc w:val="both"/>
        <w:rPr>
          <w:rFonts w:ascii="Arial" w:eastAsia="SimSun" w:hAnsi="Arial" w:cs="Arial"/>
          <w:sz w:val="22"/>
          <w:szCs w:val="22"/>
          <w:lang w:eastAsia="zh-CN"/>
        </w:rPr>
      </w:pPr>
      <w:r w:rsidRPr="007F0E49">
        <w:rPr>
          <w:rFonts w:ascii="Arial" w:eastAsia="SimSun" w:hAnsi="Arial" w:cs="Arial"/>
          <w:sz w:val="22"/>
          <w:szCs w:val="22"/>
          <w:lang w:eastAsia="zh-CN"/>
        </w:rPr>
        <w:t>Sukladno navedenim Ugovorima</w:t>
      </w:r>
      <w:r w:rsidR="000E69DA" w:rsidRPr="007F0E49">
        <w:rPr>
          <w:rFonts w:ascii="Arial" w:eastAsia="SimSun" w:hAnsi="Arial" w:cs="Arial"/>
          <w:sz w:val="22"/>
          <w:szCs w:val="22"/>
          <w:lang w:eastAsia="zh-CN"/>
        </w:rPr>
        <w:t xml:space="preserve"> povećan je iznos robnog zajma sa 88.887.131</w:t>
      </w:r>
      <w:r w:rsidR="001B707D" w:rsidRPr="007F0E49">
        <w:rPr>
          <w:rFonts w:ascii="Arial" w:eastAsia="SimSun" w:hAnsi="Arial" w:cs="Arial"/>
          <w:sz w:val="22"/>
          <w:szCs w:val="22"/>
          <w:lang w:eastAsia="zh-CN"/>
        </w:rPr>
        <w:t>,00</w:t>
      </w:r>
      <w:r w:rsidR="000E69DA" w:rsidRPr="007F0E49">
        <w:rPr>
          <w:rFonts w:ascii="Arial" w:eastAsia="SimSun" w:hAnsi="Arial" w:cs="Arial"/>
          <w:sz w:val="22"/>
          <w:szCs w:val="22"/>
          <w:lang w:eastAsia="zh-CN"/>
        </w:rPr>
        <w:t xml:space="preserve"> kuna na 127.321.755</w:t>
      </w:r>
      <w:r w:rsidR="001B707D" w:rsidRPr="007F0E49">
        <w:rPr>
          <w:rFonts w:ascii="Arial" w:eastAsia="SimSun" w:hAnsi="Arial" w:cs="Arial"/>
          <w:sz w:val="22"/>
          <w:szCs w:val="22"/>
          <w:lang w:eastAsia="zh-CN"/>
        </w:rPr>
        <w:t>,00</w:t>
      </w:r>
      <w:r w:rsidR="000E69DA" w:rsidRPr="007F0E49">
        <w:rPr>
          <w:rFonts w:ascii="Arial" w:eastAsia="SimSun" w:hAnsi="Arial" w:cs="Arial"/>
          <w:sz w:val="22"/>
          <w:szCs w:val="22"/>
          <w:lang w:eastAsia="zh-CN"/>
        </w:rPr>
        <w:t xml:space="preserve"> kn što predstavlja iznos ulaganja koja je izvršio Rijeka sport d.o.o. u sportske objekte u vlasništvu Grada (završna faza Dvoranskog plivališta Kantrida, Stadion Kantrida, Stadion Krimeja, Nogometno igralište Podmurvice, Dvorana Dinko Lukarić i Dvorana Mladosti).</w:t>
      </w:r>
    </w:p>
    <w:p w:rsidR="000E69DA" w:rsidRPr="007F0E49" w:rsidRDefault="000E69DA" w:rsidP="00D12821">
      <w:pPr>
        <w:tabs>
          <w:tab w:val="center" w:pos="4320"/>
          <w:tab w:val="right" w:pos="8640"/>
        </w:tabs>
        <w:ind w:left="340"/>
        <w:jc w:val="both"/>
        <w:rPr>
          <w:rFonts w:ascii="Arial" w:hAnsi="Arial" w:cs="Arial"/>
          <w:sz w:val="22"/>
          <w:szCs w:val="22"/>
        </w:rPr>
      </w:pPr>
      <w:r w:rsidRPr="007F0E49">
        <w:rPr>
          <w:rFonts w:ascii="Arial" w:hAnsi="Arial" w:cs="Arial"/>
          <w:sz w:val="22"/>
          <w:szCs w:val="22"/>
        </w:rPr>
        <w:t>Otplata robnog zajma u mjesečnim anuitetima započela je u 2012. godini</w:t>
      </w:r>
      <w:r w:rsidR="0032383C" w:rsidRPr="007F0E49">
        <w:rPr>
          <w:rFonts w:ascii="Arial" w:hAnsi="Arial" w:cs="Arial"/>
          <w:sz w:val="22"/>
          <w:szCs w:val="22"/>
        </w:rPr>
        <w:t xml:space="preserve">. </w:t>
      </w:r>
      <w:r w:rsidRPr="007F0E49">
        <w:rPr>
          <w:rFonts w:ascii="Arial" w:hAnsi="Arial" w:cs="Arial"/>
          <w:sz w:val="22"/>
          <w:szCs w:val="22"/>
        </w:rPr>
        <w:t>Kamatna stopa je promjenjiva, vezana za tromjesečni EURIBOR +2,65 p.p. godišnje, ali ne manja od 4% godišnje.</w:t>
      </w:r>
    </w:p>
    <w:p w:rsidR="000E69DA" w:rsidRPr="007F0E49" w:rsidRDefault="000E69DA" w:rsidP="00D12821">
      <w:pPr>
        <w:tabs>
          <w:tab w:val="center" w:pos="4320"/>
          <w:tab w:val="right" w:pos="8640"/>
        </w:tabs>
        <w:ind w:left="340"/>
        <w:jc w:val="both"/>
        <w:rPr>
          <w:rFonts w:ascii="Arial" w:hAnsi="Arial" w:cs="Arial"/>
          <w:sz w:val="22"/>
          <w:szCs w:val="22"/>
        </w:rPr>
      </w:pPr>
      <w:r w:rsidRPr="007F0E49">
        <w:rPr>
          <w:rFonts w:ascii="Arial" w:hAnsi="Arial" w:cs="Arial"/>
          <w:sz w:val="22"/>
          <w:szCs w:val="22"/>
        </w:rPr>
        <w:t>Rijeka sport d.o.o. je temeljem Odluke Gradskog vijeća od 22.12.2016. godine o davanju suglasnosti za zaduženje radi refinanciranja ostatka duga po postojećem kreditu primljenom 2008.godine, dana 02.1.2017. godine sklopio Ugovor o dugoročnom kreditu s Privrednom bankom Zagreb u iznosu od 189.773.099,15 kn. Refinanciranjem postojećeg duga produljen je krajnji rok dosp</w:t>
      </w:r>
      <w:r w:rsidR="00861FC8" w:rsidRPr="007F0E49">
        <w:rPr>
          <w:rFonts w:ascii="Arial" w:hAnsi="Arial" w:cs="Arial"/>
          <w:sz w:val="22"/>
          <w:szCs w:val="22"/>
        </w:rPr>
        <w:t>i</w:t>
      </w:r>
      <w:r w:rsidRPr="007F0E49">
        <w:rPr>
          <w:rFonts w:ascii="Arial" w:hAnsi="Arial" w:cs="Arial"/>
          <w:sz w:val="22"/>
          <w:szCs w:val="22"/>
        </w:rPr>
        <w:t>jeća kredita na 15 godina i ugov</w:t>
      </w:r>
      <w:r w:rsidR="00D3032F" w:rsidRPr="007F0E49">
        <w:rPr>
          <w:rFonts w:ascii="Arial" w:hAnsi="Arial" w:cs="Arial"/>
          <w:sz w:val="22"/>
          <w:szCs w:val="22"/>
        </w:rPr>
        <w:t xml:space="preserve">orena je redovna kamata po stopi u </w:t>
      </w:r>
      <w:r w:rsidRPr="007F0E49">
        <w:rPr>
          <w:rFonts w:ascii="Arial" w:hAnsi="Arial" w:cs="Arial"/>
          <w:sz w:val="22"/>
          <w:szCs w:val="22"/>
        </w:rPr>
        <w:t>visini prinosa na Trezorske zapise Ministarstva financija na bazi 91 dan uvećano za fiksnu maržu u visini 1,78 p.p. godišnje, promjenjiva.</w:t>
      </w:r>
    </w:p>
    <w:p w:rsidR="00D12821" w:rsidRPr="007F0E49" w:rsidRDefault="000E69DA" w:rsidP="00D12821">
      <w:pPr>
        <w:tabs>
          <w:tab w:val="center" w:pos="4320"/>
          <w:tab w:val="right" w:pos="8640"/>
        </w:tabs>
        <w:ind w:left="340"/>
        <w:jc w:val="both"/>
        <w:rPr>
          <w:rFonts w:ascii="Arial" w:hAnsi="Arial" w:cs="Arial"/>
          <w:sz w:val="22"/>
          <w:szCs w:val="22"/>
        </w:rPr>
      </w:pPr>
      <w:r w:rsidRPr="007F0E49">
        <w:rPr>
          <w:rFonts w:ascii="Arial" w:hAnsi="Arial" w:cs="Arial"/>
          <w:sz w:val="22"/>
          <w:szCs w:val="22"/>
        </w:rPr>
        <w:t>S obzirom da se u Proračunu Grada osiguravaju sredstva za otplatu kredita Rijeka sporta d.o.o. kroz otplatu robnog zajma za preuzete objekte, a da su refinanciranjem kredita Rijeka sporta d.o.o. postignuti povoljni uvjeti otplate, novim Ugovorom o reguliranju međusobnih odnosa vezanih za financiranje ulaganja u objekte u vlasništvu Grada Rijeke između Rijeka sporta d.o.o. i Grada Rijeke od 30.12.2016. godine u iznosu od 104.477.917,35 kuna, uskladila se dinamika otplate robnog zajma s dinamikom otplate refinanciranog kredita Rijeka sporta d.o.o.</w:t>
      </w:r>
      <w:r w:rsidR="0032383C" w:rsidRPr="007F0E49">
        <w:rPr>
          <w:rFonts w:ascii="Arial" w:hAnsi="Arial" w:cs="Arial"/>
          <w:sz w:val="22"/>
          <w:szCs w:val="22"/>
        </w:rPr>
        <w:t xml:space="preserve"> Zbog nastalih okolnosti</w:t>
      </w:r>
      <w:r w:rsidR="004974E7" w:rsidRPr="007F0E49">
        <w:rPr>
          <w:rFonts w:ascii="Arial" w:hAnsi="Arial" w:cs="Arial"/>
          <w:sz w:val="22"/>
          <w:szCs w:val="22"/>
        </w:rPr>
        <w:t xml:space="preserve"> </w:t>
      </w:r>
      <w:r w:rsidR="0032383C" w:rsidRPr="007F0E49">
        <w:rPr>
          <w:rFonts w:ascii="Arial" w:hAnsi="Arial" w:cs="Arial"/>
          <w:sz w:val="22"/>
          <w:szCs w:val="22"/>
        </w:rPr>
        <w:t>izazvanih pandemijom koronavirusa,</w:t>
      </w:r>
      <w:r w:rsidR="004974E7" w:rsidRPr="007F0E49">
        <w:rPr>
          <w:rFonts w:ascii="Arial" w:hAnsi="Arial" w:cs="Arial"/>
          <w:sz w:val="22"/>
          <w:szCs w:val="22"/>
        </w:rPr>
        <w:t xml:space="preserve"> </w:t>
      </w:r>
      <w:r w:rsidR="0032383C" w:rsidRPr="007F0E49">
        <w:rPr>
          <w:rFonts w:ascii="Arial" w:hAnsi="Arial" w:cs="Arial"/>
          <w:sz w:val="22"/>
          <w:szCs w:val="22"/>
        </w:rPr>
        <w:t xml:space="preserve">Gradsko vijeće je 27.5.2020. godine donijelo Odluku o izmjenama Odluke o davanju suglasnosti za zaduženje Rijeka sportu </w:t>
      </w:r>
      <w:r w:rsidR="005C645A" w:rsidRPr="007F0E49">
        <w:rPr>
          <w:rFonts w:ascii="Arial" w:hAnsi="Arial" w:cs="Arial"/>
          <w:sz w:val="22"/>
          <w:szCs w:val="22"/>
        </w:rPr>
        <w:t xml:space="preserve">d.o.o. </w:t>
      </w:r>
      <w:r w:rsidR="0032383C" w:rsidRPr="007F0E49">
        <w:rPr>
          <w:rFonts w:ascii="Arial" w:hAnsi="Arial" w:cs="Arial"/>
          <w:sz w:val="22"/>
          <w:szCs w:val="22"/>
        </w:rPr>
        <w:t xml:space="preserve">radi refinanciranja ostatka glavnice, </w:t>
      </w:r>
      <w:r w:rsidR="00B35795" w:rsidRPr="007F0E49">
        <w:rPr>
          <w:rFonts w:ascii="Arial" w:hAnsi="Arial" w:cs="Arial"/>
          <w:sz w:val="22"/>
          <w:szCs w:val="22"/>
        </w:rPr>
        <w:t>na temelju koje je Rijeka sport,</w:t>
      </w:r>
      <w:r w:rsidR="00C060D2" w:rsidRPr="007F0E49">
        <w:rPr>
          <w:rFonts w:ascii="Arial" w:hAnsi="Arial" w:cs="Arial"/>
          <w:sz w:val="22"/>
          <w:szCs w:val="22"/>
        </w:rPr>
        <w:t xml:space="preserve"> </w:t>
      </w:r>
      <w:r w:rsidR="00B35795" w:rsidRPr="007F0E49">
        <w:rPr>
          <w:rFonts w:ascii="Arial" w:hAnsi="Arial" w:cs="Arial"/>
          <w:sz w:val="22"/>
          <w:szCs w:val="22"/>
        </w:rPr>
        <w:t>dana 08.07.2020.</w:t>
      </w:r>
      <w:r w:rsidR="00C4172D" w:rsidRPr="007F0E49">
        <w:rPr>
          <w:rFonts w:ascii="Arial" w:hAnsi="Arial" w:cs="Arial"/>
          <w:sz w:val="22"/>
          <w:szCs w:val="22"/>
        </w:rPr>
        <w:t xml:space="preserve"> </w:t>
      </w:r>
      <w:r w:rsidR="00B35795" w:rsidRPr="007F0E49">
        <w:rPr>
          <w:rFonts w:ascii="Arial" w:hAnsi="Arial" w:cs="Arial"/>
          <w:sz w:val="22"/>
          <w:szCs w:val="22"/>
        </w:rPr>
        <w:t>godine sklopio Dodatak I. Ugovoru</w:t>
      </w:r>
      <w:r w:rsidR="00C060D2" w:rsidRPr="007F0E49">
        <w:rPr>
          <w:rFonts w:ascii="Arial" w:hAnsi="Arial" w:cs="Arial"/>
          <w:sz w:val="22"/>
          <w:szCs w:val="22"/>
        </w:rPr>
        <w:t xml:space="preserve"> </w:t>
      </w:r>
      <w:r w:rsidR="00B35795" w:rsidRPr="007F0E49">
        <w:rPr>
          <w:rFonts w:ascii="Arial" w:hAnsi="Arial" w:cs="Arial"/>
          <w:sz w:val="22"/>
          <w:szCs w:val="22"/>
        </w:rPr>
        <w:t xml:space="preserve">o dugoročnom kreditu s Privrednom bankom Zagreb kojim je </w:t>
      </w:r>
      <w:r w:rsidR="00B80253" w:rsidRPr="007F0E49">
        <w:rPr>
          <w:rFonts w:ascii="Arial" w:hAnsi="Arial" w:cs="Arial"/>
          <w:sz w:val="22"/>
          <w:szCs w:val="22"/>
        </w:rPr>
        <w:t xml:space="preserve">ugovoren moratorij </w:t>
      </w:r>
      <w:r w:rsidR="00C060D2" w:rsidRPr="007F0E49">
        <w:rPr>
          <w:rFonts w:ascii="Arial" w:hAnsi="Arial" w:cs="Arial"/>
          <w:sz w:val="22"/>
          <w:szCs w:val="22"/>
        </w:rPr>
        <w:t>na otplatu 6 rata glavnice u 2020. godini te je produljen rok otplate kredita do 30.06.2032. godine.</w:t>
      </w:r>
      <w:r w:rsidR="00D12821" w:rsidRPr="007F0E49">
        <w:rPr>
          <w:rFonts w:ascii="Arial" w:hAnsi="Arial" w:cs="Arial"/>
          <w:sz w:val="22"/>
          <w:szCs w:val="22"/>
        </w:rPr>
        <w:t xml:space="preserve"> </w:t>
      </w:r>
    </w:p>
    <w:p w:rsidR="00D12821" w:rsidRPr="007F0E49" w:rsidRDefault="009B7750" w:rsidP="00D12821">
      <w:pPr>
        <w:tabs>
          <w:tab w:val="center" w:pos="4320"/>
          <w:tab w:val="right" w:pos="8640"/>
        </w:tabs>
        <w:ind w:left="284"/>
        <w:jc w:val="both"/>
        <w:rPr>
          <w:rFonts w:ascii="Arial" w:hAnsi="Arial" w:cs="Arial"/>
          <w:sz w:val="22"/>
          <w:szCs w:val="22"/>
        </w:rPr>
      </w:pPr>
      <w:r w:rsidRPr="007F0E49">
        <w:rPr>
          <w:rFonts w:ascii="Arial" w:hAnsi="Arial" w:cs="Arial"/>
          <w:sz w:val="22"/>
          <w:szCs w:val="22"/>
        </w:rPr>
        <w:t>Sukladno tome je i krajnji rok otplate robnog zajma Grada prema Rijeka sportu d.o.o. produljen do 30.6.</w:t>
      </w:r>
      <w:r w:rsidR="00D12821" w:rsidRPr="007F0E49">
        <w:rPr>
          <w:rFonts w:ascii="Arial" w:hAnsi="Arial" w:cs="Arial"/>
          <w:sz w:val="22"/>
          <w:szCs w:val="22"/>
        </w:rPr>
        <w:t>2032. godine.</w:t>
      </w:r>
    </w:p>
    <w:p w:rsidR="000E69DA" w:rsidRPr="007F0E49" w:rsidRDefault="005C645A" w:rsidP="00D12821">
      <w:pPr>
        <w:tabs>
          <w:tab w:val="center" w:pos="4320"/>
          <w:tab w:val="right" w:pos="8640"/>
        </w:tabs>
        <w:ind w:left="284"/>
        <w:jc w:val="both"/>
        <w:rPr>
          <w:rFonts w:ascii="Arial" w:hAnsi="Arial" w:cs="Arial"/>
          <w:sz w:val="22"/>
          <w:szCs w:val="22"/>
        </w:rPr>
      </w:pPr>
      <w:r w:rsidRPr="007F0E49">
        <w:rPr>
          <w:rFonts w:ascii="Arial" w:hAnsi="Arial" w:cs="Arial"/>
          <w:b/>
          <w:sz w:val="22"/>
          <w:szCs w:val="22"/>
        </w:rPr>
        <w:t>Tijekom 2022</w:t>
      </w:r>
      <w:r w:rsidR="004974E7" w:rsidRPr="007F0E49">
        <w:rPr>
          <w:rFonts w:ascii="Arial" w:hAnsi="Arial" w:cs="Arial"/>
          <w:b/>
          <w:sz w:val="22"/>
          <w:szCs w:val="22"/>
        </w:rPr>
        <w:t>. godine</w:t>
      </w:r>
      <w:r w:rsidR="000E69DA" w:rsidRPr="007F0E49">
        <w:rPr>
          <w:rFonts w:ascii="Arial" w:hAnsi="Arial" w:cs="Arial"/>
          <w:b/>
          <w:sz w:val="22"/>
          <w:szCs w:val="22"/>
        </w:rPr>
        <w:t xml:space="preserve"> otplaćeno je </w:t>
      </w:r>
      <w:r w:rsidRPr="007F0E49">
        <w:rPr>
          <w:rFonts w:ascii="Arial" w:hAnsi="Arial" w:cs="Arial"/>
          <w:b/>
          <w:sz w:val="22"/>
          <w:szCs w:val="22"/>
        </w:rPr>
        <w:t>5.659.220,58</w:t>
      </w:r>
      <w:r w:rsidR="000E69DA" w:rsidRPr="007F0E49">
        <w:rPr>
          <w:rFonts w:ascii="Arial" w:hAnsi="Arial" w:cs="Arial"/>
          <w:b/>
          <w:sz w:val="22"/>
          <w:szCs w:val="22"/>
        </w:rPr>
        <w:t xml:space="preserve"> kn ovog z</w:t>
      </w:r>
      <w:r w:rsidR="004974E7" w:rsidRPr="007F0E49">
        <w:rPr>
          <w:rFonts w:ascii="Arial" w:hAnsi="Arial" w:cs="Arial"/>
          <w:b/>
          <w:sz w:val="22"/>
          <w:szCs w:val="22"/>
        </w:rPr>
        <w:t>ajma te stanje obveze</w:t>
      </w:r>
      <w:r w:rsidR="000E69DA" w:rsidRPr="007F0E49">
        <w:rPr>
          <w:rFonts w:ascii="Arial" w:hAnsi="Arial" w:cs="Arial"/>
          <w:b/>
          <w:sz w:val="22"/>
          <w:szCs w:val="22"/>
        </w:rPr>
        <w:t xml:space="preserve"> </w:t>
      </w:r>
      <w:r w:rsidR="004974E7" w:rsidRPr="007F0E49">
        <w:rPr>
          <w:rFonts w:ascii="Arial" w:hAnsi="Arial" w:cs="Arial"/>
          <w:b/>
          <w:sz w:val="22"/>
          <w:szCs w:val="22"/>
        </w:rPr>
        <w:t>na dan 31.</w:t>
      </w:r>
      <w:r w:rsidR="00CA1F92" w:rsidRPr="007F0E49">
        <w:rPr>
          <w:rFonts w:ascii="Arial" w:hAnsi="Arial" w:cs="Arial"/>
          <w:b/>
          <w:sz w:val="22"/>
          <w:szCs w:val="22"/>
        </w:rPr>
        <w:t xml:space="preserve">prosinca </w:t>
      </w:r>
      <w:r w:rsidRPr="007F0E49">
        <w:rPr>
          <w:rFonts w:ascii="Arial" w:hAnsi="Arial" w:cs="Arial"/>
          <w:b/>
          <w:sz w:val="22"/>
          <w:szCs w:val="22"/>
        </w:rPr>
        <w:t>2022</w:t>
      </w:r>
      <w:r w:rsidR="000E69DA" w:rsidRPr="007F0E49">
        <w:rPr>
          <w:rFonts w:ascii="Arial" w:hAnsi="Arial" w:cs="Arial"/>
          <w:b/>
          <w:sz w:val="22"/>
          <w:szCs w:val="22"/>
        </w:rPr>
        <w:t xml:space="preserve">. godine iznosi </w:t>
      </w:r>
      <w:r w:rsidRPr="007F0E49">
        <w:rPr>
          <w:rFonts w:ascii="Arial" w:hAnsi="Arial" w:cs="Arial"/>
          <w:b/>
          <w:sz w:val="22"/>
          <w:szCs w:val="22"/>
        </w:rPr>
        <w:t>75.746.489,79</w:t>
      </w:r>
      <w:r w:rsidR="000E69DA" w:rsidRPr="007F0E49">
        <w:rPr>
          <w:rFonts w:ascii="Arial" w:hAnsi="Arial" w:cs="Arial"/>
          <w:b/>
          <w:sz w:val="22"/>
          <w:szCs w:val="22"/>
        </w:rPr>
        <w:t xml:space="preserve"> kn.</w:t>
      </w:r>
    </w:p>
    <w:p w:rsidR="00B61FAE" w:rsidRPr="007F0E49" w:rsidRDefault="00B61FAE" w:rsidP="006538C0">
      <w:pPr>
        <w:tabs>
          <w:tab w:val="center" w:pos="4320"/>
          <w:tab w:val="right" w:pos="8640"/>
        </w:tabs>
        <w:ind w:left="340"/>
        <w:jc w:val="both"/>
        <w:rPr>
          <w:rFonts w:ascii="Arial" w:hAnsi="Arial" w:cs="Arial"/>
          <w:sz w:val="22"/>
          <w:szCs w:val="22"/>
          <w:highlight w:val="yellow"/>
        </w:rPr>
      </w:pPr>
    </w:p>
    <w:p w:rsidR="000E69DA" w:rsidRPr="007F0E49" w:rsidRDefault="000E69DA" w:rsidP="006538C0">
      <w:pPr>
        <w:numPr>
          <w:ilvl w:val="0"/>
          <w:numId w:val="7"/>
        </w:numPr>
        <w:tabs>
          <w:tab w:val="center" w:pos="4320"/>
          <w:tab w:val="right" w:pos="8640"/>
        </w:tabs>
        <w:spacing w:after="160" w:line="259" w:lineRule="auto"/>
        <w:ind w:left="340"/>
        <w:jc w:val="both"/>
        <w:rPr>
          <w:rFonts w:ascii="Arial" w:hAnsi="Arial" w:cs="Arial"/>
          <w:sz w:val="22"/>
          <w:szCs w:val="22"/>
        </w:rPr>
      </w:pPr>
      <w:r w:rsidRPr="007F0E49">
        <w:rPr>
          <w:rFonts w:ascii="Arial" w:hAnsi="Arial" w:cs="Arial"/>
          <w:b/>
          <w:sz w:val="22"/>
          <w:szCs w:val="22"/>
        </w:rPr>
        <w:t>Robni zajam od trgovačkog društva Rijeka</w:t>
      </w:r>
      <w:r w:rsidR="005C645A" w:rsidRPr="007F0E49">
        <w:rPr>
          <w:rFonts w:ascii="Arial" w:hAnsi="Arial" w:cs="Arial"/>
          <w:b/>
          <w:sz w:val="22"/>
          <w:szCs w:val="22"/>
        </w:rPr>
        <w:t xml:space="preserve"> plus</w:t>
      </w:r>
      <w:r w:rsidRPr="007F0E49">
        <w:rPr>
          <w:rFonts w:ascii="Arial" w:hAnsi="Arial" w:cs="Arial"/>
          <w:b/>
          <w:sz w:val="22"/>
          <w:szCs w:val="22"/>
        </w:rPr>
        <w:t xml:space="preserve"> </w:t>
      </w:r>
      <w:r w:rsidR="005C645A" w:rsidRPr="007F0E49">
        <w:rPr>
          <w:rFonts w:ascii="Arial" w:hAnsi="Arial" w:cs="Arial"/>
          <w:b/>
          <w:sz w:val="22"/>
          <w:szCs w:val="22"/>
        </w:rPr>
        <w:t>d.o.o.</w:t>
      </w:r>
    </w:p>
    <w:p w:rsidR="000E69DA" w:rsidRPr="007F0E49" w:rsidRDefault="000E69DA" w:rsidP="006538C0">
      <w:pPr>
        <w:autoSpaceDE w:val="0"/>
        <w:autoSpaceDN w:val="0"/>
        <w:adjustRightInd w:val="0"/>
        <w:ind w:left="340"/>
        <w:jc w:val="both"/>
        <w:rPr>
          <w:rFonts w:ascii="Arial" w:hAnsi="Arial" w:cs="Arial"/>
          <w:sz w:val="22"/>
          <w:szCs w:val="22"/>
          <w:highlight w:val="yellow"/>
        </w:rPr>
      </w:pPr>
      <w:r w:rsidRPr="007F0E49">
        <w:rPr>
          <w:rFonts w:ascii="Arial" w:hAnsi="Arial" w:cs="Arial"/>
          <w:sz w:val="22"/>
          <w:szCs w:val="22"/>
        </w:rPr>
        <w:t>Ugovorom o uređenju međusobnih prava i obveza povodom ulaganja u prometne projekte na području Grada Rijeke sklopljenim 18.11.2010. godine, utvrđeno je da će Grad putem obročne otplate (robnog zajma) preuzeti izvršena ulaganja u prometnice i tunelski priključak (Gradska sabirna prometnica GSP 233 Srdoči, II.</w:t>
      </w:r>
      <w:r w:rsidR="00C4172D" w:rsidRPr="007F0E49">
        <w:rPr>
          <w:rFonts w:ascii="Arial" w:hAnsi="Arial" w:cs="Arial"/>
          <w:sz w:val="22"/>
          <w:szCs w:val="22"/>
        </w:rPr>
        <w:t xml:space="preserve"> </w:t>
      </w:r>
      <w:r w:rsidRPr="007F0E49">
        <w:rPr>
          <w:rFonts w:ascii="Arial" w:hAnsi="Arial" w:cs="Arial"/>
          <w:sz w:val="22"/>
          <w:szCs w:val="22"/>
        </w:rPr>
        <w:t>dionica, I. i II.</w:t>
      </w:r>
      <w:r w:rsidR="00C4172D" w:rsidRPr="007F0E49">
        <w:rPr>
          <w:rFonts w:ascii="Arial" w:hAnsi="Arial" w:cs="Arial"/>
          <w:sz w:val="22"/>
          <w:szCs w:val="22"/>
        </w:rPr>
        <w:t xml:space="preserve"> </w:t>
      </w:r>
      <w:r w:rsidRPr="007F0E49">
        <w:rPr>
          <w:rFonts w:ascii="Arial" w:hAnsi="Arial" w:cs="Arial"/>
          <w:sz w:val="22"/>
          <w:szCs w:val="22"/>
        </w:rPr>
        <w:t>faza; Ulica Ivana Pavla II-II. faza; Prometnica Rujevica</w:t>
      </w:r>
      <w:r w:rsidR="00C4172D" w:rsidRPr="007F0E49">
        <w:rPr>
          <w:rFonts w:ascii="Arial" w:hAnsi="Arial" w:cs="Arial"/>
          <w:sz w:val="22"/>
          <w:szCs w:val="22"/>
        </w:rPr>
        <w:t xml:space="preserve"> </w:t>
      </w:r>
      <w:r w:rsidRPr="007F0E49">
        <w:rPr>
          <w:rFonts w:ascii="Arial" w:hAnsi="Arial" w:cs="Arial"/>
          <w:sz w:val="22"/>
          <w:szCs w:val="22"/>
        </w:rPr>
        <w:t>-</w:t>
      </w:r>
      <w:r w:rsidR="00C4172D" w:rsidRPr="007F0E49">
        <w:rPr>
          <w:rFonts w:ascii="Arial" w:hAnsi="Arial" w:cs="Arial"/>
          <w:sz w:val="22"/>
          <w:szCs w:val="22"/>
        </w:rPr>
        <w:t xml:space="preserve"> </w:t>
      </w:r>
      <w:r w:rsidRPr="007F0E49">
        <w:rPr>
          <w:rFonts w:ascii="Arial" w:hAnsi="Arial" w:cs="Arial"/>
          <w:sz w:val="22"/>
          <w:szCs w:val="22"/>
        </w:rPr>
        <w:t>Marčelji I. dionica: Rujevica – Marinići i Tunelskog priključka na državnoj cesti D-404 u Rijeci – I.</w:t>
      </w:r>
      <w:r w:rsidR="00C4172D" w:rsidRPr="007F0E49">
        <w:rPr>
          <w:rFonts w:ascii="Arial" w:hAnsi="Arial" w:cs="Arial"/>
          <w:sz w:val="22"/>
          <w:szCs w:val="22"/>
        </w:rPr>
        <w:t xml:space="preserve"> </w:t>
      </w:r>
      <w:r w:rsidRPr="007F0E49">
        <w:rPr>
          <w:rFonts w:ascii="Arial" w:hAnsi="Arial" w:cs="Arial"/>
          <w:sz w:val="22"/>
          <w:szCs w:val="22"/>
        </w:rPr>
        <w:t>faza: smjer Rijeka</w:t>
      </w:r>
      <w:r w:rsidR="00B4742A" w:rsidRPr="007F0E49">
        <w:rPr>
          <w:rFonts w:ascii="Arial" w:hAnsi="Arial" w:cs="Arial"/>
          <w:sz w:val="22"/>
          <w:szCs w:val="22"/>
        </w:rPr>
        <w:t xml:space="preserve"> </w:t>
      </w:r>
      <w:r w:rsidRPr="007F0E49">
        <w:rPr>
          <w:rFonts w:ascii="Arial" w:hAnsi="Arial" w:cs="Arial"/>
          <w:sz w:val="22"/>
          <w:szCs w:val="22"/>
        </w:rPr>
        <w:t>-</w:t>
      </w:r>
      <w:r w:rsidR="00B4742A" w:rsidRPr="007F0E49">
        <w:rPr>
          <w:rFonts w:ascii="Arial" w:hAnsi="Arial" w:cs="Arial"/>
          <w:sz w:val="22"/>
          <w:szCs w:val="22"/>
        </w:rPr>
        <w:t xml:space="preserve"> </w:t>
      </w:r>
      <w:r w:rsidRPr="007F0E49">
        <w:rPr>
          <w:rFonts w:ascii="Arial" w:hAnsi="Arial" w:cs="Arial"/>
          <w:sz w:val="22"/>
          <w:szCs w:val="22"/>
        </w:rPr>
        <w:t>Policentro) u ukupnom iznosu od 108.531.461</w:t>
      </w:r>
      <w:r w:rsidR="00D416A0" w:rsidRPr="007F0E49">
        <w:rPr>
          <w:rFonts w:ascii="Arial" w:hAnsi="Arial" w:cs="Arial"/>
          <w:sz w:val="22"/>
          <w:szCs w:val="22"/>
        </w:rPr>
        <w:t>,00</w:t>
      </w:r>
      <w:r w:rsidRPr="007F0E49">
        <w:rPr>
          <w:rFonts w:ascii="Arial" w:hAnsi="Arial" w:cs="Arial"/>
          <w:sz w:val="22"/>
          <w:szCs w:val="22"/>
        </w:rPr>
        <w:t xml:space="preserve"> kn, a koja je financirao Rijeka promet</w:t>
      </w:r>
      <w:r w:rsidR="00BC139A" w:rsidRPr="007F0E49">
        <w:rPr>
          <w:rFonts w:ascii="Arial" w:hAnsi="Arial" w:cs="Arial"/>
          <w:sz w:val="22"/>
          <w:szCs w:val="22"/>
        </w:rPr>
        <w:t xml:space="preserve"> d.o.o.</w:t>
      </w:r>
      <w:r w:rsidRPr="007F0E49">
        <w:rPr>
          <w:rFonts w:ascii="Arial" w:hAnsi="Arial" w:cs="Arial"/>
          <w:sz w:val="22"/>
          <w:szCs w:val="22"/>
        </w:rPr>
        <w:t xml:space="preserve"> iz korporativnih obveznica izdanih 2008. godine.</w:t>
      </w:r>
    </w:p>
    <w:p w:rsidR="000E69DA" w:rsidRPr="007F0E49" w:rsidRDefault="000E69DA" w:rsidP="006538C0">
      <w:pPr>
        <w:autoSpaceDE w:val="0"/>
        <w:autoSpaceDN w:val="0"/>
        <w:adjustRightInd w:val="0"/>
        <w:ind w:left="340"/>
        <w:jc w:val="both"/>
        <w:rPr>
          <w:rFonts w:ascii="Arial" w:hAnsi="Arial" w:cs="Arial"/>
          <w:sz w:val="22"/>
          <w:szCs w:val="22"/>
        </w:rPr>
      </w:pPr>
      <w:r w:rsidRPr="007F0E49">
        <w:rPr>
          <w:rFonts w:ascii="Arial" w:hAnsi="Arial" w:cs="Arial"/>
          <w:sz w:val="22"/>
          <w:szCs w:val="22"/>
        </w:rPr>
        <w:lastRenderedPageBreak/>
        <w:t>U 2011. godini Grad Rijeka je temeljem Ugovora o prijenosu na upravljanje dijela prometnice Rujevica – Marčelji I. dionica: Rujevica – Marinići - 1. faza (14.953.873</w:t>
      </w:r>
      <w:r w:rsidR="005F7039" w:rsidRPr="007F0E49">
        <w:rPr>
          <w:rFonts w:ascii="Arial" w:hAnsi="Arial" w:cs="Arial"/>
          <w:sz w:val="22"/>
          <w:szCs w:val="22"/>
        </w:rPr>
        <w:t xml:space="preserve">,00 </w:t>
      </w:r>
      <w:r w:rsidRPr="007F0E49">
        <w:rPr>
          <w:rFonts w:ascii="Arial" w:hAnsi="Arial" w:cs="Arial"/>
          <w:sz w:val="22"/>
          <w:szCs w:val="22"/>
        </w:rPr>
        <w:t>kn), Ugovora o prijenosu na upravljanje dijela gradske sabirne prometnice GSP 233 (14.602.993</w:t>
      </w:r>
      <w:r w:rsidR="005F7039" w:rsidRPr="007F0E49">
        <w:rPr>
          <w:rFonts w:ascii="Arial" w:hAnsi="Arial" w:cs="Arial"/>
          <w:sz w:val="22"/>
          <w:szCs w:val="22"/>
        </w:rPr>
        <w:t>,00</w:t>
      </w:r>
      <w:r w:rsidRPr="007F0E49">
        <w:rPr>
          <w:rFonts w:ascii="Arial" w:hAnsi="Arial" w:cs="Arial"/>
          <w:sz w:val="22"/>
          <w:szCs w:val="22"/>
        </w:rPr>
        <w:t xml:space="preserve"> kn), Ugovora o prijenosu na upravljanje Ulice Ivana Pavla II (11.014.035</w:t>
      </w:r>
      <w:r w:rsidR="005F7039" w:rsidRPr="007F0E49">
        <w:rPr>
          <w:rFonts w:ascii="Arial" w:hAnsi="Arial" w:cs="Arial"/>
          <w:sz w:val="22"/>
          <w:szCs w:val="22"/>
        </w:rPr>
        <w:t>,00</w:t>
      </w:r>
      <w:r w:rsidRPr="007F0E49">
        <w:rPr>
          <w:rFonts w:ascii="Arial" w:hAnsi="Arial" w:cs="Arial"/>
          <w:sz w:val="22"/>
          <w:szCs w:val="22"/>
        </w:rPr>
        <w:t xml:space="preserve"> kn) te Ugovora o prijenosu tunelskog priključka (32.365.809</w:t>
      </w:r>
      <w:r w:rsidR="005F7039" w:rsidRPr="007F0E49">
        <w:rPr>
          <w:rFonts w:ascii="Arial" w:hAnsi="Arial" w:cs="Arial"/>
          <w:sz w:val="22"/>
          <w:szCs w:val="22"/>
        </w:rPr>
        <w:t>,00</w:t>
      </w:r>
      <w:r w:rsidRPr="007F0E49">
        <w:rPr>
          <w:rFonts w:ascii="Arial" w:hAnsi="Arial" w:cs="Arial"/>
          <w:sz w:val="22"/>
          <w:szCs w:val="22"/>
        </w:rPr>
        <w:t xml:space="preserve"> kn), preuzeo od </w:t>
      </w:r>
      <w:r w:rsidR="00B4742A" w:rsidRPr="007F0E49">
        <w:rPr>
          <w:rFonts w:ascii="Arial" w:hAnsi="Arial" w:cs="Arial"/>
          <w:sz w:val="22"/>
          <w:szCs w:val="22"/>
        </w:rPr>
        <w:t xml:space="preserve">trgovačkog društva </w:t>
      </w:r>
      <w:r w:rsidRPr="007F0E49">
        <w:rPr>
          <w:rFonts w:ascii="Arial" w:hAnsi="Arial" w:cs="Arial"/>
          <w:sz w:val="22"/>
          <w:szCs w:val="22"/>
        </w:rPr>
        <w:t>Rijeka promet d.d. izvršena ulaganja na navedenim prometnicama u ukupnom iznosu od 72.936.710</w:t>
      </w:r>
      <w:r w:rsidR="005F7039" w:rsidRPr="007F0E49">
        <w:rPr>
          <w:rFonts w:ascii="Arial" w:hAnsi="Arial" w:cs="Arial"/>
          <w:sz w:val="22"/>
          <w:szCs w:val="22"/>
        </w:rPr>
        <w:t>,00</w:t>
      </w:r>
      <w:r w:rsidRPr="007F0E49">
        <w:rPr>
          <w:rFonts w:ascii="Arial" w:hAnsi="Arial" w:cs="Arial"/>
          <w:sz w:val="22"/>
          <w:szCs w:val="22"/>
        </w:rPr>
        <w:t xml:space="preserve"> kn te u navedenom iznosu evidentirao imovinu i njezinu vrijednost u knjigama imovine Grada.</w:t>
      </w:r>
    </w:p>
    <w:p w:rsidR="000E69DA" w:rsidRPr="007F0E49" w:rsidRDefault="000E69DA" w:rsidP="006538C0">
      <w:pPr>
        <w:autoSpaceDE w:val="0"/>
        <w:autoSpaceDN w:val="0"/>
        <w:adjustRightInd w:val="0"/>
        <w:ind w:left="340"/>
        <w:jc w:val="both"/>
        <w:rPr>
          <w:rFonts w:ascii="Arial" w:hAnsi="Arial" w:cs="Arial"/>
          <w:sz w:val="22"/>
          <w:szCs w:val="22"/>
        </w:rPr>
      </w:pPr>
      <w:r w:rsidRPr="007F0E49">
        <w:rPr>
          <w:rFonts w:ascii="Arial" w:hAnsi="Arial" w:cs="Arial"/>
          <w:sz w:val="22"/>
          <w:szCs w:val="22"/>
        </w:rPr>
        <w:t>U 2012. godini Grad je, sukladno Ugovoru o prijenosu na upravljanje prometnice Rujevica – Marčelji I. dionica: Rujevica – Marinići - 2. faza, preuzeo od Rijeka promet</w:t>
      </w:r>
      <w:r w:rsidR="00B4742A" w:rsidRPr="007F0E49">
        <w:rPr>
          <w:rFonts w:ascii="Arial" w:hAnsi="Arial" w:cs="Arial"/>
          <w:sz w:val="22"/>
          <w:szCs w:val="22"/>
        </w:rPr>
        <w:t>a</w:t>
      </w:r>
      <w:r w:rsidRPr="007F0E49">
        <w:rPr>
          <w:rFonts w:ascii="Arial" w:hAnsi="Arial" w:cs="Arial"/>
          <w:sz w:val="22"/>
          <w:szCs w:val="22"/>
        </w:rPr>
        <w:t xml:space="preserve"> d.d. izvršena ulaganja na prometnici u iznosu od 23.833.557</w:t>
      </w:r>
      <w:r w:rsidR="00D416A0" w:rsidRPr="007F0E49">
        <w:rPr>
          <w:rFonts w:ascii="Arial" w:hAnsi="Arial" w:cs="Arial"/>
          <w:sz w:val="22"/>
          <w:szCs w:val="22"/>
        </w:rPr>
        <w:t>,00</w:t>
      </w:r>
      <w:r w:rsidRPr="007F0E49">
        <w:rPr>
          <w:rFonts w:ascii="Arial" w:hAnsi="Arial" w:cs="Arial"/>
          <w:sz w:val="22"/>
          <w:szCs w:val="22"/>
        </w:rPr>
        <w:t xml:space="preserve"> kn te je za navedeni iznos ulaganja povećao vrijednost prometnice u knjigama imovine Grada.</w:t>
      </w:r>
    </w:p>
    <w:p w:rsidR="000E69DA" w:rsidRPr="007F0E49" w:rsidRDefault="000E69DA" w:rsidP="006538C0">
      <w:pPr>
        <w:autoSpaceDE w:val="0"/>
        <w:autoSpaceDN w:val="0"/>
        <w:adjustRightInd w:val="0"/>
        <w:ind w:left="340"/>
        <w:jc w:val="both"/>
        <w:rPr>
          <w:rFonts w:ascii="Arial" w:hAnsi="Arial" w:cs="Arial"/>
          <w:sz w:val="22"/>
          <w:szCs w:val="22"/>
        </w:rPr>
      </w:pPr>
      <w:r w:rsidRPr="007F0E49">
        <w:rPr>
          <w:rFonts w:ascii="Arial" w:hAnsi="Arial" w:cs="Arial"/>
          <w:sz w:val="22"/>
          <w:szCs w:val="22"/>
        </w:rPr>
        <w:t>Krajem lipnja 2013. godine izvršeno je preuzimanje prometnice Rujevica – Marčelji I. dionica: Rujevica – Marinići - 3. faza u iznosu 11.052.348</w:t>
      </w:r>
      <w:r w:rsidR="00761D5F" w:rsidRPr="007F0E49">
        <w:rPr>
          <w:rFonts w:ascii="Arial" w:hAnsi="Arial" w:cs="Arial"/>
          <w:sz w:val="22"/>
          <w:szCs w:val="22"/>
        </w:rPr>
        <w:t>,00</w:t>
      </w:r>
      <w:r w:rsidRPr="007F0E49">
        <w:rPr>
          <w:rFonts w:ascii="Arial" w:hAnsi="Arial" w:cs="Arial"/>
          <w:sz w:val="22"/>
          <w:szCs w:val="22"/>
        </w:rPr>
        <w:t xml:space="preserve"> kn te u navedenom iznosu evidentirano u knjigama imovine Grada. Sukladno navedenim Ugovorima, ukupna vrijednost preuzetih ulaganja u ceste i tunelski priključak odnosno robni zajam iznosi 107.822.615</w:t>
      </w:r>
      <w:r w:rsidR="00761D5F" w:rsidRPr="007F0E49">
        <w:rPr>
          <w:rFonts w:ascii="Arial" w:hAnsi="Arial" w:cs="Arial"/>
          <w:sz w:val="22"/>
          <w:szCs w:val="22"/>
        </w:rPr>
        <w:t>,00</w:t>
      </w:r>
      <w:r w:rsidRPr="007F0E49">
        <w:rPr>
          <w:rFonts w:ascii="Arial" w:hAnsi="Arial" w:cs="Arial"/>
          <w:sz w:val="22"/>
          <w:szCs w:val="22"/>
        </w:rPr>
        <w:t xml:space="preserve"> kn.</w:t>
      </w:r>
    </w:p>
    <w:p w:rsidR="000E69DA" w:rsidRPr="007F0E49" w:rsidRDefault="000E69DA" w:rsidP="006538C0">
      <w:pPr>
        <w:tabs>
          <w:tab w:val="center" w:pos="4320"/>
          <w:tab w:val="right" w:pos="8640"/>
        </w:tabs>
        <w:ind w:left="340"/>
        <w:jc w:val="both"/>
        <w:rPr>
          <w:rFonts w:ascii="Arial" w:hAnsi="Arial" w:cs="Arial"/>
          <w:sz w:val="22"/>
          <w:szCs w:val="22"/>
        </w:rPr>
      </w:pPr>
      <w:r w:rsidRPr="007F0E49">
        <w:rPr>
          <w:rFonts w:ascii="Arial" w:hAnsi="Arial" w:cs="Arial"/>
          <w:sz w:val="22"/>
          <w:szCs w:val="22"/>
        </w:rPr>
        <w:t>Prema Ugovoru, otplata glavnice i kamate robnog zajma je polugodišnja s krajnjim rokom povrata u 2018. godini i uz fiksnu kamatnu stopu od 6,8125% godišnje. Otplata robnog zajma započela je u 2013. godini.</w:t>
      </w:r>
    </w:p>
    <w:p w:rsidR="000E69DA" w:rsidRPr="007F0E49" w:rsidRDefault="000E69DA" w:rsidP="006538C0">
      <w:pPr>
        <w:tabs>
          <w:tab w:val="center" w:pos="4320"/>
          <w:tab w:val="right" w:pos="8640"/>
        </w:tabs>
        <w:ind w:left="340"/>
        <w:jc w:val="both"/>
        <w:rPr>
          <w:rFonts w:ascii="Arial" w:hAnsi="Arial" w:cs="Arial"/>
          <w:sz w:val="22"/>
          <w:szCs w:val="22"/>
        </w:rPr>
      </w:pPr>
      <w:r w:rsidRPr="007F0E49">
        <w:rPr>
          <w:rFonts w:ascii="Arial" w:hAnsi="Arial" w:cs="Arial"/>
          <w:sz w:val="22"/>
          <w:szCs w:val="22"/>
        </w:rPr>
        <w:t>Rijeka promet d.d. je temeljem Odluke Gradskog vijeća od 12.6.2014. godine o davanju suglasnosti za zaduženje radi refinanciranja ostatka duga po postojećim obveznicama izdanim početkom 2008. godine, dana 10.</w:t>
      </w:r>
      <w:r w:rsidR="003A5C68" w:rsidRPr="007F0E49">
        <w:rPr>
          <w:rFonts w:ascii="Arial" w:hAnsi="Arial" w:cs="Arial"/>
          <w:sz w:val="22"/>
          <w:szCs w:val="22"/>
        </w:rPr>
        <w:t>0</w:t>
      </w:r>
      <w:r w:rsidRPr="007F0E49">
        <w:rPr>
          <w:rFonts w:ascii="Arial" w:hAnsi="Arial" w:cs="Arial"/>
          <w:sz w:val="22"/>
          <w:szCs w:val="22"/>
        </w:rPr>
        <w:t>7.2014. godine izdalo nove obveznice u iznosu od 140,0 mil. kuna. Refinanciranjem obveznica produljen je krajnji rok dospijeća obveznica na 9 godina, odnosno do 2023. godine (uz poček otplate glavnice od 2 godine) te je smanjena kamatna stopa (od 6,8125% na 6,375%).</w:t>
      </w:r>
    </w:p>
    <w:p w:rsidR="000E69DA" w:rsidRPr="007F0E49" w:rsidRDefault="000E69DA" w:rsidP="006538C0">
      <w:pPr>
        <w:tabs>
          <w:tab w:val="center" w:pos="4320"/>
          <w:tab w:val="right" w:pos="8640"/>
        </w:tabs>
        <w:ind w:left="340"/>
        <w:jc w:val="both"/>
        <w:rPr>
          <w:rFonts w:ascii="Arial" w:hAnsi="Arial" w:cs="Arial"/>
          <w:sz w:val="22"/>
          <w:szCs w:val="22"/>
        </w:rPr>
      </w:pPr>
      <w:r w:rsidRPr="007F0E49">
        <w:rPr>
          <w:rFonts w:ascii="Arial" w:hAnsi="Arial" w:cs="Arial"/>
          <w:sz w:val="22"/>
          <w:szCs w:val="22"/>
        </w:rPr>
        <w:t>S obzirom da se u Proračunu Grada osigurava najveći dio sredstava za otplatu obveznica Rijeka prometa d.d. kroz otplatu robnog zajma za preuzete prometnice, a da su refinanciranjem obveznica Rijeka prometa d.d. postignuti povoljniji uvjeti otplate Ugovorom o uređenju međusobnih prava i obveza s osnova podmirenja financijskih obveza nastalih povodom ulaganja u prometne projekte na području Grada Rijeke sklopljenim 19.2.2015. godine, usklađena je dinamika otplate robnog zajma s dinamikom otplate refinanciranih obveznica</w:t>
      </w:r>
      <w:r w:rsidR="00F0282C" w:rsidRPr="007F0E49">
        <w:rPr>
          <w:rFonts w:ascii="Arial" w:hAnsi="Arial" w:cs="Arial"/>
          <w:sz w:val="22"/>
          <w:szCs w:val="22"/>
        </w:rPr>
        <w:t xml:space="preserve"> </w:t>
      </w:r>
      <w:r w:rsidRPr="007F0E49">
        <w:rPr>
          <w:rFonts w:ascii="Arial" w:hAnsi="Arial" w:cs="Arial"/>
          <w:sz w:val="22"/>
          <w:szCs w:val="22"/>
        </w:rPr>
        <w:t xml:space="preserve">Rijeka prometa d.d. </w:t>
      </w:r>
      <w:r w:rsidR="00CC2A2F" w:rsidRPr="007F0E49">
        <w:rPr>
          <w:rFonts w:ascii="Arial" w:hAnsi="Arial" w:cs="Arial"/>
          <w:sz w:val="22"/>
          <w:szCs w:val="22"/>
        </w:rPr>
        <w:t>Člankom 7. n</w:t>
      </w:r>
      <w:r w:rsidRPr="007F0E49">
        <w:rPr>
          <w:rFonts w:ascii="Arial" w:hAnsi="Arial" w:cs="Arial"/>
          <w:sz w:val="22"/>
          <w:szCs w:val="22"/>
        </w:rPr>
        <w:t>aveden</w:t>
      </w:r>
      <w:r w:rsidR="00CC2A2F" w:rsidRPr="007F0E49">
        <w:rPr>
          <w:rFonts w:ascii="Arial" w:hAnsi="Arial" w:cs="Arial"/>
          <w:sz w:val="22"/>
          <w:szCs w:val="22"/>
        </w:rPr>
        <w:t>og</w:t>
      </w:r>
      <w:r w:rsidRPr="007F0E49">
        <w:rPr>
          <w:rFonts w:ascii="Arial" w:hAnsi="Arial" w:cs="Arial"/>
          <w:sz w:val="22"/>
          <w:szCs w:val="22"/>
        </w:rPr>
        <w:t xml:space="preserve"> Ugovor</w:t>
      </w:r>
      <w:r w:rsidR="00CC2A2F" w:rsidRPr="007F0E49">
        <w:rPr>
          <w:rFonts w:ascii="Arial" w:hAnsi="Arial" w:cs="Arial"/>
          <w:sz w:val="22"/>
          <w:szCs w:val="22"/>
        </w:rPr>
        <w:t>a</w:t>
      </w:r>
      <w:r w:rsidRPr="007F0E49">
        <w:rPr>
          <w:rFonts w:ascii="Arial" w:hAnsi="Arial" w:cs="Arial"/>
          <w:sz w:val="22"/>
          <w:szCs w:val="22"/>
        </w:rPr>
        <w:t xml:space="preserve"> Grad Rijeka preuzima obvezu otplate neotplaćenog dijela glavnice za prometnice i tunelski priključak u iznosu od 84.829.952</w:t>
      </w:r>
      <w:r w:rsidR="00F0282C" w:rsidRPr="007F0E49">
        <w:rPr>
          <w:rFonts w:ascii="Arial" w:hAnsi="Arial" w:cs="Arial"/>
          <w:sz w:val="22"/>
          <w:szCs w:val="22"/>
        </w:rPr>
        <w:t>,00</w:t>
      </w:r>
      <w:r w:rsidRPr="007F0E49">
        <w:rPr>
          <w:rFonts w:ascii="Arial" w:hAnsi="Arial" w:cs="Arial"/>
          <w:sz w:val="22"/>
          <w:szCs w:val="22"/>
        </w:rPr>
        <w:t xml:space="preserve"> kn i pripadajućeg dijela troška refinanciranja u iznosu od 3.557.096</w:t>
      </w:r>
      <w:r w:rsidR="00F0282C" w:rsidRPr="007F0E49">
        <w:rPr>
          <w:rFonts w:ascii="Arial" w:hAnsi="Arial" w:cs="Arial"/>
          <w:sz w:val="22"/>
          <w:szCs w:val="22"/>
        </w:rPr>
        <w:t>,00</w:t>
      </w:r>
      <w:r w:rsidRPr="007F0E49">
        <w:rPr>
          <w:rFonts w:ascii="Arial" w:hAnsi="Arial" w:cs="Arial"/>
          <w:sz w:val="22"/>
          <w:szCs w:val="22"/>
        </w:rPr>
        <w:t xml:space="preserve"> kn. </w:t>
      </w:r>
      <w:r w:rsidR="00861FC8" w:rsidRPr="007F0E49">
        <w:rPr>
          <w:rFonts w:ascii="Arial" w:hAnsi="Arial" w:cs="Arial"/>
          <w:sz w:val="22"/>
          <w:szCs w:val="22"/>
        </w:rPr>
        <w:t xml:space="preserve">Prema Ugovoru </w:t>
      </w:r>
      <w:r w:rsidR="00FE3D42" w:rsidRPr="007F0E49">
        <w:rPr>
          <w:rFonts w:ascii="Arial" w:hAnsi="Arial" w:cs="Arial"/>
          <w:sz w:val="22"/>
          <w:szCs w:val="22"/>
        </w:rPr>
        <w:t>otplata glavnice i kamate je polugodišnja s krajnjim rokom povrata u 2023.</w:t>
      </w:r>
      <w:r w:rsidR="008A1FDB" w:rsidRPr="007F0E49">
        <w:rPr>
          <w:rFonts w:ascii="Arial" w:hAnsi="Arial" w:cs="Arial"/>
          <w:sz w:val="22"/>
          <w:szCs w:val="22"/>
        </w:rPr>
        <w:t xml:space="preserve"> </w:t>
      </w:r>
      <w:r w:rsidR="00FE3D42" w:rsidRPr="007F0E49">
        <w:rPr>
          <w:rFonts w:ascii="Arial" w:hAnsi="Arial" w:cs="Arial"/>
          <w:sz w:val="22"/>
          <w:szCs w:val="22"/>
        </w:rPr>
        <w:t>godini i uz fiksnu kamatnu stopu od 6,375% godišnje.</w:t>
      </w:r>
    </w:p>
    <w:p w:rsidR="00FE3D42" w:rsidRPr="007F0E49" w:rsidRDefault="00FE3D42" w:rsidP="006538C0">
      <w:pPr>
        <w:tabs>
          <w:tab w:val="center" w:pos="4320"/>
          <w:tab w:val="right" w:pos="8640"/>
        </w:tabs>
        <w:ind w:left="340"/>
        <w:jc w:val="both"/>
        <w:rPr>
          <w:rFonts w:ascii="Arial" w:hAnsi="Arial" w:cs="Arial"/>
          <w:sz w:val="22"/>
          <w:szCs w:val="22"/>
        </w:rPr>
      </w:pPr>
      <w:r w:rsidRPr="007F0E49">
        <w:rPr>
          <w:rFonts w:ascii="Arial" w:hAnsi="Arial" w:cs="Arial"/>
          <w:sz w:val="22"/>
          <w:szCs w:val="22"/>
        </w:rPr>
        <w:t>Rješenjem Trgovačkog suda u Rijeci Tt-21/8129-6 od 11.</w:t>
      </w:r>
      <w:r w:rsidR="008A1FDB" w:rsidRPr="007F0E49">
        <w:rPr>
          <w:rFonts w:ascii="Arial" w:hAnsi="Arial" w:cs="Arial"/>
          <w:sz w:val="22"/>
          <w:szCs w:val="22"/>
        </w:rPr>
        <w:t xml:space="preserve"> </w:t>
      </w:r>
      <w:r w:rsidRPr="007F0E49">
        <w:rPr>
          <w:rFonts w:ascii="Arial" w:hAnsi="Arial" w:cs="Arial"/>
          <w:sz w:val="22"/>
          <w:szCs w:val="22"/>
        </w:rPr>
        <w:t>siječnja 2022. godin</w:t>
      </w:r>
      <w:r w:rsidR="00C372F9" w:rsidRPr="007F0E49">
        <w:rPr>
          <w:rFonts w:ascii="Arial" w:hAnsi="Arial" w:cs="Arial"/>
          <w:sz w:val="22"/>
          <w:szCs w:val="22"/>
        </w:rPr>
        <w:t>e</w:t>
      </w:r>
      <w:r w:rsidRPr="007F0E49">
        <w:rPr>
          <w:rFonts w:ascii="Arial" w:hAnsi="Arial" w:cs="Arial"/>
          <w:sz w:val="22"/>
          <w:szCs w:val="22"/>
        </w:rPr>
        <w:t>, društvo Rijeka promet d.d. pripojeno je društvu</w:t>
      </w:r>
      <w:r w:rsidR="00C372F9" w:rsidRPr="007F0E49">
        <w:rPr>
          <w:rFonts w:ascii="Arial" w:hAnsi="Arial" w:cs="Arial"/>
          <w:sz w:val="22"/>
          <w:szCs w:val="22"/>
        </w:rPr>
        <w:t xml:space="preserve"> </w:t>
      </w:r>
      <w:r w:rsidRPr="007F0E49">
        <w:rPr>
          <w:rFonts w:ascii="Arial" w:hAnsi="Arial" w:cs="Arial"/>
          <w:sz w:val="22"/>
          <w:szCs w:val="22"/>
        </w:rPr>
        <w:t>R</w:t>
      </w:r>
      <w:r w:rsidR="001E2304" w:rsidRPr="007F0E49">
        <w:rPr>
          <w:rFonts w:ascii="Arial" w:hAnsi="Arial" w:cs="Arial"/>
          <w:sz w:val="22"/>
          <w:szCs w:val="22"/>
        </w:rPr>
        <w:t>ijeka plus d.o.o.</w:t>
      </w:r>
      <w:r w:rsidRPr="007F0E49">
        <w:rPr>
          <w:rFonts w:ascii="Arial" w:hAnsi="Arial" w:cs="Arial"/>
          <w:sz w:val="22"/>
          <w:szCs w:val="22"/>
        </w:rPr>
        <w:t xml:space="preserve"> Pripajanje je provedeno temeljem U</w:t>
      </w:r>
      <w:r w:rsidR="001E2304" w:rsidRPr="007F0E49">
        <w:rPr>
          <w:rFonts w:ascii="Arial" w:hAnsi="Arial" w:cs="Arial"/>
          <w:sz w:val="22"/>
          <w:szCs w:val="22"/>
        </w:rPr>
        <w:t>govora o pripaja</w:t>
      </w:r>
      <w:r w:rsidRPr="007F0E49">
        <w:rPr>
          <w:rFonts w:ascii="Arial" w:hAnsi="Arial" w:cs="Arial"/>
          <w:sz w:val="22"/>
          <w:szCs w:val="22"/>
        </w:rPr>
        <w:t>nju od 24.</w:t>
      </w:r>
      <w:r w:rsidR="008A1FDB" w:rsidRPr="007F0E49">
        <w:rPr>
          <w:rFonts w:ascii="Arial" w:hAnsi="Arial" w:cs="Arial"/>
          <w:sz w:val="22"/>
          <w:szCs w:val="22"/>
        </w:rPr>
        <w:t xml:space="preserve"> </w:t>
      </w:r>
      <w:r w:rsidRPr="007F0E49">
        <w:rPr>
          <w:rFonts w:ascii="Arial" w:hAnsi="Arial" w:cs="Arial"/>
          <w:sz w:val="22"/>
          <w:szCs w:val="22"/>
        </w:rPr>
        <w:t>prosinca 2021. godine, Odluke Skupštine pripojenog Društva</w:t>
      </w:r>
      <w:r w:rsidR="001E2304" w:rsidRPr="007F0E49">
        <w:rPr>
          <w:rFonts w:ascii="Arial" w:hAnsi="Arial" w:cs="Arial"/>
          <w:sz w:val="22"/>
          <w:szCs w:val="22"/>
        </w:rPr>
        <w:t xml:space="preserve"> </w:t>
      </w:r>
      <w:r w:rsidRPr="007F0E49">
        <w:rPr>
          <w:rFonts w:ascii="Arial" w:hAnsi="Arial" w:cs="Arial"/>
          <w:sz w:val="22"/>
          <w:szCs w:val="22"/>
        </w:rPr>
        <w:t>od 28. prosinca 2021. godine i Odluke Skupštine Društva preuzimatelja od 28. prosinca 2021.godine</w:t>
      </w:r>
      <w:r w:rsidR="00544C1D" w:rsidRPr="007F0E49">
        <w:rPr>
          <w:rFonts w:ascii="Arial" w:hAnsi="Arial" w:cs="Arial"/>
          <w:sz w:val="22"/>
          <w:szCs w:val="22"/>
        </w:rPr>
        <w:t xml:space="preserve">. </w:t>
      </w:r>
      <w:r w:rsidRPr="007F0E49">
        <w:rPr>
          <w:rFonts w:ascii="Arial" w:hAnsi="Arial" w:cs="Arial"/>
          <w:sz w:val="22"/>
          <w:szCs w:val="22"/>
        </w:rPr>
        <w:t>Na temelju provedenog postupka pripajanja Rijeka promet d.d.</w:t>
      </w:r>
      <w:r w:rsidR="001E2304" w:rsidRPr="007F0E49">
        <w:rPr>
          <w:rFonts w:ascii="Arial" w:hAnsi="Arial" w:cs="Arial"/>
          <w:sz w:val="22"/>
          <w:szCs w:val="22"/>
        </w:rPr>
        <w:t xml:space="preserve"> kao </w:t>
      </w:r>
      <w:r w:rsidR="00544C1D" w:rsidRPr="007F0E49">
        <w:rPr>
          <w:rFonts w:ascii="Arial" w:hAnsi="Arial" w:cs="Arial"/>
          <w:sz w:val="22"/>
          <w:szCs w:val="22"/>
        </w:rPr>
        <w:t>društvo koje se pri</w:t>
      </w:r>
      <w:r w:rsidRPr="007F0E49">
        <w:rPr>
          <w:rFonts w:ascii="Arial" w:hAnsi="Arial" w:cs="Arial"/>
          <w:sz w:val="22"/>
          <w:szCs w:val="22"/>
        </w:rPr>
        <w:t xml:space="preserve">paja prestaje postojati, a društvo Rijeka plus d.o.o. </w:t>
      </w:r>
      <w:r w:rsidR="001E2304" w:rsidRPr="007F0E49">
        <w:rPr>
          <w:rFonts w:ascii="Arial" w:hAnsi="Arial" w:cs="Arial"/>
          <w:sz w:val="22"/>
          <w:szCs w:val="22"/>
        </w:rPr>
        <w:t>nastavlja postojati i poslovati kao univerzalni pravni slijednik pripojenog društva te preuzima i</w:t>
      </w:r>
      <w:r w:rsidR="00C372F9" w:rsidRPr="007F0E49">
        <w:rPr>
          <w:rFonts w:ascii="Arial" w:hAnsi="Arial" w:cs="Arial"/>
          <w:sz w:val="22"/>
          <w:szCs w:val="22"/>
        </w:rPr>
        <w:t xml:space="preserve"> </w:t>
      </w:r>
      <w:r w:rsidR="008A1FDB" w:rsidRPr="007F0E49">
        <w:rPr>
          <w:rFonts w:ascii="Arial" w:hAnsi="Arial" w:cs="Arial"/>
          <w:sz w:val="22"/>
          <w:szCs w:val="22"/>
        </w:rPr>
        <w:t>naplatu</w:t>
      </w:r>
      <w:r w:rsidR="00C372F9" w:rsidRPr="007F0E49">
        <w:rPr>
          <w:rFonts w:ascii="Arial" w:hAnsi="Arial" w:cs="Arial"/>
          <w:sz w:val="22"/>
          <w:szCs w:val="22"/>
        </w:rPr>
        <w:t xml:space="preserve"> navedenog robnog zajma</w:t>
      </w:r>
      <w:r w:rsidR="001E2304" w:rsidRPr="007F0E49">
        <w:rPr>
          <w:rFonts w:ascii="Arial" w:hAnsi="Arial" w:cs="Arial"/>
          <w:sz w:val="22"/>
          <w:szCs w:val="22"/>
        </w:rPr>
        <w:t>.</w:t>
      </w:r>
      <w:r w:rsidRPr="007F0E49">
        <w:rPr>
          <w:rFonts w:ascii="Arial" w:hAnsi="Arial" w:cs="Arial"/>
          <w:sz w:val="22"/>
          <w:szCs w:val="22"/>
        </w:rPr>
        <w:t xml:space="preserve"> </w:t>
      </w:r>
      <w:r w:rsidR="001E2304" w:rsidRPr="007F0E49">
        <w:rPr>
          <w:rFonts w:ascii="Arial" w:hAnsi="Arial" w:cs="Arial"/>
          <w:sz w:val="22"/>
          <w:szCs w:val="22"/>
        </w:rPr>
        <w:t>Sukladno navedenom, sklopljen je Dodatak II Ugovoru o preuzimanju duga od 30.6.2022. godine</w:t>
      </w:r>
      <w:r w:rsidR="00544C1D" w:rsidRPr="007F0E49">
        <w:rPr>
          <w:rFonts w:ascii="Arial" w:hAnsi="Arial" w:cs="Arial"/>
          <w:sz w:val="22"/>
          <w:szCs w:val="22"/>
        </w:rPr>
        <w:t xml:space="preserve"> </w:t>
      </w:r>
      <w:r w:rsidR="001E2304" w:rsidRPr="007F0E49">
        <w:rPr>
          <w:rFonts w:ascii="Arial" w:hAnsi="Arial" w:cs="Arial"/>
          <w:sz w:val="22"/>
          <w:szCs w:val="22"/>
        </w:rPr>
        <w:t>između</w:t>
      </w:r>
      <w:r w:rsidR="00066AE6" w:rsidRPr="007F0E49">
        <w:rPr>
          <w:rFonts w:ascii="Arial" w:hAnsi="Arial" w:cs="Arial"/>
          <w:sz w:val="22"/>
          <w:szCs w:val="22"/>
        </w:rPr>
        <w:t xml:space="preserve"> </w:t>
      </w:r>
      <w:r w:rsidR="001E2304" w:rsidRPr="007F0E49">
        <w:rPr>
          <w:rFonts w:ascii="Arial" w:hAnsi="Arial" w:cs="Arial"/>
          <w:sz w:val="22"/>
          <w:szCs w:val="22"/>
        </w:rPr>
        <w:t xml:space="preserve">Rijeka plusa d.o.o. i Grada Rijeke. </w:t>
      </w:r>
    </w:p>
    <w:p w:rsidR="000E69DA" w:rsidRPr="007F0E49" w:rsidRDefault="001E2304" w:rsidP="006538C0">
      <w:pPr>
        <w:ind w:left="340"/>
        <w:jc w:val="both"/>
        <w:rPr>
          <w:rFonts w:ascii="Arial" w:hAnsi="Arial" w:cs="Arial"/>
          <w:b/>
          <w:sz w:val="22"/>
          <w:szCs w:val="22"/>
        </w:rPr>
      </w:pPr>
      <w:r w:rsidRPr="007F0E49">
        <w:rPr>
          <w:rFonts w:ascii="Arial" w:hAnsi="Arial" w:cs="Arial"/>
          <w:b/>
          <w:sz w:val="22"/>
          <w:szCs w:val="22"/>
        </w:rPr>
        <w:t>Tijekom 2022</w:t>
      </w:r>
      <w:r w:rsidR="000E69DA" w:rsidRPr="007F0E49">
        <w:rPr>
          <w:rFonts w:ascii="Arial" w:hAnsi="Arial" w:cs="Arial"/>
          <w:b/>
          <w:sz w:val="22"/>
          <w:szCs w:val="22"/>
        </w:rPr>
        <w:t xml:space="preserve">. godine otplaćeno je </w:t>
      </w:r>
      <w:r w:rsidR="00DC2474" w:rsidRPr="007F0E49">
        <w:rPr>
          <w:rFonts w:ascii="Arial" w:hAnsi="Arial" w:cs="Arial"/>
          <w:b/>
          <w:sz w:val="22"/>
          <w:szCs w:val="22"/>
        </w:rPr>
        <w:t>17.677.409,48</w:t>
      </w:r>
      <w:r w:rsidR="000E69DA" w:rsidRPr="007F0E49">
        <w:rPr>
          <w:rFonts w:ascii="Arial" w:hAnsi="Arial" w:cs="Arial"/>
          <w:b/>
          <w:sz w:val="22"/>
          <w:szCs w:val="22"/>
        </w:rPr>
        <w:t xml:space="preserve"> kn te stanje ukupnog zaduženja po primljeno</w:t>
      </w:r>
      <w:r w:rsidR="007C33BA" w:rsidRPr="007F0E49">
        <w:rPr>
          <w:rFonts w:ascii="Arial" w:hAnsi="Arial" w:cs="Arial"/>
          <w:b/>
          <w:sz w:val="22"/>
          <w:szCs w:val="22"/>
        </w:rPr>
        <w:t>m robnom zajmu na dan 31.12.202</w:t>
      </w:r>
      <w:r w:rsidRPr="007F0E49">
        <w:rPr>
          <w:rFonts w:ascii="Arial" w:hAnsi="Arial" w:cs="Arial"/>
          <w:b/>
          <w:sz w:val="22"/>
          <w:szCs w:val="22"/>
        </w:rPr>
        <w:t>2</w:t>
      </w:r>
      <w:r w:rsidR="000E69DA" w:rsidRPr="007F0E49">
        <w:rPr>
          <w:rFonts w:ascii="Arial" w:hAnsi="Arial" w:cs="Arial"/>
          <w:b/>
          <w:sz w:val="22"/>
          <w:szCs w:val="22"/>
        </w:rPr>
        <w:t xml:space="preserve">. godine iznosi </w:t>
      </w:r>
      <w:r w:rsidRPr="007F0E49">
        <w:rPr>
          <w:rFonts w:ascii="Arial" w:hAnsi="Arial" w:cs="Arial"/>
          <w:b/>
          <w:sz w:val="22"/>
          <w:szCs w:val="22"/>
        </w:rPr>
        <w:t>17.677.409,46</w:t>
      </w:r>
      <w:r w:rsidR="000E69DA" w:rsidRPr="007F0E49">
        <w:rPr>
          <w:rFonts w:ascii="Arial" w:hAnsi="Arial" w:cs="Arial"/>
          <w:b/>
          <w:sz w:val="22"/>
          <w:szCs w:val="22"/>
        </w:rPr>
        <w:t xml:space="preserve"> kn.</w:t>
      </w:r>
    </w:p>
    <w:p w:rsidR="000E69DA" w:rsidRPr="007F0E49" w:rsidRDefault="000E69DA" w:rsidP="006538C0">
      <w:pPr>
        <w:ind w:left="340"/>
        <w:jc w:val="both"/>
        <w:rPr>
          <w:rFonts w:ascii="Arial" w:hAnsi="Arial" w:cs="Arial"/>
          <w:sz w:val="22"/>
          <w:szCs w:val="22"/>
        </w:rPr>
      </w:pPr>
    </w:p>
    <w:p w:rsidR="000E69DA" w:rsidRPr="007F0E49" w:rsidRDefault="000E69DA" w:rsidP="000E69DA">
      <w:pPr>
        <w:pBdr>
          <w:top w:val="single" w:sz="4" w:space="1" w:color="FFFFFF"/>
          <w:left w:val="single" w:sz="4" w:space="4" w:color="FFFFFF"/>
          <w:bottom w:val="single" w:sz="4" w:space="1" w:color="FFFFFF"/>
          <w:right w:val="single" w:sz="4" w:space="4" w:color="FFFFFF"/>
        </w:pBdr>
        <w:jc w:val="both"/>
        <w:rPr>
          <w:rFonts w:ascii="Arial" w:hAnsi="Arial" w:cs="Arial"/>
          <w:b/>
          <w:sz w:val="22"/>
          <w:szCs w:val="22"/>
          <w:u w:val="single"/>
        </w:rPr>
      </w:pPr>
      <w:r w:rsidRPr="007F0E49">
        <w:rPr>
          <w:rFonts w:ascii="Arial" w:hAnsi="Arial" w:cs="Arial"/>
          <w:b/>
          <w:sz w:val="22"/>
          <w:szCs w:val="22"/>
          <w:u w:val="single"/>
          <w:bdr w:val="single" w:sz="4" w:space="0" w:color="FFFFFF"/>
        </w:rPr>
        <w:t xml:space="preserve">Ukupne </w:t>
      </w:r>
      <w:r w:rsidR="00562884" w:rsidRPr="007F0E49">
        <w:rPr>
          <w:rFonts w:ascii="Arial" w:hAnsi="Arial" w:cs="Arial"/>
          <w:b/>
          <w:sz w:val="22"/>
          <w:szCs w:val="22"/>
          <w:u w:val="single"/>
          <w:bdr w:val="single" w:sz="4" w:space="0" w:color="FFFFFF"/>
        </w:rPr>
        <w:t xml:space="preserve">nedospjele </w:t>
      </w:r>
      <w:r w:rsidRPr="007F0E49">
        <w:rPr>
          <w:rFonts w:ascii="Arial" w:hAnsi="Arial" w:cs="Arial"/>
          <w:b/>
          <w:sz w:val="22"/>
          <w:szCs w:val="22"/>
          <w:u w:val="single"/>
          <w:bdr w:val="single" w:sz="4" w:space="0" w:color="FFFFFF"/>
        </w:rPr>
        <w:t xml:space="preserve">obveze za </w:t>
      </w:r>
      <w:r w:rsidR="00562884" w:rsidRPr="007F0E49">
        <w:rPr>
          <w:rFonts w:ascii="Arial" w:hAnsi="Arial" w:cs="Arial"/>
          <w:b/>
          <w:sz w:val="22"/>
          <w:szCs w:val="22"/>
          <w:u w:val="single"/>
          <w:bdr w:val="single" w:sz="4" w:space="0" w:color="FFFFFF"/>
        </w:rPr>
        <w:t xml:space="preserve">dugoročne </w:t>
      </w:r>
      <w:r w:rsidRPr="007F0E49">
        <w:rPr>
          <w:rFonts w:ascii="Arial" w:hAnsi="Arial" w:cs="Arial"/>
          <w:b/>
          <w:sz w:val="22"/>
          <w:szCs w:val="22"/>
          <w:u w:val="single"/>
          <w:bdr w:val="single" w:sz="4" w:space="0" w:color="FFFFFF"/>
        </w:rPr>
        <w:t>kre</w:t>
      </w:r>
      <w:r w:rsidR="00FB06E4" w:rsidRPr="007F0E49">
        <w:rPr>
          <w:rFonts w:ascii="Arial" w:hAnsi="Arial" w:cs="Arial"/>
          <w:b/>
          <w:sz w:val="22"/>
          <w:szCs w:val="22"/>
          <w:u w:val="single"/>
          <w:bdr w:val="single" w:sz="4" w:space="0" w:color="FFFFFF"/>
        </w:rPr>
        <w:t>dite i zajmove</w:t>
      </w:r>
      <w:r w:rsidR="00F97EB5" w:rsidRPr="007F0E49">
        <w:rPr>
          <w:rFonts w:ascii="Arial" w:hAnsi="Arial" w:cs="Arial"/>
          <w:b/>
          <w:sz w:val="22"/>
          <w:szCs w:val="22"/>
          <w:u w:val="single"/>
          <w:bdr w:val="single" w:sz="4" w:space="0" w:color="FFFFFF"/>
        </w:rPr>
        <w:t xml:space="preserve"> </w:t>
      </w:r>
      <w:r w:rsidR="00FB06E4" w:rsidRPr="007F0E49">
        <w:rPr>
          <w:rFonts w:ascii="Arial" w:hAnsi="Arial" w:cs="Arial"/>
          <w:b/>
          <w:sz w:val="22"/>
          <w:szCs w:val="22"/>
          <w:u w:val="single"/>
          <w:bdr w:val="single" w:sz="4" w:space="0" w:color="FFFFFF"/>
        </w:rPr>
        <w:t>na dan 31.</w:t>
      </w:r>
      <w:r w:rsidR="00CA1F92" w:rsidRPr="007F0E49">
        <w:rPr>
          <w:rFonts w:ascii="Arial" w:hAnsi="Arial" w:cs="Arial"/>
          <w:b/>
          <w:sz w:val="22"/>
          <w:szCs w:val="22"/>
          <w:u w:val="single"/>
          <w:bdr w:val="single" w:sz="4" w:space="0" w:color="FFFFFF"/>
        </w:rPr>
        <w:t xml:space="preserve"> prosinca </w:t>
      </w:r>
      <w:r w:rsidR="00FB06E4" w:rsidRPr="007F0E49">
        <w:rPr>
          <w:rFonts w:ascii="Arial" w:hAnsi="Arial" w:cs="Arial"/>
          <w:b/>
          <w:sz w:val="22"/>
          <w:szCs w:val="22"/>
          <w:u w:val="single"/>
          <w:bdr w:val="single" w:sz="4" w:space="0" w:color="FFFFFF"/>
        </w:rPr>
        <w:t>20</w:t>
      </w:r>
      <w:r w:rsidR="001E2304" w:rsidRPr="007F0E49">
        <w:rPr>
          <w:rFonts w:ascii="Arial" w:hAnsi="Arial" w:cs="Arial"/>
          <w:b/>
          <w:sz w:val="22"/>
          <w:szCs w:val="22"/>
          <w:u w:val="single"/>
          <w:bdr w:val="single" w:sz="4" w:space="0" w:color="FFFFFF"/>
        </w:rPr>
        <w:t>22</w:t>
      </w:r>
      <w:r w:rsidR="00FF20E5" w:rsidRPr="007F0E49">
        <w:rPr>
          <w:rFonts w:ascii="Arial" w:hAnsi="Arial" w:cs="Arial"/>
          <w:b/>
          <w:sz w:val="22"/>
          <w:szCs w:val="22"/>
          <w:u w:val="single"/>
          <w:bdr w:val="single" w:sz="4" w:space="0" w:color="FFFFFF"/>
        </w:rPr>
        <w:t xml:space="preserve">. godine iznose </w:t>
      </w:r>
      <w:r w:rsidR="001E2304" w:rsidRPr="007F0E49">
        <w:rPr>
          <w:rFonts w:ascii="Arial" w:hAnsi="Arial" w:cs="Arial"/>
          <w:b/>
          <w:sz w:val="22"/>
          <w:szCs w:val="22"/>
          <w:u w:val="single"/>
          <w:bdr w:val="single" w:sz="4" w:space="0" w:color="FFFFFF"/>
        </w:rPr>
        <w:t>273.784.817,55</w:t>
      </w:r>
      <w:r w:rsidRPr="007F0E49">
        <w:rPr>
          <w:rFonts w:ascii="Arial" w:hAnsi="Arial" w:cs="Arial"/>
          <w:b/>
          <w:sz w:val="22"/>
          <w:szCs w:val="22"/>
          <w:u w:val="single"/>
          <w:bdr w:val="single" w:sz="4" w:space="0" w:color="FFFFFF"/>
        </w:rPr>
        <w:t xml:space="preserve"> kn</w:t>
      </w:r>
      <w:r w:rsidRPr="007F0E49">
        <w:rPr>
          <w:rFonts w:ascii="Arial" w:hAnsi="Arial" w:cs="Arial"/>
          <w:b/>
          <w:sz w:val="22"/>
          <w:szCs w:val="22"/>
          <w:u w:val="single"/>
        </w:rPr>
        <w:t>.</w:t>
      </w:r>
      <w:r w:rsidR="00562884" w:rsidRPr="007F0E49">
        <w:rPr>
          <w:rFonts w:ascii="Arial" w:hAnsi="Arial" w:cs="Arial"/>
          <w:b/>
          <w:sz w:val="22"/>
          <w:szCs w:val="22"/>
          <w:u w:val="single"/>
        </w:rPr>
        <w:t xml:space="preserve"> Dospjelih obveza za kredite i zajmove nema. </w:t>
      </w:r>
    </w:p>
    <w:p w:rsidR="00B1517B" w:rsidRPr="007F0E49" w:rsidRDefault="00B1517B" w:rsidP="000E69DA">
      <w:pPr>
        <w:pBdr>
          <w:top w:val="single" w:sz="4" w:space="1" w:color="FFFFFF"/>
          <w:left w:val="single" w:sz="4" w:space="4" w:color="FFFFFF"/>
          <w:bottom w:val="single" w:sz="4" w:space="1" w:color="FFFFFF"/>
          <w:right w:val="single" w:sz="4" w:space="4" w:color="FFFFFF"/>
        </w:pBdr>
        <w:jc w:val="both"/>
        <w:rPr>
          <w:rFonts w:ascii="Arial" w:hAnsi="Arial" w:cs="Arial"/>
          <w:b/>
          <w:sz w:val="22"/>
          <w:szCs w:val="22"/>
          <w:u w:val="single"/>
        </w:rPr>
      </w:pPr>
    </w:p>
    <w:p w:rsidR="00562884" w:rsidRPr="007F0E49" w:rsidRDefault="00562884" w:rsidP="000E69DA">
      <w:pPr>
        <w:pBdr>
          <w:top w:val="single" w:sz="4" w:space="1" w:color="FFFFFF"/>
          <w:left w:val="single" w:sz="4" w:space="4" w:color="FFFFFF"/>
          <w:bottom w:val="single" w:sz="4" w:space="1" w:color="FFFFFF"/>
          <w:right w:val="single" w:sz="4" w:space="4" w:color="FFFFFF"/>
        </w:pBdr>
        <w:jc w:val="both"/>
        <w:rPr>
          <w:rFonts w:ascii="Arial" w:hAnsi="Arial" w:cs="Arial"/>
          <w:b/>
          <w:sz w:val="22"/>
          <w:szCs w:val="22"/>
          <w:u w:val="single"/>
        </w:rPr>
      </w:pPr>
    </w:p>
    <w:p w:rsidR="00D41060" w:rsidRDefault="00D41060" w:rsidP="000E69DA">
      <w:pPr>
        <w:pBdr>
          <w:top w:val="single" w:sz="4" w:space="1" w:color="FFFFFF"/>
          <w:left w:val="single" w:sz="4" w:space="4" w:color="FFFFFF"/>
          <w:bottom w:val="single" w:sz="4" w:space="1" w:color="FFFFFF"/>
          <w:right w:val="single" w:sz="4" w:space="4" w:color="FFFFFF"/>
        </w:pBdr>
        <w:jc w:val="both"/>
        <w:rPr>
          <w:rFonts w:ascii="Arial" w:hAnsi="Arial" w:cs="Arial"/>
          <w:b/>
          <w:sz w:val="22"/>
          <w:szCs w:val="22"/>
        </w:rPr>
      </w:pPr>
    </w:p>
    <w:p w:rsidR="00D41060" w:rsidRDefault="00D41060" w:rsidP="000E69DA">
      <w:pPr>
        <w:pBdr>
          <w:top w:val="single" w:sz="4" w:space="1" w:color="FFFFFF"/>
          <w:left w:val="single" w:sz="4" w:space="4" w:color="FFFFFF"/>
          <w:bottom w:val="single" w:sz="4" w:space="1" w:color="FFFFFF"/>
          <w:right w:val="single" w:sz="4" w:space="4" w:color="FFFFFF"/>
        </w:pBdr>
        <w:jc w:val="both"/>
        <w:rPr>
          <w:rFonts w:ascii="Arial" w:hAnsi="Arial" w:cs="Arial"/>
          <w:b/>
          <w:sz w:val="22"/>
          <w:szCs w:val="22"/>
        </w:rPr>
      </w:pPr>
    </w:p>
    <w:p w:rsidR="00D41060" w:rsidRDefault="00D41060" w:rsidP="000E69DA">
      <w:pPr>
        <w:pBdr>
          <w:top w:val="single" w:sz="4" w:space="1" w:color="FFFFFF"/>
          <w:left w:val="single" w:sz="4" w:space="4" w:color="FFFFFF"/>
          <w:bottom w:val="single" w:sz="4" w:space="1" w:color="FFFFFF"/>
          <w:right w:val="single" w:sz="4" w:space="4" w:color="FFFFFF"/>
        </w:pBdr>
        <w:jc w:val="both"/>
        <w:rPr>
          <w:rFonts w:ascii="Arial" w:hAnsi="Arial" w:cs="Arial"/>
          <w:b/>
          <w:sz w:val="22"/>
          <w:szCs w:val="22"/>
        </w:rPr>
      </w:pPr>
    </w:p>
    <w:p w:rsidR="00D41060" w:rsidRDefault="00D41060" w:rsidP="000E69DA">
      <w:pPr>
        <w:pBdr>
          <w:top w:val="single" w:sz="4" w:space="1" w:color="FFFFFF"/>
          <w:left w:val="single" w:sz="4" w:space="4" w:color="FFFFFF"/>
          <w:bottom w:val="single" w:sz="4" w:space="1" w:color="FFFFFF"/>
          <w:right w:val="single" w:sz="4" w:space="4" w:color="FFFFFF"/>
        </w:pBdr>
        <w:jc w:val="both"/>
        <w:rPr>
          <w:rFonts w:ascii="Arial" w:hAnsi="Arial" w:cs="Arial"/>
          <w:b/>
          <w:sz w:val="22"/>
          <w:szCs w:val="22"/>
        </w:rPr>
      </w:pPr>
    </w:p>
    <w:p w:rsidR="00D41060" w:rsidRDefault="00D41060" w:rsidP="000E69DA">
      <w:pPr>
        <w:pBdr>
          <w:top w:val="single" w:sz="4" w:space="1" w:color="FFFFFF"/>
          <w:left w:val="single" w:sz="4" w:space="4" w:color="FFFFFF"/>
          <w:bottom w:val="single" w:sz="4" w:space="1" w:color="FFFFFF"/>
          <w:right w:val="single" w:sz="4" w:space="4" w:color="FFFFFF"/>
        </w:pBdr>
        <w:jc w:val="both"/>
        <w:rPr>
          <w:rFonts w:ascii="Arial" w:hAnsi="Arial" w:cs="Arial"/>
          <w:b/>
          <w:sz w:val="22"/>
          <w:szCs w:val="22"/>
        </w:rPr>
      </w:pPr>
    </w:p>
    <w:p w:rsidR="00F030D7" w:rsidRPr="007F0E49" w:rsidRDefault="00F030D7" w:rsidP="000E69DA">
      <w:pPr>
        <w:pBdr>
          <w:top w:val="single" w:sz="4" w:space="1" w:color="FFFFFF"/>
          <w:left w:val="single" w:sz="4" w:space="4" w:color="FFFFFF"/>
          <w:bottom w:val="single" w:sz="4" w:space="1" w:color="FFFFFF"/>
          <w:right w:val="single" w:sz="4" w:space="4" w:color="FFFFFF"/>
        </w:pBdr>
        <w:jc w:val="both"/>
        <w:rPr>
          <w:rFonts w:ascii="Arial" w:hAnsi="Arial" w:cs="Arial"/>
          <w:b/>
          <w:sz w:val="22"/>
          <w:szCs w:val="22"/>
        </w:rPr>
      </w:pPr>
      <w:r w:rsidRPr="007F0E49">
        <w:rPr>
          <w:rFonts w:ascii="Arial" w:hAnsi="Arial" w:cs="Arial"/>
          <w:b/>
          <w:sz w:val="22"/>
          <w:szCs w:val="22"/>
        </w:rPr>
        <w:lastRenderedPageBreak/>
        <w:t xml:space="preserve">Primljeni </w:t>
      </w:r>
      <w:r w:rsidR="00DC2474" w:rsidRPr="007F0E49">
        <w:rPr>
          <w:rFonts w:ascii="Arial" w:hAnsi="Arial" w:cs="Arial"/>
          <w:b/>
          <w:sz w:val="22"/>
          <w:szCs w:val="22"/>
        </w:rPr>
        <w:t>beskamatni</w:t>
      </w:r>
      <w:r w:rsidRPr="007F0E49">
        <w:rPr>
          <w:rFonts w:ascii="Arial" w:hAnsi="Arial" w:cs="Arial"/>
          <w:b/>
          <w:sz w:val="22"/>
          <w:szCs w:val="22"/>
        </w:rPr>
        <w:t xml:space="preserve"> zajmovi:</w:t>
      </w:r>
    </w:p>
    <w:p w:rsidR="00CA1F92" w:rsidRPr="007F0E49" w:rsidRDefault="00CA1F92" w:rsidP="000E69DA">
      <w:pPr>
        <w:pBdr>
          <w:top w:val="single" w:sz="4" w:space="1" w:color="FFFFFF"/>
          <w:left w:val="single" w:sz="4" w:space="4" w:color="FFFFFF"/>
          <w:bottom w:val="single" w:sz="4" w:space="1" w:color="FFFFFF"/>
          <w:right w:val="single" w:sz="4" w:space="4" w:color="FFFFFF"/>
        </w:pBdr>
        <w:jc w:val="both"/>
        <w:rPr>
          <w:rFonts w:ascii="Arial" w:hAnsi="Arial" w:cs="Arial"/>
          <w:b/>
          <w:sz w:val="22"/>
          <w:szCs w:val="22"/>
          <w:u w:val="single"/>
        </w:rPr>
      </w:pPr>
    </w:p>
    <w:p w:rsidR="00CA1F92" w:rsidRPr="007F0E49" w:rsidRDefault="00EA694F" w:rsidP="00CA1F92">
      <w:pPr>
        <w:pStyle w:val="ListParagraph"/>
        <w:keepNext/>
        <w:numPr>
          <w:ilvl w:val="0"/>
          <w:numId w:val="7"/>
        </w:numPr>
        <w:jc w:val="both"/>
        <w:outlineLvl w:val="3"/>
        <w:rPr>
          <w:rFonts w:ascii="Arial" w:hAnsi="Arial" w:cs="Arial"/>
          <w:bCs/>
          <w:sz w:val="22"/>
          <w:szCs w:val="22"/>
        </w:rPr>
      </w:pPr>
      <w:r w:rsidRPr="007F0E49">
        <w:rPr>
          <w:rFonts w:ascii="Arial" w:hAnsi="Arial" w:cs="Arial"/>
          <w:b/>
          <w:bCs/>
          <w:sz w:val="22"/>
          <w:szCs w:val="22"/>
        </w:rPr>
        <w:t xml:space="preserve">Beskamatni zajam </w:t>
      </w:r>
      <w:r w:rsidR="00E76F52" w:rsidRPr="007F0E49">
        <w:rPr>
          <w:rFonts w:ascii="Arial" w:hAnsi="Arial" w:cs="Arial"/>
          <w:b/>
          <w:sz w:val="22"/>
          <w:szCs w:val="22"/>
          <w:shd w:val="clear" w:color="auto" w:fill="FFFFFF"/>
        </w:rPr>
        <w:t>jedinicama lokalne i područne (regionalne) samouprave</w:t>
      </w:r>
    </w:p>
    <w:p w:rsidR="00CA1F92" w:rsidRPr="007F0E49" w:rsidRDefault="00CA1F92" w:rsidP="00CA1F92">
      <w:pPr>
        <w:pStyle w:val="ListParagraph"/>
        <w:keepNext/>
        <w:ind w:left="360"/>
        <w:jc w:val="both"/>
        <w:outlineLvl w:val="3"/>
        <w:rPr>
          <w:rFonts w:ascii="Arial" w:hAnsi="Arial" w:cs="Arial"/>
          <w:bCs/>
          <w:sz w:val="22"/>
          <w:szCs w:val="22"/>
        </w:rPr>
      </w:pPr>
    </w:p>
    <w:p w:rsidR="00F70727" w:rsidRPr="007F0E49" w:rsidRDefault="00F70727" w:rsidP="00F70727">
      <w:pPr>
        <w:pStyle w:val="ListParagraph"/>
        <w:keepNext/>
        <w:ind w:left="360"/>
        <w:jc w:val="both"/>
        <w:outlineLvl w:val="3"/>
        <w:rPr>
          <w:rFonts w:ascii="Arial" w:hAnsi="Arial" w:cs="Arial"/>
          <w:sz w:val="22"/>
          <w:szCs w:val="22"/>
        </w:rPr>
      </w:pPr>
      <w:r w:rsidRPr="007F0E49">
        <w:rPr>
          <w:rFonts w:ascii="Arial" w:hAnsi="Arial" w:cs="Arial"/>
          <w:sz w:val="22"/>
          <w:szCs w:val="22"/>
        </w:rPr>
        <w:t>U sklopu ekonomskih mjera Vlada RH donesenim u 2020. godini za pomoć poduzetnicima čija je poslovna aktivnost bila smanjena uslijed pandemije koronavirusa COVID-19, omogućena je odgoda i/ili obročna otplata nastalih i/ili dospjelih poreznih obveza, te mogućnost oslobođenja poreznih obveznika od podmirenja poreznih obveza u cijelosti ili djelomično.</w:t>
      </w:r>
    </w:p>
    <w:p w:rsidR="00F70727" w:rsidRPr="007F0E49" w:rsidRDefault="00F70727" w:rsidP="00F70727">
      <w:pPr>
        <w:pStyle w:val="ListParagraph"/>
        <w:keepNext/>
        <w:ind w:left="360"/>
        <w:jc w:val="both"/>
        <w:outlineLvl w:val="3"/>
        <w:rPr>
          <w:rFonts w:ascii="Arial" w:hAnsi="Arial" w:cs="Arial"/>
          <w:sz w:val="22"/>
          <w:szCs w:val="22"/>
        </w:rPr>
      </w:pPr>
      <w:r w:rsidRPr="007F0E49">
        <w:rPr>
          <w:rFonts w:ascii="Arial" w:hAnsi="Arial" w:cs="Arial"/>
          <w:sz w:val="22"/>
          <w:szCs w:val="22"/>
        </w:rPr>
        <w:t xml:space="preserve">S obzirom da su navedene mjere značajno utjecale na smanjenje prihoda od poreza i prireza na dohodak JLP(R)S, ministar financija je donio Naputak o načinu isplate beskamatnog zajma jedinicama lokalne i područne (regionalne) samouprave, HZMO-u i HZZO-U (Narodne novine“ broj 46/20,135/20, 5/21 i 73/21), dalje u tekstu: Naputak, kojim je JLP(R)S dana mogućnost uzimanja kratkoročnog beskamatnog zajma do visine poreza na dohodak i prireza porezu na dohodak čije je plaćanje oslobođeno, odgođeno i/ili je odobrena obročna otplata odnosno do visine izvršenog povrata po godišnjem obračunu poreza na dohodak. </w:t>
      </w:r>
    </w:p>
    <w:p w:rsidR="00F70727" w:rsidRPr="007F0E49" w:rsidRDefault="00F70727" w:rsidP="00F70727">
      <w:pPr>
        <w:pStyle w:val="ListParagraph"/>
        <w:keepNext/>
        <w:ind w:left="360"/>
        <w:jc w:val="both"/>
        <w:outlineLvl w:val="3"/>
        <w:rPr>
          <w:rFonts w:ascii="Arial" w:hAnsi="Arial" w:cs="Arial"/>
          <w:sz w:val="22"/>
          <w:szCs w:val="22"/>
        </w:rPr>
      </w:pPr>
      <w:r w:rsidRPr="007F0E49">
        <w:rPr>
          <w:rFonts w:ascii="Arial" w:hAnsi="Arial" w:cs="Arial"/>
          <w:sz w:val="22"/>
          <w:szCs w:val="22"/>
        </w:rPr>
        <w:t>Temeljem Naputka, Grad Rijeka je zbog umanjenja negativnih ekonomskih posljedica epidemije korona virusa (COVID 19), a radi zadržavanja likvidnosti i stabilnosti Proračuna Grada Rijeke za 2020. godinu, podnio u travnju 2020. godine zahtjev za beskamatni zajam te je u 2020. godini primio sredstva kratkoročnog zajma Ministarstva financija u iznosu od 17.898.577,15 kn, koji se odnosio na zajam isplaćen na ime poreza na dohodak i prireza porezu na dohodak čije je plaćanje odgođeno i/ili je odobrena obročna otplata. Povrat dijela beskamatnog zajma s osnove poreza i prireza na dohodak čije je plaćanje odgođeno i/ili je odobr</w:t>
      </w:r>
      <w:r w:rsidR="00AF3491" w:rsidRPr="007F0E49">
        <w:rPr>
          <w:rFonts w:ascii="Arial" w:hAnsi="Arial" w:cs="Arial"/>
          <w:sz w:val="22"/>
          <w:szCs w:val="22"/>
        </w:rPr>
        <w:t xml:space="preserve">ena obročna otplata izvršava se </w:t>
      </w:r>
      <w:r w:rsidRPr="007F0E49">
        <w:rPr>
          <w:rFonts w:ascii="Arial" w:hAnsi="Arial" w:cs="Arial"/>
          <w:sz w:val="22"/>
          <w:szCs w:val="22"/>
        </w:rPr>
        <w:t xml:space="preserve">od 2020. godine </w:t>
      </w:r>
      <w:r w:rsidR="00EE6A86" w:rsidRPr="007F0E49">
        <w:rPr>
          <w:rFonts w:ascii="Arial" w:hAnsi="Arial" w:cs="Arial"/>
          <w:sz w:val="22"/>
          <w:szCs w:val="22"/>
        </w:rPr>
        <w:t xml:space="preserve">izravnom </w:t>
      </w:r>
      <w:r w:rsidR="00AF3491" w:rsidRPr="007F0E49">
        <w:rPr>
          <w:rFonts w:ascii="Arial" w:hAnsi="Arial" w:cs="Arial"/>
          <w:sz w:val="22"/>
          <w:szCs w:val="22"/>
        </w:rPr>
        <w:t xml:space="preserve">naplatom sa </w:t>
      </w:r>
      <w:r w:rsidR="00EE6A86" w:rsidRPr="007F0E49">
        <w:rPr>
          <w:rFonts w:ascii="Arial" w:hAnsi="Arial" w:cs="Arial"/>
          <w:sz w:val="22"/>
          <w:szCs w:val="22"/>
        </w:rPr>
        <w:t>z</w:t>
      </w:r>
      <w:r w:rsidR="00AF3491" w:rsidRPr="007F0E49">
        <w:rPr>
          <w:rFonts w:ascii="Arial" w:hAnsi="Arial" w:cs="Arial"/>
          <w:sz w:val="22"/>
          <w:szCs w:val="22"/>
        </w:rPr>
        <w:t xml:space="preserve">ajedničkog računa </w:t>
      </w:r>
      <w:r w:rsidR="00F44C4B" w:rsidRPr="007F0E49">
        <w:rPr>
          <w:rFonts w:ascii="Arial" w:hAnsi="Arial" w:cs="Arial"/>
          <w:sz w:val="22"/>
          <w:szCs w:val="22"/>
        </w:rPr>
        <w:t>p</w:t>
      </w:r>
      <w:r w:rsidR="00AF3491" w:rsidRPr="007F0E49">
        <w:rPr>
          <w:rFonts w:ascii="Arial" w:hAnsi="Arial" w:cs="Arial"/>
          <w:sz w:val="22"/>
          <w:szCs w:val="22"/>
        </w:rPr>
        <w:t>oreza i prireza na dohodak</w:t>
      </w:r>
      <w:r w:rsidR="00EE6A86" w:rsidRPr="007F0E49">
        <w:rPr>
          <w:rFonts w:ascii="Arial" w:hAnsi="Arial" w:cs="Arial"/>
          <w:sz w:val="22"/>
          <w:szCs w:val="22"/>
        </w:rPr>
        <w:t xml:space="preserve">. U prosincu 2022. godine podmireno je preostalo dugovanje u iznosu od  7.047.445,42 kn čime je ovaj beskamatni zajam </w:t>
      </w:r>
      <w:r w:rsidRPr="00D41060">
        <w:rPr>
          <w:rFonts w:ascii="Arial" w:hAnsi="Arial" w:cs="Arial"/>
          <w:sz w:val="22"/>
          <w:szCs w:val="22"/>
          <w:u w:val="single"/>
        </w:rPr>
        <w:t>u cijelosti otplaćen</w:t>
      </w:r>
      <w:r w:rsidRPr="007F0E49">
        <w:rPr>
          <w:rFonts w:ascii="Arial" w:hAnsi="Arial" w:cs="Arial"/>
          <w:sz w:val="22"/>
          <w:szCs w:val="22"/>
        </w:rPr>
        <w:t>.</w:t>
      </w:r>
    </w:p>
    <w:p w:rsidR="00F44C4B" w:rsidRPr="007F0E49" w:rsidRDefault="00F44C4B" w:rsidP="00CA5A9D">
      <w:pPr>
        <w:pStyle w:val="ListParagraph"/>
        <w:keepNext/>
        <w:ind w:left="360"/>
        <w:jc w:val="both"/>
        <w:outlineLvl w:val="3"/>
        <w:rPr>
          <w:rFonts w:ascii="Arial" w:hAnsi="Arial" w:cs="Arial"/>
          <w:sz w:val="22"/>
          <w:szCs w:val="22"/>
        </w:rPr>
      </w:pPr>
    </w:p>
    <w:p w:rsidR="00135879" w:rsidRPr="007F0E49" w:rsidRDefault="00F44C4B" w:rsidP="00CA5A9D">
      <w:pPr>
        <w:pStyle w:val="ListParagraph"/>
        <w:keepNext/>
        <w:ind w:left="360"/>
        <w:jc w:val="both"/>
        <w:outlineLvl w:val="3"/>
        <w:rPr>
          <w:rFonts w:ascii="Arial" w:hAnsi="Arial" w:cs="Arial"/>
          <w:sz w:val="22"/>
          <w:szCs w:val="22"/>
        </w:rPr>
      </w:pPr>
      <w:r w:rsidRPr="007F0E49">
        <w:rPr>
          <w:rFonts w:ascii="Arial" w:hAnsi="Arial" w:cs="Arial"/>
          <w:sz w:val="22"/>
          <w:szCs w:val="22"/>
        </w:rPr>
        <w:t xml:space="preserve">Budući su i u ovoj godini povećani </w:t>
      </w:r>
      <w:r w:rsidR="00B32CEE" w:rsidRPr="007F0E49">
        <w:rPr>
          <w:rFonts w:ascii="Arial" w:hAnsi="Arial" w:cs="Arial"/>
          <w:sz w:val="22"/>
          <w:szCs w:val="22"/>
        </w:rPr>
        <w:t>i</w:t>
      </w:r>
      <w:r w:rsidR="00135879" w:rsidRPr="007F0E49">
        <w:rPr>
          <w:rFonts w:ascii="Arial" w:hAnsi="Arial" w:cs="Arial"/>
          <w:sz w:val="22"/>
          <w:szCs w:val="22"/>
        </w:rPr>
        <w:t>znos</w:t>
      </w:r>
      <w:r w:rsidRPr="007F0E49">
        <w:rPr>
          <w:rFonts w:ascii="Arial" w:hAnsi="Arial" w:cs="Arial"/>
          <w:sz w:val="22"/>
          <w:szCs w:val="22"/>
        </w:rPr>
        <w:t>i</w:t>
      </w:r>
      <w:r w:rsidR="00B32CEE" w:rsidRPr="007F0E49">
        <w:rPr>
          <w:rFonts w:ascii="Arial" w:hAnsi="Arial" w:cs="Arial"/>
          <w:sz w:val="22"/>
          <w:szCs w:val="22"/>
        </w:rPr>
        <w:t xml:space="preserve"> za </w:t>
      </w:r>
      <w:r w:rsidR="00135879" w:rsidRPr="007F0E49">
        <w:rPr>
          <w:rFonts w:ascii="Arial" w:hAnsi="Arial" w:cs="Arial"/>
          <w:sz w:val="22"/>
          <w:szCs w:val="22"/>
        </w:rPr>
        <w:t>povrat poreza i prireza na dohodak temeljem</w:t>
      </w:r>
      <w:r w:rsidR="00544C1D" w:rsidRPr="007F0E49">
        <w:rPr>
          <w:rFonts w:ascii="Arial" w:hAnsi="Arial" w:cs="Arial"/>
          <w:sz w:val="22"/>
          <w:szCs w:val="22"/>
        </w:rPr>
        <w:t xml:space="preserve"> </w:t>
      </w:r>
      <w:r w:rsidR="00135879" w:rsidRPr="007F0E49">
        <w:rPr>
          <w:rFonts w:ascii="Arial" w:hAnsi="Arial" w:cs="Arial"/>
          <w:sz w:val="22"/>
          <w:szCs w:val="22"/>
        </w:rPr>
        <w:t>godišnje prijave za 2021. godinu</w:t>
      </w:r>
      <w:r w:rsidR="00B32CEE" w:rsidRPr="007F0E49">
        <w:rPr>
          <w:rFonts w:ascii="Arial" w:hAnsi="Arial" w:cs="Arial"/>
          <w:sz w:val="22"/>
          <w:szCs w:val="22"/>
        </w:rPr>
        <w:t xml:space="preserve">, na koje povećanje </w:t>
      </w:r>
      <w:r w:rsidR="00135879" w:rsidRPr="007F0E49">
        <w:rPr>
          <w:rFonts w:ascii="Arial" w:hAnsi="Arial" w:cs="Arial"/>
          <w:sz w:val="22"/>
          <w:szCs w:val="22"/>
        </w:rPr>
        <w:t xml:space="preserve">utječe povrat poreza i prireza za mlade zaposlene osobe do 30 godina života, ministar financija </w:t>
      </w:r>
      <w:r w:rsidR="00B32CEE" w:rsidRPr="007F0E49">
        <w:rPr>
          <w:rFonts w:ascii="Arial" w:hAnsi="Arial" w:cs="Arial"/>
          <w:sz w:val="22"/>
          <w:szCs w:val="22"/>
        </w:rPr>
        <w:t>d</w:t>
      </w:r>
      <w:r w:rsidR="00135879" w:rsidRPr="007F0E49">
        <w:rPr>
          <w:rFonts w:ascii="Arial" w:hAnsi="Arial" w:cs="Arial"/>
          <w:sz w:val="22"/>
          <w:szCs w:val="22"/>
        </w:rPr>
        <w:t>on</w:t>
      </w:r>
      <w:r w:rsidR="00B32CEE" w:rsidRPr="007F0E49">
        <w:rPr>
          <w:rFonts w:ascii="Arial" w:hAnsi="Arial" w:cs="Arial"/>
          <w:sz w:val="22"/>
          <w:szCs w:val="22"/>
        </w:rPr>
        <w:t>osi</w:t>
      </w:r>
      <w:r w:rsidR="00135879" w:rsidRPr="007F0E49">
        <w:rPr>
          <w:rFonts w:ascii="Arial" w:hAnsi="Arial" w:cs="Arial"/>
          <w:sz w:val="22"/>
          <w:szCs w:val="22"/>
        </w:rPr>
        <w:t xml:space="preserve"> Naputak</w:t>
      </w:r>
      <w:r w:rsidR="00494933" w:rsidRPr="007F0E49">
        <w:rPr>
          <w:rFonts w:ascii="Arial" w:hAnsi="Arial" w:cs="Arial"/>
          <w:sz w:val="22"/>
          <w:szCs w:val="22"/>
        </w:rPr>
        <w:t xml:space="preserve"> o načinu uplaćivanja prihoda proračuna, obveznih doprinosa te prihoda za financiranje drugih </w:t>
      </w:r>
      <w:r w:rsidR="00CC06E5" w:rsidRPr="007F0E49">
        <w:rPr>
          <w:rFonts w:ascii="Arial" w:hAnsi="Arial" w:cs="Arial"/>
          <w:sz w:val="22"/>
          <w:szCs w:val="22"/>
        </w:rPr>
        <w:t>javnih potreba u 2022. godini (</w:t>
      </w:r>
      <w:r w:rsidR="00494933" w:rsidRPr="007F0E49">
        <w:rPr>
          <w:rFonts w:ascii="Arial" w:hAnsi="Arial" w:cs="Arial"/>
          <w:sz w:val="22"/>
          <w:szCs w:val="22"/>
        </w:rPr>
        <w:t xml:space="preserve">„Narodne novine“ broj 15/22, 18/22 i 50/22) kojim je utvrđeno da ukoliko na zajedničkom računu poreza i prireza na dohodak nema dovoljno sredstava za izvršenje povrata po godišnjoj prijavi nedostajuća </w:t>
      </w:r>
      <w:r w:rsidR="006B6B5C" w:rsidRPr="007F0E49">
        <w:rPr>
          <w:rFonts w:ascii="Arial" w:hAnsi="Arial" w:cs="Arial"/>
          <w:sz w:val="22"/>
          <w:szCs w:val="22"/>
        </w:rPr>
        <w:t xml:space="preserve">će se </w:t>
      </w:r>
      <w:r w:rsidR="00494933" w:rsidRPr="007F0E49">
        <w:rPr>
          <w:rFonts w:ascii="Arial" w:hAnsi="Arial" w:cs="Arial"/>
          <w:sz w:val="22"/>
          <w:szCs w:val="22"/>
        </w:rPr>
        <w:t>sredstva za povrat namiriti na teret računa državnog proračuna. Naputkom je</w:t>
      </w:r>
      <w:r w:rsidR="006B6B5C" w:rsidRPr="007F0E49">
        <w:rPr>
          <w:rFonts w:ascii="Arial" w:hAnsi="Arial" w:cs="Arial"/>
          <w:sz w:val="22"/>
          <w:szCs w:val="22"/>
        </w:rPr>
        <w:t>,</w:t>
      </w:r>
      <w:r w:rsidR="00494933" w:rsidRPr="007F0E49">
        <w:rPr>
          <w:rFonts w:ascii="Arial" w:hAnsi="Arial" w:cs="Arial"/>
          <w:sz w:val="22"/>
          <w:szCs w:val="22"/>
        </w:rPr>
        <w:t xml:space="preserve"> nadalje utvrđeno da će se nedostajuća sredstva za izvršenje povrata po godišnjoj prijavi za 2021. godinu vraćati na račun državnog proračuna u visini 25% raspoloživih sredstava na zajedničkom računu</w:t>
      </w:r>
      <w:r w:rsidR="00CC06E5" w:rsidRPr="007F0E49">
        <w:rPr>
          <w:rFonts w:ascii="Arial" w:hAnsi="Arial" w:cs="Arial"/>
          <w:sz w:val="22"/>
          <w:szCs w:val="22"/>
        </w:rPr>
        <w:t xml:space="preserve"> </w:t>
      </w:r>
      <w:r w:rsidR="00494933" w:rsidRPr="007F0E49">
        <w:rPr>
          <w:rFonts w:ascii="Arial" w:hAnsi="Arial" w:cs="Arial"/>
          <w:sz w:val="22"/>
          <w:szCs w:val="22"/>
        </w:rPr>
        <w:t>poreza i prireza na dohodak počevši od 1.</w:t>
      </w:r>
      <w:r w:rsidR="006B6B5C" w:rsidRPr="007F0E49">
        <w:rPr>
          <w:rFonts w:ascii="Arial" w:hAnsi="Arial" w:cs="Arial"/>
          <w:sz w:val="22"/>
          <w:szCs w:val="22"/>
        </w:rPr>
        <w:t xml:space="preserve"> </w:t>
      </w:r>
      <w:r w:rsidR="00494933" w:rsidRPr="007F0E49">
        <w:rPr>
          <w:rFonts w:ascii="Arial" w:hAnsi="Arial" w:cs="Arial"/>
          <w:sz w:val="22"/>
          <w:szCs w:val="22"/>
        </w:rPr>
        <w:t>kolovoza do 31. prosinca 2022. godine.</w:t>
      </w:r>
    </w:p>
    <w:p w:rsidR="00494933" w:rsidRPr="007F0E49" w:rsidRDefault="00494933" w:rsidP="00CA5A9D">
      <w:pPr>
        <w:pStyle w:val="ListParagraph"/>
        <w:keepNext/>
        <w:ind w:left="360"/>
        <w:jc w:val="both"/>
        <w:outlineLvl w:val="3"/>
        <w:rPr>
          <w:rFonts w:ascii="Arial" w:hAnsi="Arial" w:cs="Arial"/>
          <w:sz w:val="22"/>
          <w:szCs w:val="22"/>
        </w:rPr>
      </w:pPr>
      <w:r w:rsidRPr="007F0E49">
        <w:rPr>
          <w:rFonts w:ascii="Arial" w:hAnsi="Arial" w:cs="Arial"/>
          <w:sz w:val="22"/>
          <w:szCs w:val="22"/>
        </w:rPr>
        <w:t>U izvještajnom razdoblju, sredstva namirenja na teret državnog proračuna u svrhu isplate poreza i prireza po godišnjoj prijavi za 2021. godinu</w:t>
      </w:r>
      <w:r w:rsidR="006B6B5C" w:rsidRPr="007F0E49">
        <w:rPr>
          <w:rFonts w:ascii="Arial" w:hAnsi="Arial" w:cs="Arial"/>
          <w:sz w:val="22"/>
          <w:szCs w:val="22"/>
        </w:rPr>
        <w:t xml:space="preserve">, u visini od </w:t>
      </w:r>
      <w:r w:rsidRPr="007F0E49">
        <w:rPr>
          <w:rFonts w:ascii="Arial" w:hAnsi="Arial" w:cs="Arial"/>
          <w:sz w:val="22"/>
          <w:szCs w:val="22"/>
        </w:rPr>
        <w:t>22.333.589,57 kuna</w:t>
      </w:r>
      <w:r w:rsidR="006B6B5C" w:rsidRPr="007F0E49">
        <w:rPr>
          <w:rFonts w:ascii="Arial" w:hAnsi="Arial" w:cs="Arial"/>
          <w:sz w:val="22"/>
          <w:szCs w:val="22"/>
        </w:rPr>
        <w:t>,</w:t>
      </w:r>
      <w:r w:rsidRPr="007F0E49">
        <w:rPr>
          <w:rFonts w:ascii="Arial" w:hAnsi="Arial" w:cs="Arial"/>
          <w:sz w:val="22"/>
          <w:szCs w:val="22"/>
        </w:rPr>
        <w:t xml:space="preserve"> </w:t>
      </w:r>
      <w:r w:rsidR="00B32CEE" w:rsidRPr="007F0E49">
        <w:rPr>
          <w:rFonts w:ascii="Arial" w:hAnsi="Arial" w:cs="Arial"/>
          <w:sz w:val="22"/>
          <w:szCs w:val="22"/>
        </w:rPr>
        <w:t>evidentira</w:t>
      </w:r>
      <w:r w:rsidR="00F44C4B" w:rsidRPr="007F0E49">
        <w:rPr>
          <w:rFonts w:ascii="Arial" w:hAnsi="Arial" w:cs="Arial"/>
          <w:sz w:val="22"/>
          <w:szCs w:val="22"/>
        </w:rPr>
        <w:t>na su</w:t>
      </w:r>
      <w:r w:rsidR="00B32CEE" w:rsidRPr="007F0E49">
        <w:rPr>
          <w:rFonts w:ascii="Arial" w:hAnsi="Arial" w:cs="Arial"/>
          <w:sz w:val="22"/>
          <w:szCs w:val="22"/>
        </w:rPr>
        <w:t xml:space="preserve"> u skladu s </w:t>
      </w:r>
      <w:r w:rsidR="006B6B5C" w:rsidRPr="007F0E49">
        <w:rPr>
          <w:rFonts w:ascii="Arial" w:hAnsi="Arial" w:cs="Arial"/>
          <w:sz w:val="22"/>
          <w:szCs w:val="22"/>
        </w:rPr>
        <w:t>Uput</w:t>
      </w:r>
      <w:r w:rsidR="00B32CEE" w:rsidRPr="007F0E49">
        <w:rPr>
          <w:rFonts w:ascii="Arial" w:hAnsi="Arial" w:cs="Arial"/>
          <w:sz w:val="22"/>
          <w:szCs w:val="22"/>
        </w:rPr>
        <w:t>om</w:t>
      </w:r>
      <w:r w:rsidR="006B6B5C" w:rsidRPr="007F0E49">
        <w:rPr>
          <w:rFonts w:ascii="Arial" w:hAnsi="Arial" w:cs="Arial"/>
          <w:sz w:val="22"/>
          <w:szCs w:val="22"/>
        </w:rPr>
        <w:t xml:space="preserve"> Ministarstva financija</w:t>
      </w:r>
      <w:r w:rsidRPr="007F0E49">
        <w:rPr>
          <w:rFonts w:ascii="Arial" w:hAnsi="Arial" w:cs="Arial"/>
          <w:sz w:val="22"/>
          <w:szCs w:val="22"/>
        </w:rPr>
        <w:t xml:space="preserve"> </w:t>
      </w:r>
      <w:r w:rsidR="00A5536A" w:rsidRPr="007F0E49">
        <w:rPr>
          <w:rFonts w:ascii="Arial" w:hAnsi="Arial" w:cs="Arial"/>
          <w:sz w:val="22"/>
          <w:szCs w:val="22"/>
        </w:rPr>
        <w:t>kao obvez</w:t>
      </w:r>
      <w:r w:rsidR="00F44C4B" w:rsidRPr="007F0E49">
        <w:rPr>
          <w:rFonts w:ascii="Arial" w:hAnsi="Arial" w:cs="Arial"/>
          <w:sz w:val="22"/>
          <w:szCs w:val="22"/>
        </w:rPr>
        <w:t xml:space="preserve">a </w:t>
      </w:r>
      <w:r w:rsidR="00A5536A" w:rsidRPr="007F0E49">
        <w:rPr>
          <w:rFonts w:ascii="Arial" w:hAnsi="Arial" w:cs="Arial"/>
          <w:sz w:val="22"/>
          <w:szCs w:val="22"/>
        </w:rPr>
        <w:t xml:space="preserve">za kratkoročni zajam </w:t>
      </w:r>
      <w:r w:rsidR="006B6B5C" w:rsidRPr="007F0E49">
        <w:rPr>
          <w:rFonts w:ascii="Arial" w:hAnsi="Arial" w:cs="Arial"/>
          <w:sz w:val="22"/>
          <w:szCs w:val="22"/>
        </w:rPr>
        <w:t xml:space="preserve">i </w:t>
      </w:r>
      <w:r w:rsidR="0008712D" w:rsidRPr="007F0E49">
        <w:rPr>
          <w:rFonts w:ascii="Arial" w:hAnsi="Arial" w:cs="Arial"/>
          <w:sz w:val="22"/>
          <w:szCs w:val="22"/>
        </w:rPr>
        <w:t xml:space="preserve">do </w:t>
      </w:r>
      <w:r w:rsidR="00A5536A" w:rsidRPr="007F0E49">
        <w:rPr>
          <w:rFonts w:ascii="Arial" w:hAnsi="Arial" w:cs="Arial"/>
          <w:sz w:val="22"/>
          <w:szCs w:val="22"/>
        </w:rPr>
        <w:t>kraja 2022. godine</w:t>
      </w:r>
      <w:r w:rsidR="00CC06E5" w:rsidRPr="007F0E49">
        <w:rPr>
          <w:rFonts w:ascii="Arial" w:hAnsi="Arial" w:cs="Arial"/>
          <w:sz w:val="22"/>
          <w:szCs w:val="22"/>
        </w:rPr>
        <w:t xml:space="preserve"> </w:t>
      </w:r>
      <w:r w:rsidR="00A5536A" w:rsidRPr="00D41060">
        <w:rPr>
          <w:rFonts w:ascii="Arial" w:hAnsi="Arial" w:cs="Arial"/>
          <w:sz w:val="22"/>
          <w:szCs w:val="22"/>
          <w:u w:val="single"/>
        </w:rPr>
        <w:t xml:space="preserve">u cijelosti </w:t>
      </w:r>
      <w:r w:rsidR="00F44C4B" w:rsidRPr="00D41060">
        <w:rPr>
          <w:rFonts w:ascii="Arial" w:hAnsi="Arial" w:cs="Arial"/>
          <w:sz w:val="22"/>
          <w:szCs w:val="22"/>
          <w:u w:val="single"/>
        </w:rPr>
        <w:t xml:space="preserve">su </w:t>
      </w:r>
      <w:r w:rsidR="00A5536A" w:rsidRPr="00D41060">
        <w:rPr>
          <w:rFonts w:ascii="Arial" w:hAnsi="Arial" w:cs="Arial"/>
          <w:sz w:val="22"/>
          <w:szCs w:val="22"/>
          <w:u w:val="single"/>
        </w:rPr>
        <w:t>vraćena</w:t>
      </w:r>
      <w:r w:rsidR="00A5536A" w:rsidRPr="007F0E49">
        <w:rPr>
          <w:rFonts w:ascii="Arial" w:hAnsi="Arial" w:cs="Arial"/>
          <w:sz w:val="22"/>
          <w:szCs w:val="22"/>
        </w:rPr>
        <w:t>.</w:t>
      </w:r>
    </w:p>
    <w:p w:rsidR="001B1081" w:rsidRPr="007F0E49" w:rsidRDefault="001B1081" w:rsidP="00CA5A9D">
      <w:pPr>
        <w:pStyle w:val="ListParagraph"/>
        <w:keepNext/>
        <w:ind w:left="360"/>
        <w:jc w:val="both"/>
        <w:outlineLvl w:val="3"/>
        <w:rPr>
          <w:rFonts w:ascii="Arial" w:hAnsi="Arial" w:cs="Arial"/>
          <w:sz w:val="22"/>
          <w:szCs w:val="22"/>
        </w:rPr>
      </w:pPr>
    </w:p>
    <w:p w:rsidR="0028066E" w:rsidRPr="007F0E49" w:rsidRDefault="0028066E" w:rsidP="000E69DA">
      <w:pPr>
        <w:jc w:val="both"/>
        <w:rPr>
          <w:rFonts w:ascii="Arial" w:hAnsi="Arial" w:cs="Arial"/>
          <w:b/>
          <w:sz w:val="22"/>
          <w:szCs w:val="22"/>
          <w:u w:val="single"/>
          <w:bdr w:val="single" w:sz="4" w:space="0" w:color="FFFFFF"/>
        </w:rPr>
      </w:pPr>
    </w:p>
    <w:p w:rsidR="000E69DA" w:rsidRPr="007F0E49" w:rsidRDefault="000E69DA" w:rsidP="000E69DA">
      <w:pPr>
        <w:jc w:val="both"/>
        <w:rPr>
          <w:rFonts w:ascii="Arial" w:hAnsi="Arial" w:cs="Arial"/>
          <w:sz w:val="22"/>
          <w:szCs w:val="22"/>
        </w:rPr>
      </w:pPr>
      <w:r w:rsidRPr="007F0E49">
        <w:rPr>
          <w:rFonts w:ascii="Arial" w:hAnsi="Arial" w:cs="Arial"/>
          <w:b/>
          <w:sz w:val="22"/>
          <w:szCs w:val="22"/>
        </w:rPr>
        <w:t xml:space="preserve">Odgođeno plaćanje </w:t>
      </w:r>
      <w:r w:rsidR="004E4085" w:rsidRPr="007F0E49">
        <w:rPr>
          <w:rFonts w:ascii="Arial" w:hAnsi="Arial" w:cs="Arial"/>
          <w:b/>
          <w:sz w:val="22"/>
          <w:szCs w:val="22"/>
        </w:rPr>
        <w:t xml:space="preserve">rashoda </w:t>
      </w:r>
      <w:r w:rsidRPr="007F0E49">
        <w:rPr>
          <w:rFonts w:ascii="Arial" w:hAnsi="Arial" w:cs="Arial"/>
          <w:b/>
          <w:sz w:val="22"/>
          <w:szCs w:val="22"/>
        </w:rPr>
        <w:t>i pr</w:t>
      </w:r>
      <w:r w:rsidR="00CC787C" w:rsidRPr="007F0E49">
        <w:rPr>
          <w:rFonts w:ascii="Arial" w:hAnsi="Arial" w:cs="Arial"/>
          <w:b/>
          <w:sz w:val="22"/>
          <w:szCs w:val="22"/>
        </w:rPr>
        <w:t>ihodi budućih razdoblja (</w:t>
      </w:r>
      <w:r w:rsidR="00BA1EFA" w:rsidRPr="007F0E49">
        <w:rPr>
          <w:rFonts w:ascii="Arial" w:hAnsi="Arial" w:cs="Arial"/>
          <w:b/>
          <w:sz w:val="22"/>
          <w:szCs w:val="22"/>
        </w:rPr>
        <w:t>29</w:t>
      </w:r>
      <w:r w:rsidRPr="007F0E49">
        <w:rPr>
          <w:rFonts w:ascii="Arial" w:hAnsi="Arial" w:cs="Arial"/>
          <w:b/>
          <w:sz w:val="22"/>
          <w:szCs w:val="22"/>
        </w:rPr>
        <w:t>)</w:t>
      </w:r>
      <w:r w:rsidRPr="007F0E49">
        <w:rPr>
          <w:rFonts w:ascii="Arial" w:hAnsi="Arial" w:cs="Arial"/>
          <w:b/>
          <w:i/>
          <w:sz w:val="22"/>
          <w:szCs w:val="22"/>
        </w:rPr>
        <w:t xml:space="preserve"> </w:t>
      </w:r>
      <w:r w:rsidR="00A44502" w:rsidRPr="007F0E49">
        <w:rPr>
          <w:rFonts w:ascii="Arial" w:hAnsi="Arial" w:cs="Arial"/>
          <w:sz w:val="22"/>
          <w:szCs w:val="22"/>
        </w:rPr>
        <w:t xml:space="preserve">iznose </w:t>
      </w:r>
      <w:r w:rsidR="00A5536A" w:rsidRPr="007F0E49">
        <w:rPr>
          <w:rFonts w:ascii="Arial" w:hAnsi="Arial" w:cs="Arial"/>
          <w:sz w:val="22"/>
          <w:szCs w:val="22"/>
        </w:rPr>
        <w:t>452.396,11</w:t>
      </w:r>
      <w:r w:rsidRPr="007F0E49">
        <w:rPr>
          <w:rFonts w:ascii="Arial" w:hAnsi="Arial" w:cs="Arial"/>
          <w:sz w:val="22"/>
          <w:szCs w:val="22"/>
        </w:rPr>
        <w:t xml:space="preserve"> kn i odnose se na obračunatu naknadu za uporabu javnih cesta koja se plaća pri registraciji vozila prema obračunu Županijske uprave za ceste PGŽ.</w:t>
      </w:r>
    </w:p>
    <w:p w:rsidR="00F030D7" w:rsidRPr="007F0E49" w:rsidRDefault="00F030D7" w:rsidP="000E69DA">
      <w:pPr>
        <w:jc w:val="both"/>
        <w:rPr>
          <w:rFonts w:ascii="Arial" w:hAnsi="Arial" w:cs="Arial"/>
          <w:b/>
          <w:color w:val="1F3864" w:themeColor="accent5" w:themeShade="80"/>
          <w:sz w:val="22"/>
          <w:szCs w:val="22"/>
        </w:rPr>
      </w:pPr>
    </w:p>
    <w:p w:rsidR="00E808B1" w:rsidRPr="007F0E49" w:rsidRDefault="00E808B1" w:rsidP="000E69DA">
      <w:pPr>
        <w:jc w:val="both"/>
        <w:rPr>
          <w:rFonts w:ascii="Arial" w:hAnsi="Arial" w:cs="Arial"/>
          <w:b/>
          <w:color w:val="1F3864" w:themeColor="accent5" w:themeShade="80"/>
          <w:sz w:val="22"/>
          <w:szCs w:val="22"/>
        </w:rPr>
      </w:pPr>
    </w:p>
    <w:p w:rsidR="0028066E" w:rsidRDefault="0028066E" w:rsidP="000E69DA">
      <w:pPr>
        <w:jc w:val="both"/>
        <w:rPr>
          <w:rFonts w:ascii="Arial" w:hAnsi="Arial" w:cs="Arial"/>
          <w:b/>
          <w:color w:val="1F3864" w:themeColor="accent5" w:themeShade="80"/>
          <w:sz w:val="22"/>
          <w:szCs w:val="22"/>
        </w:rPr>
      </w:pPr>
    </w:p>
    <w:p w:rsidR="00D41060" w:rsidRDefault="00D41060" w:rsidP="000E69DA">
      <w:pPr>
        <w:jc w:val="both"/>
        <w:rPr>
          <w:rFonts w:ascii="Arial" w:hAnsi="Arial" w:cs="Arial"/>
          <w:b/>
          <w:color w:val="1F3864" w:themeColor="accent5" w:themeShade="80"/>
          <w:sz w:val="22"/>
          <w:szCs w:val="22"/>
        </w:rPr>
      </w:pPr>
    </w:p>
    <w:p w:rsidR="00D41060" w:rsidRDefault="00D41060" w:rsidP="000E69DA">
      <w:pPr>
        <w:jc w:val="both"/>
        <w:rPr>
          <w:rFonts w:ascii="Arial" w:hAnsi="Arial" w:cs="Arial"/>
          <w:b/>
          <w:color w:val="1F3864" w:themeColor="accent5" w:themeShade="80"/>
          <w:sz w:val="22"/>
          <w:szCs w:val="22"/>
        </w:rPr>
      </w:pPr>
    </w:p>
    <w:p w:rsidR="00D41060" w:rsidRDefault="00D41060" w:rsidP="000E69DA">
      <w:pPr>
        <w:jc w:val="both"/>
        <w:rPr>
          <w:rFonts w:ascii="Arial" w:hAnsi="Arial" w:cs="Arial"/>
          <w:b/>
          <w:color w:val="1F3864" w:themeColor="accent5" w:themeShade="80"/>
          <w:sz w:val="22"/>
          <w:szCs w:val="22"/>
        </w:rPr>
      </w:pPr>
    </w:p>
    <w:p w:rsidR="00D41060" w:rsidRDefault="00D41060" w:rsidP="000E69DA">
      <w:pPr>
        <w:jc w:val="both"/>
        <w:rPr>
          <w:rFonts w:ascii="Arial" w:hAnsi="Arial" w:cs="Arial"/>
          <w:b/>
          <w:color w:val="1F3864" w:themeColor="accent5" w:themeShade="80"/>
          <w:sz w:val="22"/>
          <w:szCs w:val="22"/>
        </w:rPr>
      </w:pPr>
    </w:p>
    <w:p w:rsidR="00D41060" w:rsidRDefault="00D41060" w:rsidP="000E69DA">
      <w:pPr>
        <w:jc w:val="both"/>
        <w:rPr>
          <w:rFonts w:ascii="Arial" w:hAnsi="Arial" w:cs="Arial"/>
          <w:b/>
          <w:color w:val="1F3864" w:themeColor="accent5" w:themeShade="80"/>
          <w:sz w:val="22"/>
          <w:szCs w:val="22"/>
        </w:rPr>
      </w:pPr>
    </w:p>
    <w:p w:rsidR="00D41060" w:rsidRDefault="00D41060" w:rsidP="000E69DA">
      <w:pPr>
        <w:jc w:val="both"/>
        <w:rPr>
          <w:rFonts w:ascii="Arial" w:hAnsi="Arial" w:cs="Arial"/>
          <w:b/>
          <w:color w:val="1F3864" w:themeColor="accent5" w:themeShade="80"/>
          <w:sz w:val="22"/>
          <w:szCs w:val="22"/>
        </w:rPr>
      </w:pPr>
    </w:p>
    <w:p w:rsidR="00D41060" w:rsidRDefault="00D41060" w:rsidP="000E69DA">
      <w:pPr>
        <w:jc w:val="both"/>
        <w:rPr>
          <w:rFonts w:ascii="Arial" w:hAnsi="Arial" w:cs="Arial"/>
          <w:b/>
          <w:color w:val="1F3864" w:themeColor="accent5" w:themeShade="80"/>
          <w:sz w:val="22"/>
          <w:szCs w:val="22"/>
        </w:rPr>
      </w:pPr>
    </w:p>
    <w:p w:rsidR="00D41060" w:rsidRPr="007F0E49" w:rsidRDefault="00D41060" w:rsidP="000E69DA">
      <w:pPr>
        <w:jc w:val="both"/>
        <w:rPr>
          <w:rFonts w:ascii="Arial" w:hAnsi="Arial" w:cs="Arial"/>
          <w:b/>
          <w:color w:val="1F3864" w:themeColor="accent5" w:themeShade="80"/>
          <w:sz w:val="22"/>
          <w:szCs w:val="22"/>
        </w:rPr>
      </w:pPr>
    </w:p>
    <w:p w:rsidR="000E69DA" w:rsidRPr="00BC6599" w:rsidRDefault="00E808B1" w:rsidP="000E69DA">
      <w:pPr>
        <w:jc w:val="both"/>
        <w:rPr>
          <w:rFonts w:ascii="Arial" w:hAnsi="Arial" w:cs="Arial"/>
          <w:b/>
          <w:color w:val="1F3864" w:themeColor="accent5" w:themeShade="80"/>
          <w:sz w:val="24"/>
          <w:szCs w:val="24"/>
          <w:u w:val="single"/>
        </w:rPr>
      </w:pPr>
      <w:r w:rsidRPr="00BC6599">
        <w:rPr>
          <w:rFonts w:ascii="Arial" w:hAnsi="Arial" w:cs="Arial"/>
          <w:b/>
          <w:color w:val="1F3864" w:themeColor="accent5" w:themeShade="80"/>
          <w:sz w:val="24"/>
          <w:szCs w:val="24"/>
        </w:rPr>
        <w:lastRenderedPageBreak/>
        <w:t>F i n a n c i j s k i   r</w:t>
      </w:r>
      <w:r w:rsidR="000E69DA" w:rsidRPr="00BC6599">
        <w:rPr>
          <w:rFonts w:ascii="Arial" w:hAnsi="Arial" w:cs="Arial"/>
          <w:b/>
          <w:color w:val="1F3864" w:themeColor="accent5" w:themeShade="80"/>
          <w:sz w:val="24"/>
          <w:szCs w:val="24"/>
        </w:rPr>
        <w:t xml:space="preserve"> e z u l t a t   </w:t>
      </w:r>
      <w:r w:rsidR="00041BB6" w:rsidRPr="00BC6599">
        <w:rPr>
          <w:rFonts w:ascii="Arial" w:hAnsi="Arial" w:cs="Arial"/>
          <w:b/>
          <w:color w:val="1F3864" w:themeColor="accent5" w:themeShade="80"/>
          <w:sz w:val="24"/>
          <w:szCs w:val="24"/>
        </w:rPr>
        <w:t xml:space="preserve"> </w:t>
      </w:r>
    </w:p>
    <w:p w:rsidR="00780348" w:rsidRPr="007F0E49" w:rsidRDefault="00780348" w:rsidP="000E69DA">
      <w:pPr>
        <w:jc w:val="both"/>
        <w:rPr>
          <w:rFonts w:ascii="Arial" w:hAnsi="Arial" w:cs="Arial"/>
          <w:sz w:val="22"/>
          <w:szCs w:val="22"/>
        </w:rPr>
      </w:pPr>
    </w:p>
    <w:p w:rsidR="00560E5B" w:rsidRPr="007F0E49" w:rsidRDefault="00BA1EFA" w:rsidP="000E69DA">
      <w:pPr>
        <w:jc w:val="both"/>
        <w:rPr>
          <w:rFonts w:ascii="Arial" w:hAnsi="Arial" w:cs="Arial"/>
          <w:b/>
          <w:sz w:val="22"/>
          <w:szCs w:val="22"/>
        </w:rPr>
      </w:pPr>
      <w:r w:rsidRPr="007F0E49">
        <w:rPr>
          <w:rFonts w:ascii="Arial" w:hAnsi="Arial" w:cs="Arial"/>
          <w:sz w:val="22"/>
          <w:szCs w:val="22"/>
        </w:rPr>
        <w:t>U tekuću 2022</w:t>
      </w:r>
      <w:r w:rsidR="000E3B3B" w:rsidRPr="007F0E49">
        <w:rPr>
          <w:rFonts w:ascii="Arial" w:hAnsi="Arial" w:cs="Arial"/>
          <w:sz w:val="22"/>
          <w:szCs w:val="22"/>
        </w:rPr>
        <w:t xml:space="preserve">. godinu </w:t>
      </w:r>
      <w:r w:rsidR="00F97EB5" w:rsidRPr="007F0E49">
        <w:rPr>
          <w:rFonts w:ascii="Arial" w:hAnsi="Arial" w:cs="Arial"/>
          <w:sz w:val="22"/>
          <w:szCs w:val="22"/>
        </w:rPr>
        <w:t>prenesen je</w:t>
      </w:r>
      <w:r w:rsidR="00B24D86" w:rsidRPr="007F0E49">
        <w:rPr>
          <w:rFonts w:ascii="Arial" w:hAnsi="Arial" w:cs="Arial"/>
          <w:sz w:val="22"/>
          <w:szCs w:val="22"/>
        </w:rPr>
        <w:t xml:space="preserve"> manjak prihoda i primitaka </w:t>
      </w:r>
      <w:r w:rsidR="00891C60" w:rsidRPr="007F0E49">
        <w:rPr>
          <w:rFonts w:ascii="Arial" w:hAnsi="Arial" w:cs="Arial"/>
          <w:sz w:val="22"/>
          <w:szCs w:val="22"/>
        </w:rPr>
        <w:t xml:space="preserve">u iznosu </w:t>
      </w:r>
      <w:r w:rsidR="00B24D86" w:rsidRPr="007F0E49">
        <w:rPr>
          <w:rFonts w:ascii="Arial" w:hAnsi="Arial" w:cs="Arial"/>
          <w:sz w:val="22"/>
          <w:szCs w:val="22"/>
        </w:rPr>
        <w:t xml:space="preserve">od </w:t>
      </w:r>
      <w:r w:rsidRPr="007F0E49">
        <w:rPr>
          <w:rFonts w:ascii="Arial" w:hAnsi="Arial" w:cs="Arial"/>
          <w:sz w:val="22"/>
          <w:szCs w:val="22"/>
        </w:rPr>
        <w:t>98.948.638,24</w:t>
      </w:r>
      <w:r w:rsidR="00A1753F" w:rsidRPr="007F0E49">
        <w:rPr>
          <w:rFonts w:ascii="Arial" w:hAnsi="Arial" w:cs="Arial"/>
          <w:sz w:val="22"/>
          <w:szCs w:val="22"/>
        </w:rPr>
        <w:t xml:space="preserve"> kn</w:t>
      </w:r>
      <w:r w:rsidR="000E3B3B" w:rsidRPr="007F0E49">
        <w:rPr>
          <w:rFonts w:ascii="Arial" w:hAnsi="Arial" w:cs="Arial"/>
          <w:sz w:val="22"/>
          <w:szCs w:val="22"/>
        </w:rPr>
        <w:t xml:space="preserve"> nastao ranijih godina.</w:t>
      </w:r>
      <w:r w:rsidR="000E69DA" w:rsidRPr="007F0E49">
        <w:rPr>
          <w:rFonts w:ascii="Arial" w:hAnsi="Arial" w:cs="Arial"/>
          <w:sz w:val="22"/>
          <w:szCs w:val="22"/>
        </w:rPr>
        <w:t xml:space="preserve"> </w:t>
      </w:r>
      <w:r w:rsidR="00E8117E" w:rsidRPr="007F0E49">
        <w:rPr>
          <w:rFonts w:ascii="Arial" w:hAnsi="Arial" w:cs="Arial"/>
          <w:sz w:val="22"/>
          <w:szCs w:val="22"/>
        </w:rPr>
        <w:t xml:space="preserve">Ostvarivanjem pozitivnog tekućeg rezultata </w:t>
      </w:r>
      <w:r w:rsidR="00560E5B" w:rsidRPr="007F0E49">
        <w:rPr>
          <w:rFonts w:ascii="Arial" w:hAnsi="Arial" w:cs="Arial"/>
          <w:sz w:val="22"/>
          <w:szCs w:val="22"/>
        </w:rPr>
        <w:t>u razdoblju 2018. - 2022. godine</w:t>
      </w:r>
      <w:r w:rsidR="00E8117E" w:rsidRPr="007F0E49">
        <w:rPr>
          <w:rFonts w:ascii="Arial" w:hAnsi="Arial" w:cs="Arial"/>
          <w:sz w:val="22"/>
          <w:szCs w:val="22"/>
        </w:rPr>
        <w:t xml:space="preserve">, kontinuirano se smanjuje preneseni manjak prihoda i primitaka nastao </w:t>
      </w:r>
      <w:r w:rsidR="00093B7F" w:rsidRPr="007F0E49">
        <w:rPr>
          <w:rFonts w:ascii="Arial" w:hAnsi="Arial" w:cs="Arial"/>
          <w:sz w:val="22"/>
          <w:szCs w:val="22"/>
        </w:rPr>
        <w:t>do 31. prosinca 2017.</w:t>
      </w:r>
      <w:r w:rsidR="009E07E5" w:rsidRPr="007F0E49">
        <w:rPr>
          <w:rFonts w:ascii="Arial" w:hAnsi="Arial" w:cs="Arial"/>
          <w:sz w:val="22"/>
          <w:szCs w:val="22"/>
        </w:rPr>
        <w:t xml:space="preserve"> godine</w:t>
      </w:r>
      <w:r w:rsidR="00093B7F" w:rsidRPr="007F0E49">
        <w:rPr>
          <w:rFonts w:ascii="Arial" w:hAnsi="Arial" w:cs="Arial"/>
          <w:sz w:val="22"/>
          <w:szCs w:val="22"/>
        </w:rPr>
        <w:t xml:space="preserve"> </w:t>
      </w:r>
      <w:r w:rsidR="001757FD" w:rsidRPr="007F0E49">
        <w:rPr>
          <w:rFonts w:ascii="Arial" w:hAnsi="Arial" w:cs="Arial"/>
          <w:sz w:val="22"/>
          <w:szCs w:val="22"/>
        </w:rPr>
        <w:t>i koji je t</w:t>
      </w:r>
      <w:r w:rsidR="00093B7F" w:rsidRPr="007F0E49">
        <w:rPr>
          <w:rFonts w:ascii="Arial" w:hAnsi="Arial" w:cs="Arial"/>
          <w:sz w:val="22"/>
          <w:szCs w:val="22"/>
        </w:rPr>
        <w:t xml:space="preserve">ada iznosio </w:t>
      </w:r>
      <w:r w:rsidR="006749ED" w:rsidRPr="007F0E49">
        <w:rPr>
          <w:rFonts w:ascii="Arial" w:hAnsi="Arial" w:cs="Arial"/>
          <w:sz w:val="22"/>
          <w:szCs w:val="22"/>
        </w:rPr>
        <w:t>267.570.957</w:t>
      </w:r>
      <w:r w:rsidR="00624FB0" w:rsidRPr="007F0E49">
        <w:rPr>
          <w:rFonts w:ascii="Arial" w:hAnsi="Arial" w:cs="Arial"/>
          <w:sz w:val="22"/>
          <w:szCs w:val="22"/>
        </w:rPr>
        <w:t>,00</w:t>
      </w:r>
      <w:r w:rsidR="006749ED" w:rsidRPr="007F0E49">
        <w:rPr>
          <w:rFonts w:ascii="Arial" w:hAnsi="Arial" w:cs="Arial"/>
          <w:sz w:val="22"/>
          <w:szCs w:val="22"/>
        </w:rPr>
        <w:t xml:space="preserve"> kn</w:t>
      </w:r>
      <w:r w:rsidR="007F0E49" w:rsidRPr="007F0E49">
        <w:rPr>
          <w:rFonts w:ascii="Arial" w:hAnsi="Arial" w:cs="Arial"/>
          <w:sz w:val="22"/>
          <w:szCs w:val="22"/>
        </w:rPr>
        <w:t>.</w:t>
      </w:r>
      <w:r w:rsidR="00560E5B" w:rsidRPr="007F0E49">
        <w:rPr>
          <w:rFonts w:ascii="Arial" w:hAnsi="Arial" w:cs="Arial"/>
          <w:color w:val="FF0000"/>
          <w:sz w:val="22"/>
          <w:szCs w:val="22"/>
        </w:rPr>
        <w:t xml:space="preserve"> </w:t>
      </w:r>
    </w:p>
    <w:p w:rsidR="007F0E49" w:rsidRPr="007F0E49" w:rsidRDefault="007F0E49" w:rsidP="000E69DA">
      <w:pPr>
        <w:jc w:val="both"/>
        <w:rPr>
          <w:rFonts w:ascii="Arial" w:hAnsi="Arial" w:cs="Arial"/>
          <w:b/>
          <w:sz w:val="22"/>
          <w:szCs w:val="22"/>
        </w:rPr>
      </w:pPr>
    </w:p>
    <w:p w:rsidR="005B6B71" w:rsidRDefault="006B145F" w:rsidP="005B6B71">
      <w:pPr>
        <w:jc w:val="both"/>
        <w:rPr>
          <w:rFonts w:ascii="Arial" w:hAnsi="Arial" w:cs="Arial"/>
          <w:sz w:val="22"/>
          <w:szCs w:val="22"/>
        </w:rPr>
      </w:pPr>
      <w:r w:rsidRPr="007F0E49">
        <w:rPr>
          <w:rFonts w:ascii="Arial" w:hAnsi="Arial" w:cs="Arial"/>
          <w:b/>
          <w:sz w:val="22"/>
          <w:szCs w:val="22"/>
        </w:rPr>
        <w:t xml:space="preserve">Bilješka broj 5 - </w:t>
      </w:r>
      <w:r w:rsidR="000E69DA" w:rsidRPr="007F0E49">
        <w:rPr>
          <w:rFonts w:ascii="Arial" w:hAnsi="Arial" w:cs="Arial"/>
          <w:sz w:val="22"/>
          <w:szCs w:val="22"/>
        </w:rPr>
        <w:t xml:space="preserve">U izvještajnom razdoblju ostvaren je </w:t>
      </w:r>
      <w:r w:rsidR="000E69DA" w:rsidRPr="007F0E49">
        <w:rPr>
          <w:rFonts w:ascii="Arial" w:hAnsi="Arial" w:cs="Arial"/>
          <w:b/>
          <w:sz w:val="22"/>
          <w:szCs w:val="22"/>
        </w:rPr>
        <w:t xml:space="preserve">tekući višak prihoda </w:t>
      </w:r>
      <w:r w:rsidR="000E69DA" w:rsidRPr="007F0E49">
        <w:rPr>
          <w:rFonts w:ascii="Arial" w:hAnsi="Arial" w:cs="Arial"/>
          <w:sz w:val="22"/>
          <w:szCs w:val="22"/>
        </w:rPr>
        <w:t xml:space="preserve">u iznosu od </w:t>
      </w:r>
      <w:r w:rsidR="00BA1EFA" w:rsidRPr="007F0E49">
        <w:rPr>
          <w:rFonts w:ascii="Arial" w:hAnsi="Arial" w:cs="Arial"/>
          <w:b/>
          <w:sz w:val="22"/>
          <w:szCs w:val="22"/>
        </w:rPr>
        <w:t>91.863.544,13</w:t>
      </w:r>
      <w:r w:rsidR="000E69DA" w:rsidRPr="007F0E49">
        <w:rPr>
          <w:rFonts w:ascii="Arial" w:hAnsi="Arial" w:cs="Arial"/>
          <w:b/>
          <w:sz w:val="22"/>
          <w:szCs w:val="22"/>
        </w:rPr>
        <w:t xml:space="preserve"> kn</w:t>
      </w:r>
      <w:r w:rsidR="000E69DA" w:rsidRPr="007F0E49">
        <w:rPr>
          <w:rFonts w:ascii="Arial" w:hAnsi="Arial" w:cs="Arial"/>
          <w:sz w:val="22"/>
          <w:szCs w:val="22"/>
        </w:rPr>
        <w:t>, proizašao iz:</w:t>
      </w:r>
    </w:p>
    <w:p w:rsidR="005B6B71" w:rsidRDefault="005B6B71" w:rsidP="005B6B71">
      <w:pPr>
        <w:jc w:val="both"/>
        <w:rPr>
          <w:rFonts w:ascii="Arial" w:hAnsi="Arial" w:cs="Arial"/>
          <w:sz w:val="22"/>
          <w:szCs w:val="22"/>
        </w:rPr>
      </w:pPr>
    </w:p>
    <w:p w:rsidR="005B6B71" w:rsidRPr="005B6B71" w:rsidRDefault="000E69DA" w:rsidP="005B6B71">
      <w:pPr>
        <w:pStyle w:val="ListParagraph"/>
        <w:numPr>
          <w:ilvl w:val="0"/>
          <w:numId w:val="28"/>
        </w:numPr>
        <w:jc w:val="both"/>
        <w:rPr>
          <w:rFonts w:ascii="Arial" w:hAnsi="Arial" w:cs="Arial"/>
          <w:sz w:val="22"/>
          <w:szCs w:val="22"/>
        </w:rPr>
      </w:pPr>
      <w:r w:rsidRPr="005B6B71">
        <w:rPr>
          <w:rFonts w:ascii="Arial" w:hAnsi="Arial" w:cs="Arial"/>
          <w:sz w:val="22"/>
          <w:szCs w:val="22"/>
        </w:rPr>
        <w:t>višk</w:t>
      </w:r>
      <w:r w:rsidR="00DE08FB" w:rsidRPr="005B6B71">
        <w:rPr>
          <w:rFonts w:ascii="Arial" w:hAnsi="Arial" w:cs="Arial"/>
          <w:sz w:val="22"/>
          <w:szCs w:val="22"/>
        </w:rPr>
        <w:t>a prihoda poslovanja (</w:t>
      </w:r>
      <w:r w:rsidR="00BA1EFA" w:rsidRPr="005B6B71">
        <w:rPr>
          <w:rFonts w:ascii="Arial" w:hAnsi="Arial" w:cs="Arial"/>
          <w:sz w:val="22"/>
          <w:szCs w:val="22"/>
        </w:rPr>
        <w:t>X001</w:t>
      </w:r>
      <w:r w:rsidR="00B81236" w:rsidRPr="005B6B71">
        <w:rPr>
          <w:rFonts w:ascii="Arial" w:hAnsi="Arial" w:cs="Arial"/>
          <w:sz w:val="22"/>
          <w:szCs w:val="22"/>
        </w:rPr>
        <w:t xml:space="preserve"> PR-RAS</w:t>
      </w:r>
      <w:r w:rsidR="005B6B71">
        <w:rPr>
          <w:rFonts w:ascii="Arial" w:hAnsi="Arial" w:cs="Arial"/>
          <w:sz w:val="22"/>
          <w:szCs w:val="22"/>
        </w:rPr>
        <w:t>)</w:t>
      </w:r>
      <w:r w:rsidR="005B6B71">
        <w:rPr>
          <w:rFonts w:ascii="Arial" w:hAnsi="Arial" w:cs="Arial"/>
          <w:sz w:val="22"/>
          <w:szCs w:val="22"/>
        </w:rPr>
        <w:tab/>
      </w:r>
      <w:r w:rsidR="005B6B71">
        <w:rPr>
          <w:rFonts w:ascii="Arial" w:hAnsi="Arial" w:cs="Arial"/>
          <w:sz w:val="22"/>
          <w:szCs w:val="22"/>
        </w:rPr>
        <w:tab/>
      </w:r>
      <w:r w:rsidR="005B6B71">
        <w:rPr>
          <w:rFonts w:ascii="Arial" w:hAnsi="Arial" w:cs="Arial"/>
          <w:sz w:val="22"/>
          <w:szCs w:val="22"/>
        </w:rPr>
        <w:tab/>
      </w:r>
      <w:r w:rsidR="005B6B71">
        <w:rPr>
          <w:rFonts w:ascii="Arial" w:hAnsi="Arial" w:cs="Arial"/>
          <w:sz w:val="22"/>
          <w:szCs w:val="22"/>
        </w:rPr>
        <w:tab/>
        <w:t xml:space="preserve">  </w:t>
      </w:r>
      <w:r w:rsidR="00BA1EFA" w:rsidRPr="005B6B71">
        <w:rPr>
          <w:rFonts w:ascii="Arial" w:hAnsi="Arial" w:cs="Arial"/>
          <w:sz w:val="22"/>
          <w:szCs w:val="22"/>
        </w:rPr>
        <w:t>181.543.511,32</w:t>
      </w:r>
      <w:r w:rsidRPr="005B6B71">
        <w:rPr>
          <w:rFonts w:ascii="Arial" w:hAnsi="Arial" w:cs="Arial"/>
          <w:sz w:val="22"/>
          <w:szCs w:val="22"/>
        </w:rPr>
        <w:t xml:space="preserve"> kn</w:t>
      </w:r>
    </w:p>
    <w:p w:rsidR="005B6B71" w:rsidRPr="005B6B71" w:rsidRDefault="000E69DA" w:rsidP="005B6B71">
      <w:pPr>
        <w:pStyle w:val="ListParagraph"/>
        <w:numPr>
          <w:ilvl w:val="0"/>
          <w:numId w:val="28"/>
        </w:numPr>
        <w:jc w:val="both"/>
        <w:rPr>
          <w:rFonts w:ascii="Arial" w:hAnsi="Arial" w:cs="Arial"/>
          <w:sz w:val="22"/>
          <w:szCs w:val="22"/>
        </w:rPr>
      </w:pPr>
      <w:r w:rsidRPr="005B6B71">
        <w:rPr>
          <w:rFonts w:ascii="Arial" w:hAnsi="Arial" w:cs="Arial"/>
          <w:sz w:val="22"/>
          <w:szCs w:val="22"/>
        </w:rPr>
        <w:t>manjka prihoda od nefinancij</w:t>
      </w:r>
      <w:r w:rsidR="00133588" w:rsidRPr="005B6B71">
        <w:rPr>
          <w:rFonts w:ascii="Arial" w:hAnsi="Arial" w:cs="Arial"/>
          <w:sz w:val="22"/>
          <w:szCs w:val="22"/>
        </w:rPr>
        <w:t>ske imovine (</w:t>
      </w:r>
      <w:r w:rsidR="00B81236" w:rsidRPr="005B6B71">
        <w:rPr>
          <w:rFonts w:ascii="Arial" w:hAnsi="Arial" w:cs="Arial"/>
          <w:sz w:val="22"/>
          <w:szCs w:val="22"/>
        </w:rPr>
        <w:t>Y002</w:t>
      </w:r>
      <w:r w:rsidR="00133588" w:rsidRPr="005B6B71">
        <w:rPr>
          <w:rFonts w:ascii="Arial" w:hAnsi="Arial" w:cs="Arial"/>
          <w:sz w:val="22"/>
          <w:szCs w:val="22"/>
        </w:rPr>
        <w:t xml:space="preserve"> PR-RAS)</w:t>
      </w:r>
      <w:r w:rsidR="00133588" w:rsidRPr="005B6B71">
        <w:rPr>
          <w:rFonts w:ascii="Arial" w:hAnsi="Arial" w:cs="Arial"/>
          <w:sz w:val="22"/>
          <w:szCs w:val="22"/>
        </w:rPr>
        <w:tab/>
      </w:r>
      <w:r w:rsidR="00133588" w:rsidRPr="005B6B71">
        <w:rPr>
          <w:rFonts w:ascii="Arial" w:hAnsi="Arial" w:cs="Arial"/>
          <w:sz w:val="22"/>
          <w:szCs w:val="22"/>
        </w:rPr>
        <w:tab/>
      </w:r>
      <w:r w:rsidR="005B6B71">
        <w:rPr>
          <w:rFonts w:ascii="Arial" w:hAnsi="Arial" w:cs="Arial"/>
          <w:sz w:val="22"/>
          <w:szCs w:val="22"/>
        </w:rPr>
        <w:t xml:space="preserve">   </w:t>
      </w:r>
      <w:r w:rsidR="00DE08FB" w:rsidRPr="005B6B71">
        <w:rPr>
          <w:rFonts w:ascii="Arial" w:hAnsi="Arial" w:cs="Arial"/>
          <w:sz w:val="22"/>
          <w:szCs w:val="22"/>
        </w:rPr>
        <w:t>-</w:t>
      </w:r>
      <w:r w:rsidR="00B81236" w:rsidRPr="005B6B71">
        <w:rPr>
          <w:rFonts w:ascii="Arial" w:hAnsi="Arial" w:cs="Arial"/>
          <w:sz w:val="22"/>
          <w:szCs w:val="22"/>
        </w:rPr>
        <w:t>35.356.577,66</w:t>
      </w:r>
      <w:r w:rsidRPr="005B6B71">
        <w:rPr>
          <w:rFonts w:ascii="Arial" w:hAnsi="Arial" w:cs="Arial"/>
          <w:sz w:val="22"/>
          <w:szCs w:val="22"/>
        </w:rPr>
        <w:t xml:space="preserve"> kn</w:t>
      </w:r>
    </w:p>
    <w:p w:rsidR="000E69DA" w:rsidRPr="005B6B71" w:rsidRDefault="0028066E" w:rsidP="005B6B71">
      <w:pPr>
        <w:pStyle w:val="ListParagraph"/>
        <w:numPr>
          <w:ilvl w:val="0"/>
          <w:numId w:val="28"/>
        </w:numPr>
        <w:jc w:val="both"/>
        <w:rPr>
          <w:rFonts w:ascii="Arial" w:hAnsi="Arial" w:cs="Arial"/>
          <w:sz w:val="22"/>
          <w:szCs w:val="22"/>
        </w:rPr>
      </w:pPr>
      <w:r w:rsidRPr="005B6B71">
        <w:rPr>
          <w:rFonts w:ascii="Arial" w:hAnsi="Arial" w:cs="Arial"/>
          <w:sz w:val="22"/>
          <w:szCs w:val="22"/>
        </w:rPr>
        <w:t>manjk</w:t>
      </w:r>
      <w:r w:rsidR="005B6B71" w:rsidRPr="005B6B71">
        <w:rPr>
          <w:rFonts w:ascii="Arial" w:hAnsi="Arial" w:cs="Arial"/>
          <w:sz w:val="22"/>
          <w:szCs w:val="22"/>
        </w:rPr>
        <w:t>a</w:t>
      </w:r>
      <w:r w:rsidR="000E69DA" w:rsidRPr="005B6B71">
        <w:rPr>
          <w:rFonts w:ascii="Arial" w:hAnsi="Arial" w:cs="Arial"/>
          <w:sz w:val="22"/>
          <w:szCs w:val="22"/>
        </w:rPr>
        <w:t xml:space="preserve"> primitaka od financijske imovine </w:t>
      </w:r>
      <w:r w:rsidR="00DE08FB" w:rsidRPr="005B6B71">
        <w:rPr>
          <w:rFonts w:ascii="Arial" w:hAnsi="Arial" w:cs="Arial"/>
          <w:sz w:val="22"/>
          <w:szCs w:val="22"/>
        </w:rPr>
        <w:t>(</w:t>
      </w:r>
      <w:r w:rsidR="00B81236" w:rsidRPr="005B6B71">
        <w:rPr>
          <w:rFonts w:ascii="Arial" w:hAnsi="Arial" w:cs="Arial"/>
          <w:sz w:val="22"/>
          <w:szCs w:val="22"/>
        </w:rPr>
        <w:t>Y003</w:t>
      </w:r>
      <w:r w:rsidR="00F2701A">
        <w:rPr>
          <w:rFonts w:ascii="Arial" w:hAnsi="Arial" w:cs="Arial"/>
          <w:sz w:val="22"/>
          <w:szCs w:val="22"/>
        </w:rPr>
        <w:t xml:space="preserve"> PR-RAS)</w:t>
      </w:r>
      <w:r w:rsidR="00F2701A">
        <w:rPr>
          <w:rFonts w:ascii="Arial" w:hAnsi="Arial" w:cs="Arial"/>
          <w:sz w:val="22"/>
          <w:szCs w:val="22"/>
        </w:rPr>
        <w:tab/>
      </w:r>
      <w:r w:rsidR="00F2701A">
        <w:rPr>
          <w:rFonts w:ascii="Arial" w:hAnsi="Arial" w:cs="Arial"/>
          <w:sz w:val="22"/>
          <w:szCs w:val="22"/>
        </w:rPr>
        <w:tab/>
        <w:t xml:space="preserve">   -</w:t>
      </w:r>
      <w:r w:rsidR="00B81236" w:rsidRPr="005B6B71">
        <w:rPr>
          <w:rFonts w:ascii="Arial" w:hAnsi="Arial" w:cs="Arial"/>
          <w:sz w:val="22"/>
          <w:szCs w:val="22"/>
        </w:rPr>
        <w:t>54.323.389,53</w:t>
      </w:r>
      <w:r w:rsidR="000E69DA" w:rsidRPr="005B6B71">
        <w:rPr>
          <w:rFonts w:ascii="Arial" w:hAnsi="Arial" w:cs="Arial"/>
          <w:sz w:val="22"/>
          <w:szCs w:val="22"/>
        </w:rPr>
        <w:t xml:space="preserve"> kn</w:t>
      </w:r>
    </w:p>
    <w:p w:rsidR="000E69DA" w:rsidRPr="007F0E49" w:rsidRDefault="000E69DA" w:rsidP="005B6B71">
      <w:pPr>
        <w:jc w:val="both"/>
        <w:rPr>
          <w:rFonts w:ascii="Arial" w:hAnsi="Arial" w:cs="Arial"/>
          <w:sz w:val="22"/>
          <w:szCs w:val="22"/>
        </w:rPr>
      </w:pPr>
    </w:p>
    <w:p w:rsidR="000E69DA" w:rsidRPr="007F0E49" w:rsidRDefault="000E69DA" w:rsidP="000E69DA">
      <w:pPr>
        <w:jc w:val="both"/>
        <w:rPr>
          <w:rFonts w:ascii="Arial" w:hAnsi="Arial" w:cs="Arial"/>
          <w:sz w:val="22"/>
          <w:szCs w:val="22"/>
        </w:rPr>
      </w:pPr>
      <w:r w:rsidRPr="007F0E49">
        <w:rPr>
          <w:rFonts w:ascii="Arial" w:hAnsi="Arial" w:cs="Arial"/>
          <w:sz w:val="22"/>
          <w:szCs w:val="22"/>
        </w:rPr>
        <w:t xml:space="preserve">Utvrđeni viškovi i manjkovi </w:t>
      </w:r>
      <w:r w:rsidR="00650ABB" w:rsidRPr="007F0E49">
        <w:rPr>
          <w:rFonts w:ascii="Arial" w:hAnsi="Arial" w:cs="Arial"/>
          <w:sz w:val="22"/>
          <w:szCs w:val="22"/>
        </w:rPr>
        <w:t>(</w:t>
      </w:r>
      <w:r w:rsidR="00634DD7" w:rsidRPr="007F0E49">
        <w:rPr>
          <w:rFonts w:ascii="Arial" w:hAnsi="Arial" w:cs="Arial"/>
          <w:sz w:val="22"/>
          <w:szCs w:val="22"/>
        </w:rPr>
        <w:t xml:space="preserve">ukupno </w:t>
      </w:r>
      <w:r w:rsidRPr="007F0E49">
        <w:rPr>
          <w:rFonts w:ascii="Arial" w:hAnsi="Arial" w:cs="Arial"/>
          <w:sz w:val="22"/>
          <w:szCs w:val="22"/>
        </w:rPr>
        <w:t>prenesen</w:t>
      </w:r>
      <w:r w:rsidR="00650ABB" w:rsidRPr="007F0E49">
        <w:rPr>
          <w:rFonts w:ascii="Arial" w:hAnsi="Arial" w:cs="Arial"/>
          <w:sz w:val="22"/>
          <w:szCs w:val="22"/>
        </w:rPr>
        <w:t>i i tekući)</w:t>
      </w:r>
      <w:r w:rsidRPr="007F0E49">
        <w:rPr>
          <w:rFonts w:ascii="Arial" w:hAnsi="Arial" w:cs="Arial"/>
          <w:sz w:val="22"/>
          <w:szCs w:val="22"/>
        </w:rPr>
        <w:t xml:space="preserve"> naknadno se prebijaju po istovrsnim kategorijama </w:t>
      </w:r>
      <w:r w:rsidR="00F21144" w:rsidRPr="007F0E49">
        <w:rPr>
          <w:rFonts w:ascii="Arial" w:hAnsi="Arial" w:cs="Arial"/>
          <w:sz w:val="22"/>
          <w:szCs w:val="22"/>
        </w:rPr>
        <w:t xml:space="preserve">aktivnosti </w:t>
      </w:r>
      <w:r w:rsidRPr="007F0E49">
        <w:rPr>
          <w:rFonts w:ascii="Arial" w:hAnsi="Arial" w:cs="Arial"/>
          <w:sz w:val="22"/>
          <w:szCs w:val="22"/>
        </w:rPr>
        <w:t>i korigiraju u skladu s člankom 82. Pravilnika o proračunskom računovodstvu i računskom planu</w:t>
      </w:r>
      <w:r w:rsidR="00F030D7" w:rsidRPr="007F0E49">
        <w:rPr>
          <w:rFonts w:ascii="Arial" w:hAnsi="Arial" w:cs="Arial"/>
          <w:sz w:val="22"/>
          <w:szCs w:val="22"/>
        </w:rPr>
        <w:t>.</w:t>
      </w:r>
      <w:r w:rsidRPr="007F0E49">
        <w:rPr>
          <w:rFonts w:ascii="Arial" w:hAnsi="Arial" w:cs="Arial"/>
          <w:sz w:val="22"/>
          <w:szCs w:val="22"/>
        </w:rPr>
        <w:t xml:space="preserve"> </w:t>
      </w:r>
    </w:p>
    <w:p w:rsidR="00A6737D" w:rsidRPr="007F0E49" w:rsidRDefault="00A6737D" w:rsidP="000E69DA">
      <w:pPr>
        <w:jc w:val="both"/>
        <w:rPr>
          <w:rFonts w:ascii="Arial" w:hAnsi="Arial" w:cs="Arial"/>
          <w:sz w:val="22"/>
          <w:szCs w:val="22"/>
        </w:rPr>
      </w:pPr>
    </w:p>
    <w:p w:rsidR="00A4372B" w:rsidRDefault="000E69DA" w:rsidP="00A4372B">
      <w:pPr>
        <w:jc w:val="both"/>
        <w:rPr>
          <w:rFonts w:ascii="Arial" w:hAnsi="Arial" w:cs="Arial"/>
          <w:sz w:val="22"/>
          <w:szCs w:val="22"/>
        </w:rPr>
      </w:pPr>
      <w:r w:rsidRPr="007F0E49">
        <w:rPr>
          <w:rFonts w:ascii="Arial" w:hAnsi="Arial" w:cs="Arial"/>
          <w:sz w:val="22"/>
          <w:szCs w:val="22"/>
        </w:rPr>
        <w:t xml:space="preserve">Na kraju </w:t>
      </w:r>
      <w:r w:rsidR="003D2474" w:rsidRPr="007F0E49">
        <w:rPr>
          <w:rFonts w:ascii="Arial" w:hAnsi="Arial" w:cs="Arial"/>
          <w:sz w:val="22"/>
          <w:szCs w:val="22"/>
        </w:rPr>
        <w:t>izvještajne 2022.</w:t>
      </w:r>
      <w:r w:rsidRPr="007F0E49">
        <w:rPr>
          <w:rFonts w:ascii="Arial" w:hAnsi="Arial" w:cs="Arial"/>
          <w:sz w:val="22"/>
          <w:szCs w:val="22"/>
        </w:rPr>
        <w:t xml:space="preserve"> godine utvrđen je manjak prihoda</w:t>
      </w:r>
      <w:r w:rsidR="0085300D" w:rsidRPr="007F0E49">
        <w:rPr>
          <w:rFonts w:ascii="Arial" w:hAnsi="Arial" w:cs="Arial"/>
          <w:sz w:val="22"/>
          <w:szCs w:val="22"/>
        </w:rPr>
        <w:t xml:space="preserve"> i primitaka</w:t>
      </w:r>
      <w:r w:rsidRPr="007F0E49">
        <w:rPr>
          <w:rFonts w:ascii="Arial" w:hAnsi="Arial" w:cs="Arial"/>
          <w:sz w:val="22"/>
          <w:szCs w:val="22"/>
        </w:rPr>
        <w:t xml:space="preserve"> za pokriće u slijedećem razdoblju</w:t>
      </w:r>
      <w:r w:rsidR="00133588" w:rsidRPr="007F0E49">
        <w:rPr>
          <w:rFonts w:ascii="Arial" w:hAnsi="Arial" w:cs="Arial"/>
          <w:sz w:val="22"/>
          <w:szCs w:val="22"/>
        </w:rPr>
        <w:t xml:space="preserve"> u ukupnom iznosu od </w:t>
      </w:r>
      <w:r w:rsidR="00D13C68" w:rsidRPr="007F0E49">
        <w:rPr>
          <w:rFonts w:ascii="Arial" w:hAnsi="Arial" w:cs="Arial"/>
          <w:sz w:val="22"/>
          <w:szCs w:val="22"/>
        </w:rPr>
        <w:t>7.085.094,11</w:t>
      </w:r>
      <w:r w:rsidRPr="007F0E49">
        <w:rPr>
          <w:rFonts w:ascii="Arial" w:hAnsi="Arial" w:cs="Arial"/>
          <w:sz w:val="22"/>
          <w:szCs w:val="22"/>
        </w:rPr>
        <w:t xml:space="preserve"> kn koji se sastoji, nakon prebijanja viškova i manjkova istih kategorija</w:t>
      </w:r>
      <w:r w:rsidR="00F21144" w:rsidRPr="007F0E49">
        <w:rPr>
          <w:rFonts w:ascii="Arial" w:hAnsi="Arial" w:cs="Arial"/>
          <w:sz w:val="22"/>
          <w:szCs w:val="22"/>
        </w:rPr>
        <w:t xml:space="preserve"> aktivnosti</w:t>
      </w:r>
      <w:r w:rsidRPr="007F0E49">
        <w:rPr>
          <w:rFonts w:ascii="Arial" w:hAnsi="Arial" w:cs="Arial"/>
          <w:sz w:val="22"/>
          <w:szCs w:val="22"/>
        </w:rPr>
        <w:t xml:space="preserve"> te izvršene propisane korekcije </w:t>
      </w:r>
      <w:r w:rsidR="00F21144" w:rsidRPr="007F0E49">
        <w:rPr>
          <w:rFonts w:ascii="Arial" w:hAnsi="Arial" w:cs="Arial"/>
          <w:sz w:val="22"/>
          <w:szCs w:val="22"/>
        </w:rPr>
        <w:t xml:space="preserve">financijskog </w:t>
      </w:r>
      <w:r w:rsidRPr="007F0E49">
        <w:rPr>
          <w:rFonts w:ascii="Arial" w:hAnsi="Arial" w:cs="Arial"/>
          <w:sz w:val="22"/>
          <w:szCs w:val="22"/>
        </w:rPr>
        <w:t>rezultata, od</w:t>
      </w:r>
      <w:r w:rsidR="003D2474" w:rsidRPr="007F0E49">
        <w:rPr>
          <w:rFonts w:ascii="Arial" w:hAnsi="Arial" w:cs="Arial"/>
          <w:sz w:val="22"/>
          <w:szCs w:val="22"/>
        </w:rPr>
        <w:t>:</w:t>
      </w:r>
    </w:p>
    <w:p w:rsidR="00A4372B" w:rsidRDefault="00A4372B" w:rsidP="00A4372B">
      <w:pPr>
        <w:jc w:val="both"/>
        <w:rPr>
          <w:rFonts w:ascii="Arial" w:hAnsi="Arial" w:cs="Arial"/>
          <w:sz w:val="22"/>
          <w:szCs w:val="22"/>
        </w:rPr>
      </w:pPr>
    </w:p>
    <w:p w:rsidR="00A4372B" w:rsidRPr="005B6B71" w:rsidRDefault="000E69DA" w:rsidP="005B6B71">
      <w:pPr>
        <w:pStyle w:val="ListParagraph"/>
        <w:numPr>
          <w:ilvl w:val="0"/>
          <w:numId w:val="27"/>
        </w:numPr>
        <w:jc w:val="both"/>
        <w:rPr>
          <w:rFonts w:ascii="Arial" w:hAnsi="Arial" w:cs="Arial"/>
          <w:sz w:val="22"/>
          <w:szCs w:val="22"/>
        </w:rPr>
      </w:pPr>
      <w:r w:rsidRPr="005B6B71">
        <w:rPr>
          <w:rFonts w:ascii="Arial" w:hAnsi="Arial" w:cs="Arial"/>
          <w:sz w:val="22"/>
          <w:szCs w:val="22"/>
        </w:rPr>
        <w:t xml:space="preserve">viška prihoda poslovanja </w:t>
      </w:r>
      <w:r w:rsidR="003D2474" w:rsidRPr="005B6B71">
        <w:rPr>
          <w:rFonts w:ascii="Arial" w:hAnsi="Arial" w:cs="Arial"/>
          <w:sz w:val="22"/>
          <w:szCs w:val="22"/>
        </w:rPr>
        <w:tab/>
      </w:r>
      <w:r w:rsidR="003D2474" w:rsidRPr="005B6B71">
        <w:rPr>
          <w:rFonts w:ascii="Arial" w:hAnsi="Arial" w:cs="Arial"/>
          <w:sz w:val="22"/>
          <w:szCs w:val="22"/>
        </w:rPr>
        <w:tab/>
      </w:r>
      <w:r w:rsidR="003D2474" w:rsidRPr="005B6B71">
        <w:rPr>
          <w:rFonts w:ascii="Arial" w:hAnsi="Arial" w:cs="Arial"/>
          <w:sz w:val="22"/>
          <w:szCs w:val="22"/>
        </w:rPr>
        <w:tab/>
        <w:t xml:space="preserve"> </w:t>
      </w:r>
      <w:r w:rsidR="0056457B" w:rsidRPr="005B6B71">
        <w:rPr>
          <w:rFonts w:ascii="Arial" w:hAnsi="Arial" w:cs="Arial"/>
          <w:sz w:val="22"/>
          <w:szCs w:val="22"/>
        </w:rPr>
        <w:tab/>
      </w:r>
      <w:r w:rsidR="0056457B" w:rsidRPr="005B6B71">
        <w:rPr>
          <w:rFonts w:ascii="Arial" w:hAnsi="Arial" w:cs="Arial"/>
          <w:sz w:val="22"/>
          <w:szCs w:val="22"/>
        </w:rPr>
        <w:tab/>
      </w:r>
      <w:r w:rsidR="0056457B" w:rsidRPr="005B6B71">
        <w:rPr>
          <w:rFonts w:ascii="Arial" w:hAnsi="Arial" w:cs="Arial"/>
          <w:sz w:val="22"/>
          <w:szCs w:val="22"/>
        </w:rPr>
        <w:tab/>
        <w:t xml:space="preserve"> </w:t>
      </w:r>
      <w:r w:rsidR="00760304" w:rsidRPr="005B6B71">
        <w:rPr>
          <w:rFonts w:ascii="Arial" w:hAnsi="Arial" w:cs="Arial"/>
          <w:sz w:val="22"/>
          <w:szCs w:val="22"/>
        </w:rPr>
        <w:t>3</w:t>
      </w:r>
      <w:r w:rsidR="00D43F2C" w:rsidRPr="005B6B71">
        <w:rPr>
          <w:rFonts w:ascii="Arial" w:hAnsi="Arial" w:cs="Arial"/>
          <w:sz w:val="22"/>
          <w:szCs w:val="22"/>
        </w:rPr>
        <w:t>9</w:t>
      </w:r>
      <w:r w:rsidR="00A4372B" w:rsidRPr="005B6B71">
        <w:rPr>
          <w:rFonts w:ascii="Arial" w:hAnsi="Arial" w:cs="Arial"/>
          <w:sz w:val="22"/>
          <w:szCs w:val="22"/>
        </w:rPr>
        <w:t xml:space="preserve">2.953.273,32 kn </w:t>
      </w:r>
    </w:p>
    <w:p w:rsidR="00A4372B" w:rsidRPr="005B6B71" w:rsidRDefault="003F24E7" w:rsidP="005B6B71">
      <w:pPr>
        <w:pStyle w:val="ListParagraph"/>
        <w:numPr>
          <w:ilvl w:val="0"/>
          <w:numId w:val="27"/>
        </w:numPr>
        <w:jc w:val="both"/>
        <w:rPr>
          <w:rFonts w:ascii="Arial" w:hAnsi="Arial" w:cs="Arial"/>
          <w:sz w:val="22"/>
          <w:szCs w:val="22"/>
        </w:rPr>
      </w:pPr>
      <w:r w:rsidRPr="005B6B71">
        <w:rPr>
          <w:rFonts w:ascii="Arial" w:hAnsi="Arial" w:cs="Arial"/>
          <w:sz w:val="22"/>
          <w:szCs w:val="22"/>
        </w:rPr>
        <w:t>manjk</w:t>
      </w:r>
      <w:r w:rsidR="00F21144" w:rsidRPr="005B6B71">
        <w:rPr>
          <w:rFonts w:ascii="Arial" w:hAnsi="Arial" w:cs="Arial"/>
          <w:sz w:val="22"/>
          <w:szCs w:val="22"/>
        </w:rPr>
        <w:t>a</w:t>
      </w:r>
      <w:r w:rsidRPr="005B6B71">
        <w:rPr>
          <w:rFonts w:ascii="Arial" w:hAnsi="Arial" w:cs="Arial"/>
          <w:sz w:val="22"/>
          <w:szCs w:val="22"/>
        </w:rPr>
        <w:t xml:space="preserve"> prihoda</w:t>
      </w:r>
      <w:r w:rsidR="000E69DA" w:rsidRPr="005B6B71">
        <w:rPr>
          <w:rFonts w:ascii="Arial" w:hAnsi="Arial" w:cs="Arial"/>
          <w:sz w:val="22"/>
          <w:szCs w:val="22"/>
        </w:rPr>
        <w:t xml:space="preserve"> od </w:t>
      </w:r>
      <w:r w:rsidR="005C61FC" w:rsidRPr="005B6B71">
        <w:rPr>
          <w:rFonts w:ascii="Arial" w:hAnsi="Arial" w:cs="Arial"/>
          <w:sz w:val="22"/>
          <w:szCs w:val="22"/>
        </w:rPr>
        <w:t>ne</w:t>
      </w:r>
      <w:r w:rsidR="000E69DA" w:rsidRPr="005B6B71">
        <w:rPr>
          <w:rFonts w:ascii="Arial" w:hAnsi="Arial" w:cs="Arial"/>
          <w:sz w:val="22"/>
          <w:szCs w:val="22"/>
        </w:rPr>
        <w:t xml:space="preserve">financijske imovine </w:t>
      </w:r>
      <w:r w:rsidR="003D2474" w:rsidRPr="005B6B71">
        <w:rPr>
          <w:rFonts w:ascii="Arial" w:hAnsi="Arial" w:cs="Arial"/>
          <w:sz w:val="22"/>
          <w:szCs w:val="22"/>
        </w:rPr>
        <w:tab/>
      </w:r>
      <w:r w:rsidR="0056457B" w:rsidRPr="005B6B71">
        <w:rPr>
          <w:rFonts w:ascii="Arial" w:hAnsi="Arial" w:cs="Arial"/>
          <w:sz w:val="22"/>
          <w:szCs w:val="22"/>
        </w:rPr>
        <w:tab/>
      </w:r>
      <w:r w:rsidR="0056457B" w:rsidRPr="005B6B71">
        <w:rPr>
          <w:rFonts w:ascii="Arial" w:hAnsi="Arial" w:cs="Arial"/>
          <w:sz w:val="22"/>
          <w:szCs w:val="22"/>
        </w:rPr>
        <w:tab/>
      </w:r>
      <w:r w:rsidR="0056457B" w:rsidRPr="005B6B71">
        <w:rPr>
          <w:rFonts w:ascii="Arial" w:hAnsi="Arial" w:cs="Arial"/>
          <w:sz w:val="22"/>
          <w:szCs w:val="22"/>
        </w:rPr>
        <w:tab/>
      </w:r>
      <w:r w:rsidR="003D2474" w:rsidRPr="005B6B71">
        <w:rPr>
          <w:rFonts w:ascii="Arial" w:hAnsi="Arial" w:cs="Arial"/>
          <w:sz w:val="22"/>
          <w:szCs w:val="22"/>
        </w:rPr>
        <w:t>-</w:t>
      </w:r>
      <w:r w:rsidR="00760304" w:rsidRPr="005B6B71">
        <w:rPr>
          <w:rFonts w:ascii="Arial" w:hAnsi="Arial" w:cs="Arial"/>
          <w:sz w:val="22"/>
          <w:szCs w:val="22"/>
        </w:rPr>
        <w:t xml:space="preserve">303.604.325,44 kn </w:t>
      </w:r>
    </w:p>
    <w:p w:rsidR="003D2474" w:rsidRPr="00685D02" w:rsidRDefault="005C61FC" w:rsidP="003D2474">
      <w:pPr>
        <w:pStyle w:val="ListParagraph"/>
        <w:numPr>
          <w:ilvl w:val="0"/>
          <w:numId w:val="27"/>
        </w:numPr>
        <w:jc w:val="both"/>
        <w:rPr>
          <w:rFonts w:ascii="Arial" w:hAnsi="Arial" w:cs="Arial"/>
          <w:sz w:val="22"/>
          <w:szCs w:val="22"/>
        </w:rPr>
      </w:pPr>
      <w:r w:rsidRPr="005B6B71">
        <w:rPr>
          <w:rFonts w:ascii="Arial" w:hAnsi="Arial" w:cs="Arial"/>
          <w:sz w:val="22"/>
          <w:szCs w:val="22"/>
        </w:rPr>
        <w:t>manjka primitaka</w:t>
      </w:r>
      <w:r w:rsidR="000E69DA" w:rsidRPr="005B6B71">
        <w:rPr>
          <w:rFonts w:ascii="Arial" w:hAnsi="Arial" w:cs="Arial"/>
          <w:sz w:val="22"/>
          <w:szCs w:val="22"/>
        </w:rPr>
        <w:t xml:space="preserve"> o</w:t>
      </w:r>
      <w:r w:rsidRPr="005B6B71">
        <w:rPr>
          <w:rFonts w:ascii="Arial" w:hAnsi="Arial" w:cs="Arial"/>
          <w:sz w:val="22"/>
          <w:szCs w:val="22"/>
        </w:rPr>
        <w:t xml:space="preserve">d financijske imovine </w:t>
      </w:r>
      <w:r w:rsidR="003D2474" w:rsidRPr="005B6B71">
        <w:rPr>
          <w:rFonts w:ascii="Arial" w:hAnsi="Arial" w:cs="Arial"/>
          <w:sz w:val="22"/>
          <w:szCs w:val="22"/>
        </w:rPr>
        <w:tab/>
      </w:r>
      <w:r w:rsidR="003D2474" w:rsidRPr="005B6B71">
        <w:rPr>
          <w:rFonts w:ascii="Arial" w:hAnsi="Arial" w:cs="Arial"/>
          <w:sz w:val="22"/>
          <w:szCs w:val="22"/>
        </w:rPr>
        <w:tab/>
        <w:t xml:space="preserve">  </w:t>
      </w:r>
      <w:r w:rsidR="0056457B" w:rsidRPr="005B6B71">
        <w:rPr>
          <w:rFonts w:ascii="Arial" w:hAnsi="Arial" w:cs="Arial"/>
          <w:sz w:val="22"/>
          <w:szCs w:val="22"/>
        </w:rPr>
        <w:tab/>
      </w:r>
      <w:r w:rsidR="0056457B" w:rsidRPr="005B6B71">
        <w:rPr>
          <w:rFonts w:ascii="Arial" w:hAnsi="Arial" w:cs="Arial"/>
          <w:sz w:val="22"/>
          <w:szCs w:val="22"/>
        </w:rPr>
        <w:tab/>
      </w:r>
      <w:r w:rsidR="008A6D80" w:rsidRPr="005B6B71">
        <w:rPr>
          <w:rFonts w:ascii="Arial" w:hAnsi="Arial" w:cs="Arial"/>
          <w:sz w:val="22"/>
          <w:szCs w:val="22"/>
        </w:rPr>
        <w:t xml:space="preserve">  </w:t>
      </w:r>
      <w:r w:rsidR="003D2474" w:rsidRPr="005B6B71">
        <w:rPr>
          <w:rFonts w:ascii="Arial" w:hAnsi="Arial" w:cs="Arial"/>
          <w:sz w:val="22"/>
          <w:szCs w:val="22"/>
        </w:rPr>
        <w:t>-</w:t>
      </w:r>
      <w:r w:rsidR="00760304" w:rsidRPr="005B6B71">
        <w:rPr>
          <w:rFonts w:ascii="Arial" w:hAnsi="Arial" w:cs="Arial"/>
          <w:sz w:val="22"/>
          <w:szCs w:val="22"/>
        </w:rPr>
        <w:t>96.434.041,99 kn</w:t>
      </w:r>
    </w:p>
    <w:p w:rsidR="009F0EF4" w:rsidRDefault="009F0EF4" w:rsidP="009F0EF4">
      <w:pPr>
        <w:jc w:val="right"/>
        <w:rPr>
          <w:rFonts w:ascii="Arial" w:hAnsi="Arial"/>
        </w:rPr>
      </w:pPr>
    </w:p>
    <w:p w:rsidR="00685D02" w:rsidRDefault="00685D02" w:rsidP="009F0EF4">
      <w:pPr>
        <w:jc w:val="right"/>
        <w:rPr>
          <w:rFonts w:ascii="Arial" w:hAnsi="Arial"/>
        </w:rPr>
      </w:pPr>
    </w:p>
    <w:p w:rsidR="000E69DA" w:rsidRPr="001D3434" w:rsidRDefault="000E69DA" w:rsidP="009F0EF4">
      <w:pPr>
        <w:jc w:val="both"/>
        <w:rPr>
          <w:rFonts w:ascii="Arial" w:hAnsi="Arial"/>
          <w:sz w:val="16"/>
          <w:szCs w:val="16"/>
        </w:rPr>
      </w:pPr>
      <w:r w:rsidRPr="00A73102">
        <w:rPr>
          <w:rFonts w:ascii="Arial" w:hAnsi="Arial"/>
        </w:rPr>
        <w:t xml:space="preserve">Tablica 2. </w:t>
      </w:r>
      <w:r w:rsidR="00161485">
        <w:rPr>
          <w:rFonts w:ascii="Arial" w:hAnsi="Arial"/>
        </w:rPr>
        <w:t>Financijski rezultat</w:t>
      </w:r>
      <w:r w:rsidRPr="00A73102">
        <w:rPr>
          <w:rFonts w:ascii="Arial" w:hAnsi="Arial"/>
        </w:rPr>
        <w:t xml:space="preserve"> </w:t>
      </w:r>
      <w:r w:rsidRPr="00A73102">
        <w:rPr>
          <w:rFonts w:ascii="Arial" w:hAnsi="Arial"/>
        </w:rPr>
        <w:tab/>
      </w:r>
      <w:r w:rsidRPr="00A73102">
        <w:rPr>
          <w:rFonts w:ascii="Arial" w:hAnsi="Arial"/>
        </w:rPr>
        <w:tab/>
      </w:r>
      <w:r w:rsidRPr="00A73102">
        <w:rPr>
          <w:rFonts w:ascii="Arial" w:hAnsi="Arial"/>
        </w:rPr>
        <w:tab/>
      </w:r>
      <w:r w:rsidRPr="00A73102">
        <w:rPr>
          <w:rFonts w:ascii="Arial" w:hAnsi="Arial"/>
        </w:rPr>
        <w:tab/>
      </w:r>
      <w:r w:rsidRPr="00A73102">
        <w:rPr>
          <w:rFonts w:ascii="Arial" w:hAnsi="Arial"/>
        </w:rPr>
        <w:tab/>
      </w:r>
      <w:r w:rsidRPr="00A73102">
        <w:rPr>
          <w:rFonts w:ascii="Arial" w:hAnsi="Arial"/>
        </w:rPr>
        <w:tab/>
      </w:r>
      <w:r w:rsidRPr="00A73102">
        <w:rPr>
          <w:rFonts w:ascii="Arial" w:hAnsi="Arial"/>
        </w:rPr>
        <w:tab/>
      </w:r>
      <w:r w:rsidRPr="00A73102">
        <w:rPr>
          <w:rFonts w:ascii="Arial" w:hAnsi="Arial"/>
        </w:rPr>
        <w:tab/>
      </w:r>
      <w:r w:rsidRPr="00A73102">
        <w:rPr>
          <w:rFonts w:ascii="Arial" w:hAnsi="Arial"/>
        </w:rPr>
        <w:tab/>
      </w:r>
      <w:r w:rsidR="009F0EF4">
        <w:rPr>
          <w:rFonts w:ascii="Arial" w:hAnsi="Arial"/>
        </w:rPr>
        <w:tab/>
      </w:r>
      <w:r w:rsidRPr="001D3434">
        <w:rPr>
          <w:rFonts w:ascii="Arial" w:hAnsi="Arial"/>
          <w:i/>
          <w:sz w:val="16"/>
          <w:szCs w:val="16"/>
        </w:rPr>
        <w:t>u kn</w:t>
      </w:r>
    </w:p>
    <w:tbl>
      <w:tblPr>
        <w:tblW w:w="9781" w:type="dxa"/>
        <w:tblLook w:val="04A0" w:firstRow="1" w:lastRow="0" w:firstColumn="1" w:lastColumn="0" w:noHBand="0" w:noVBand="1"/>
      </w:tblPr>
      <w:tblGrid>
        <w:gridCol w:w="960"/>
        <w:gridCol w:w="4020"/>
        <w:gridCol w:w="960"/>
        <w:gridCol w:w="1680"/>
        <w:gridCol w:w="2161"/>
      </w:tblGrid>
      <w:tr w:rsidR="000E69DA" w:rsidRPr="00A73102" w:rsidTr="009F0EF4">
        <w:trPr>
          <w:trHeight w:val="288"/>
        </w:trPr>
        <w:tc>
          <w:tcPr>
            <w:tcW w:w="960" w:type="dxa"/>
            <w:vMerge w:val="restart"/>
            <w:tcBorders>
              <w:top w:val="single" w:sz="8" w:space="0" w:color="auto"/>
              <w:left w:val="nil"/>
              <w:bottom w:val="single" w:sz="8" w:space="0" w:color="000000"/>
              <w:right w:val="nil"/>
            </w:tcBorders>
            <w:shd w:val="clear" w:color="auto" w:fill="D5DCE4" w:themeFill="text2" w:themeFillTint="33"/>
            <w:vAlign w:val="center"/>
            <w:hideMark/>
          </w:tcPr>
          <w:p w:rsidR="000E69DA" w:rsidRPr="006E7903" w:rsidRDefault="000E69DA" w:rsidP="000E69DA">
            <w:pPr>
              <w:jc w:val="both"/>
              <w:rPr>
                <w:rFonts w:ascii="Arial" w:hAnsi="Arial" w:cs="Arial"/>
                <w:b/>
                <w:bCs/>
                <w:color w:val="000000"/>
                <w:sz w:val="18"/>
                <w:szCs w:val="18"/>
              </w:rPr>
            </w:pPr>
            <w:r w:rsidRPr="006E7903">
              <w:rPr>
                <w:rFonts w:ascii="Arial" w:hAnsi="Arial" w:cs="Arial"/>
                <w:b/>
                <w:bCs/>
                <w:color w:val="000000"/>
                <w:sz w:val="18"/>
                <w:szCs w:val="18"/>
              </w:rPr>
              <w:t xml:space="preserve">Račun   </w:t>
            </w:r>
          </w:p>
        </w:tc>
        <w:tc>
          <w:tcPr>
            <w:tcW w:w="4020" w:type="dxa"/>
            <w:vMerge w:val="restart"/>
            <w:tcBorders>
              <w:top w:val="single" w:sz="8" w:space="0" w:color="auto"/>
              <w:left w:val="nil"/>
              <w:bottom w:val="single" w:sz="8" w:space="0" w:color="000000"/>
              <w:right w:val="nil"/>
            </w:tcBorders>
            <w:shd w:val="clear" w:color="auto" w:fill="D5DCE4" w:themeFill="text2" w:themeFillTint="33"/>
            <w:noWrap/>
            <w:vAlign w:val="center"/>
            <w:hideMark/>
          </w:tcPr>
          <w:p w:rsidR="000E69DA" w:rsidRPr="006E7903" w:rsidRDefault="000E69DA" w:rsidP="000E69DA">
            <w:pPr>
              <w:jc w:val="center"/>
              <w:rPr>
                <w:rFonts w:ascii="Arial" w:hAnsi="Arial" w:cs="Arial"/>
                <w:b/>
                <w:bCs/>
                <w:color w:val="000000"/>
                <w:sz w:val="18"/>
                <w:szCs w:val="18"/>
              </w:rPr>
            </w:pPr>
            <w:r w:rsidRPr="006E7903">
              <w:rPr>
                <w:rFonts w:ascii="Arial" w:hAnsi="Arial" w:cs="Arial"/>
                <w:b/>
                <w:bCs/>
                <w:color w:val="000000"/>
                <w:sz w:val="18"/>
                <w:szCs w:val="18"/>
              </w:rPr>
              <w:t>O P I S</w:t>
            </w:r>
          </w:p>
        </w:tc>
        <w:tc>
          <w:tcPr>
            <w:tcW w:w="960" w:type="dxa"/>
            <w:vMerge w:val="restart"/>
            <w:tcBorders>
              <w:top w:val="single" w:sz="8" w:space="0" w:color="auto"/>
              <w:left w:val="nil"/>
              <w:bottom w:val="single" w:sz="8" w:space="0" w:color="000000"/>
              <w:right w:val="nil"/>
            </w:tcBorders>
            <w:shd w:val="clear" w:color="auto" w:fill="D5DCE4" w:themeFill="text2" w:themeFillTint="33"/>
            <w:vAlign w:val="center"/>
            <w:hideMark/>
          </w:tcPr>
          <w:p w:rsidR="000E69DA" w:rsidRPr="006E7903" w:rsidRDefault="007B3992" w:rsidP="000E69DA">
            <w:pPr>
              <w:jc w:val="both"/>
              <w:rPr>
                <w:rFonts w:ascii="Arial" w:hAnsi="Arial" w:cs="Arial"/>
                <w:b/>
                <w:bCs/>
                <w:color w:val="000000"/>
                <w:sz w:val="18"/>
                <w:szCs w:val="18"/>
              </w:rPr>
            </w:pPr>
            <w:r w:rsidRPr="006E7903">
              <w:rPr>
                <w:rFonts w:ascii="Arial" w:hAnsi="Arial" w:cs="Arial"/>
                <w:b/>
                <w:bCs/>
                <w:color w:val="000000"/>
                <w:sz w:val="18"/>
                <w:szCs w:val="18"/>
              </w:rPr>
              <w:t xml:space="preserve">  Šifra</w:t>
            </w:r>
            <w:r w:rsidR="000E69DA" w:rsidRPr="006E7903">
              <w:rPr>
                <w:rFonts w:ascii="Arial" w:hAnsi="Arial" w:cs="Arial"/>
                <w:b/>
                <w:bCs/>
                <w:color w:val="000000"/>
                <w:sz w:val="18"/>
                <w:szCs w:val="18"/>
              </w:rPr>
              <w:t xml:space="preserve">  </w:t>
            </w:r>
          </w:p>
        </w:tc>
        <w:tc>
          <w:tcPr>
            <w:tcW w:w="1680" w:type="dxa"/>
            <w:vMerge w:val="restart"/>
            <w:tcBorders>
              <w:top w:val="single" w:sz="8" w:space="0" w:color="auto"/>
              <w:left w:val="nil"/>
              <w:bottom w:val="single" w:sz="8" w:space="0" w:color="000000"/>
              <w:right w:val="nil"/>
            </w:tcBorders>
            <w:shd w:val="clear" w:color="auto" w:fill="D5DCE4" w:themeFill="text2" w:themeFillTint="33"/>
            <w:vAlign w:val="center"/>
            <w:hideMark/>
          </w:tcPr>
          <w:p w:rsidR="000E69DA" w:rsidRPr="006E7903" w:rsidRDefault="00F27C7D" w:rsidP="00F030D7">
            <w:pPr>
              <w:jc w:val="center"/>
              <w:rPr>
                <w:rFonts w:ascii="Arial" w:hAnsi="Arial" w:cs="Arial"/>
                <w:b/>
                <w:bCs/>
                <w:color w:val="000000"/>
                <w:sz w:val="18"/>
                <w:szCs w:val="18"/>
              </w:rPr>
            </w:pPr>
            <w:r w:rsidRPr="006E7903">
              <w:rPr>
                <w:rFonts w:ascii="Arial" w:hAnsi="Arial" w:cs="Arial"/>
                <w:b/>
                <w:bCs/>
                <w:color w:val="000000"/>
                <w:sz w:val="18"/>
                <w:szCs w:val="18"/>
              </w:rPr>
              <w:t>Stanje 1.1.2022</w:t>
            </w:r>
            <w:r w:rsidR="000E69DA" w:rsidRPr="006E7903">
              <w:rPr>
                <w:rFonts w:ascii="Arial" w:hAnsi="Arial" w:cs="Arial"/>
                <w:b/>
                <w:bCs/>
                <w:color w:val="000000"/>
                <w:sz w:val="18"/>
                <w:szCs w:val="18"/>
              </w:rPr>
              <w:t>.</w:t>
            </w:r>
          </w:p>
        </w:tc>
        <w:tc>
          <w:tcPr>
            <w:tcW w:w="2161" w:type="dxa"/>
            <w:vMerge w:val="restart"/>
            <w:tcBorders>
              <w:top w:val="single" w:sz="8" w:space="0" w:color="auto"/>
              <w:left w:val="nil"/>
              <w:bottom w:val="single" w:sz="8" w:space="0" w:color="000000"/>
              <w:right w:val="nil"/>
            </w:tcBorders>
            <w:shd w:val="clear" w:color="auto" w:fill="D5DCE4" w:themeFill="text2" w:themeFillTint="33"/>
            <w:vAlign w:val="center"/>
            <w:hideMark/>
          </w:tcPr>
          <w:p w:rsidR="000E69DA" w:rsidRPr="006E7903" w:rsidRDefault="00F27C7D" w:rsidP="000E69DA">
            <w:pPr>
              <w:jc w:val="center"/>
              <w:rPr>
                <w:rFonts w:ascii="Arial" w:hAnsi="Arial" w:cs="Arial"/>
                <w:b/>
                <w:bCs/>
                <w:color w:val="000000"/>
                <w:sz w:val="18"/>
                <w:szCs w:val="18"/>
              </w:rPr>
            </w:pPr>
            <w:r w:rsidRPr="006E7903">
              <w:rPr>
                <w:rFonts w:ascii="Arial" w:hAnsi="Arial" w:cs="Arial"/>
                <w:b/>
                <w:bCs/>
                <w:color w:val="000000"/>
                <w:sz w:val="18"/>
                <w:szCs w:val="18"/>
              </w:rPr>
              <w:t>Stanje 31.12.2022</w:t>
            </w:r>
            <w:r w:rsidR="000E69DA" w:rsidRPr="006E7903">
              <w:rPr>
                <w:rFonts w:ascii="Arial" w:hAnsi="Arial" w:cs="Arial"/>
                <w:b/>
                <w:bCs/>
                <w:color w:val="000000"/>
                <w:sz w:val="18"/>
                <w:szCs w:val="18"/>
              </w:rPr>
              <w:t>.</w:t>
            </w:r>
          </w:p>
        </w:tc>
      </w:tr>
      <w:tr w:rsidR="000E69DA" w:rsidRPr="00A73102" w:rsidTr="009F0EF4">
        <w:trPr>
          <w:trHeight w:val="300"/>
        </w:trPr>
        <w:tc>
          <w:tcPr>
            <w:tcW w:w="960" w:type="dxa"/>
            <w:vMerge/>
            <w:tcBorders>
              <w:top w:val="single" w:sz="8" w:space="0" w:color="auto"/>
              <w:left w:val="nil"/>
              <w:bottom w:val="single" w:sz="8" w:space="0" w:color="000000"/>
              <w:right w:val="nil"/>
            </w:tcBorders>
            <w:shd w:val="clear" w:color="auto" w:fill="D5DCE4" w:themeFill="text2" w:themeFillTint="33"/>
            <w:vAlign w:val="center"/>
            <w:hideMark/>
          </w:tcPr>
          <w:p w:rsidR="000E69DA" w:rsidRPr="00A73102" w:rsidRDefault="000E69DA" w:rsidP="000E69DA">
            <w:pPr>
              <w:rPr>
                <w:rFonts w:ascii="Arial" w:hAnsi="Arial" w:cs="Arial"/>
                <w:b/>
                <w:bCs/>
                <w:color w:val="000000"/>
                <w:sz w:val="18"/>
                <w:szCs w:val="18"/>
              </w:rPr>
            </w:pPr>
          </w:p>
        </w:tc>
        <w:tc>
          <w:tcPr>
            <w:tcW w:w="4020" w:type="dxa"/>
            <w:vMerge/>
            <w:tcBorders>
              <w:top w:val="single" w:sz="8" w:space="0" w:color="auto"/>
              <w:left w:val="nil"/>
              <w:bottom w:val="single" w:sz="8" w:space="0" w:color="000000"/>
              <w:right w:val="nil"/>
            </w:tcBorders>
            <w:shd w:val="clear" w:color="auto" w:fill="D5DCE4" w:themeFill="text2" w:themeFillTint="33"/>
            <w:vAlign w:val="center"/>
            <w:hideMark/>
          </w:tcPr>
          <w:p w:rsidR="000E69DA" w:rsidRPr="00A73102" w:rsidRDefault="000E69DA" w:rsidP="000E69DA">
            <w:pPr>
              <w:rPr>
                <w:rFonts w:ascii="Arial" w:hAnsi="Arial" w:cs="Arial"/>
                <w:b/>
                <w:bCs/>
                <w:color w:val="000000"/>
                <w:sz w:val="18"/>
                <w:szCs w:val="18"/>
              </w:rPr>
            </w:pPr>
          </w:p>
        </w:tc>
        <w:tc>
          <w:tcPr>
            <w:tcW w:w="960" w:type="dxa"/>
            <w:vMerge/>
            <w:tcBorders>
              <w:top w:val="single" w:sz="8" w:space="0" w:color="auto"/>
              <w:left w:val="nil"/>
              <w:bottom w:val="single" w:sz="8" w:space="0" w:color="000000"/>
              <w:right w:val="nil"/>
            </w:tcBorders>
            <w:shd w:val="clear" w:color="auto" w:fill="D5DCE4" w:themeFill="text2" w:themeFillTint="33"/>
            <w:vAlign w:val="center"/>
            <w:hideMark/>
          </w:tcPr>
          <w:p w:rsidR="000E69DA" w:rsidRPr="00A73102" w:rsidRDefault="000E69DA" w:rsidP="000E69DA">
            <w:pPr>
              <w:rPr>
                <w:rFonts w:ascii="Arial" w:hAnsi="Arial" w:cs="Arial"/>
                <w:b/>
                <w:bCs/>
                <w:color w:val="000000"/>
                <w:sz w:val="18"/>
                <w:szCs w:val="18"/>
              </w:rPr>
            </w:pPr>
          </w:p>
        </w:tc>
        <w:tc>
          <w:tcPr>
            <w:tcW w:w="1680" w:type="dxa"/>
            <w:vMerge/>
            <w:tcBorders>
              <w:top w:val="single" w:sz="8" w:space="0" w:color="auto"/>
              <w:left w:val="nil"/>
              <w:bottom w:val="single" w:sz="8" w:space="0" w:color="000000"/>
              <w:right w:val="nil"/>
            </w:tcBorders>
            <w:shd w:val="clear" w:color="auto" w:fill="D5DCE4" w:themeFill="text2" w:themeFillTint="33"/>
            <w:vAlign w:val="center"/>
            <w:hideMark/>
          </w:tcPr>
          <w:p w:rsidR="000E69DA" w:rsidRPr="00A73102" w:rsidRDefault="000E69DA" w:rsidP="000E69DA">
            <w:pPr>
              <w:rPr>
                <w:rFonts w:ascii="Arial" w:hAnsi="Arial" w:cs="Arial"/>
                <w:b/>
                <w:bCs/>
                <w:color w:val="000000"/>
                <w:sz w:val="18"/>
                <w:szCs w:val="18"/>
              </w:rPr>
            </w:pPr>
          </w:p>
        </w:tc>
        <w:tc>
          <w:tcPr>
            <w:tcW w:w="2161" w:type="dxa"/>
            <w:vMerge/>
            <w:tcBorders>
              <w:top w:val="single" w:sz="8" w:space="0" w:color="auto"/>
              <w:left w:val="nil"/>
              <w:bottom w:val="single" w:sz="8" w:space="0" w:color="000000"/>
              <w:right w:val="nil"/>
            </w:tcBorders>
            <w:shd w:val="clear" w:color="auto" w:fill="D5DCE4" w:themeFill="text2" w:themeFillTint="33"/>
            <w:vAlign w:val="center"/>
            <w:hideMark/>
          </w:tcPr>
          <w:p w:rsidR="000E69DA" w:rsidRPr="00A73102" w:rsidRDefault="000E69DA" w:rsidP="000E69DA">
            <w:pPr>
              <w:rPr>
                <w:rFonts w:ascii="Arial" w:hAnsi="Arial" w:cs="Arial"/>
                <w:b/>
                <w:bCs/>
                <w:color w:val="000000"/>
                <w:sz w:val="18"/>
                <w:szCs w:val="18"/>
              </w:rPr>
            </w:pPr>
          </w:p>
        </w:tc>
      </w:tr>
      <w:tr w:rsidR="000E69DA" w:rsidRPr="00A73102" w:rsidTr="009F0EF4">
        <w:trPr>
          <w:trHeight w:val="288"/>
        </w:trPr>
        <w:tc>
          <w:tcPr>
            <w:tcW w:w="960" w:type="dxa"/>
            <w:tcBorders>
              <w:top w:val="nil"/>
              <w:left w:val="nil"/>
              <w:bottom w:val="nil"/>
              <w:right w:val="nil"/>
            </w:tcBorders>
            <w:shd w:val="clear" w:color="auto" w:fill="D5DCE4" w:themeFill="text2" w:themeFillTint="33"/>
            <w:noWrap/>
            <w:vAlign w:val="center"/>
            <w:hideMark/>
          </w:tcPr>
          <w:p w:rsidR="000E69DA" w:rsidRPr="008F64BA" w:rsidRDefault="000E69DA" w:rsidP="000E69DA">
            <w:pPr>
              <w:jc w:val="center"/>
              <w:rPr>
                <w:rFonts w:ascii="Arial" w:hAnsi="Arial" w:cs="Arial"/>
                <w:i/>
                <w:iCs/>
                <w:color w:val="000000"/>
                <w:sz w:val="16"/>
                <w:szCs w:val="16"/>
              </w:rPr>
            </w:pPr>
            <w:r w:rsidRPr="008F64BA">
              <w:rPr>
                <w:rFonts w:ascii="Arial" w:hAnsi="Arial" w:cs="Arial"/>
                <w:i/>
                <w:iCs/>
                <w:color w:val="000000"/>
                <w:sz w:val="16"/>
                <w:szCs w:val="16"/>
              </w:rPr>
              <w:t>1</w:t>
            </w:r>
          </w:p>
        </w:tc>
        <w:tc>
          <w:tcPr>
            <w:tcW w:w="4020" w:type="dxa"/>
            <w:tcBorders>
              <w:top w:val="nil"/>
              <w:left w:val="nil"/>
              <w:bottom w:val="nil"/>
              <w:right w:val="nil"/>
            </w:tcBorders>
            <w:shd w:val="clear" w:color="auto" w:fill="D5DCE4" w:themeFill="text2" w:themeFillTint="33"/>
            <w:noWrap/>
            <w:vAlign w:val="center"/>
            <w:hideMark/>
          </w:tcPr>
          <w:p w:rsidR="000E69DA" w:rsidRPr="008F64BA" w:rsidRDefault="000E69DA" w:rsidP="000E69DA">
            <w:pPr>
              <w:jc w:val="center"/>
              <w:rPr>
                <w:rFonts w:ascii="Arial" w:hAnsi="Arial" w:cs="Arial"/>
                <w:i/>
                <w:iCs/>
                <w:color w:val="000000"/>
                <w:sz w:val="16"/>
                <w:szCs w:val="16"/>
              </w:rPr>
            </w:pPr>
            <w:r w:rsidRPr="008F64BA">
              <w:rPr>
                <w:rFonts w:ascii="Arial" w:hAnsi="Arial" w:cs="Arial"/>
                <w:i/>
                <w:iCs/>
                <w:color w:val="000000"/>
                <w:sz w:val="16"/>
                <w:szCs w:val="16"/>
              </w:rPr>
              <w:t>2</w:t>
            </w:r>
          </w:p>
        </w:tc>
        <w:tc>
          <w:tcPr>
            <w:tcW w:w="960" w:type="dxa"/>
            <w:tcBorders>
              <w:top w:val="nil"/>
              <w:left w:val="nil"/>
              <w:bottom w:val="nil"/>
              <w:right w:val="nil"/>
            </w:tcBorders>
            <w:shd w:val="clear" w:color="auto" w:fill="D5DCE4" w:themeFill="text2" w:themeFillTint="33"/>
            <w:noWrap/>
            <w:vAlign w:val="center"/>
            <w:hideMark/>
          </w:tcPr>
          <w:p w:rsidR="000E69DA" w:rsidRPr="008F64BA" w:rsidRDefault="000E69DA" w:rsidP="000E69DA">
            <w:pPr>
              <w:jc w:val="center"/>
              <w:rPr>
                <w:rFonts w:ascii="Arial" w:hAnsi="Arial" w:cs="Arial"/>
                <w:i/>
                <w:iCs/>
                <w:color w:val="000000"/>
                <w:sz w:val="16"/>
                <w:szCs w:val="16"/>
              </w:rPr>
            </w:pPr>
            <w:r w:rsidRPr="008F64BA">
              <w:rPr>
                <w:rFonts w:ascii="Arial" w:hAnsi="Arial" w:cs="Arial"/>
                <w:i/>
                <w:iCs/>
                <w:color w:val="000000"/>
                <w:sz w:val="16"/>
                <w:szCs w:val="16"/>
              </w:rPr>
              <w:t>3</w:t>
            </w:r>
          </w:p>
        </w:tc>
        <w:tc>
          <w:tcPr>
            <w:tcW w:w="1680" w:type="dxa"/>
            <w:tcBorders>
              <w:top w:val="nil"/>
              <w:left w:val="nil"/>
              <w:bottom w:val="nil"/>
              <w:right w:val="nil"/>
            </w:tcBorders>
            <w:shd w:val="clear" w:color="auto" w:fill="D5DCE4" w:themeFill="text2" w:themeFillTint="33"/>
            <w:noWrap/>
            <w:vAlign w:val="center"/>
            <w:hideMark/>
          </w:tcPr>
          <w:p w:rsidR="000E69DA" w:rsidRPr="008F64BA" w:rsidRDefault="000E69DA" w:rsidP="000E69DA">
            <w:pPr>
              <w:jc w:val="center"/>
              <w:rPr>
                <w:rFonts w:ascii="Arial" w:hAnsi="Arial" w:cs="Arial"/>
                <w:i/>
                <w:iCs/>
                <w:color w:val="000000"/>
                <w:sz w:val="16"/>
                <w:szCs w:val="16"/>
              </w:rPr>
            </w:pPr>
            <w:r w:rsidRPr="008F64BA">
              <w:rPr>
                <w:rFonts w:ascii="Arial" w:hAnsi="Arial" w:cs="Arial"/>
                <w:i/>
                <w:iCs/>
                <w:color w:val="000000"/>
                <w:sz w:val="16"/>
                <w:szCs w:val="16"/>
              </w:rPr>
              <w:t>4</w:t>
            </w:r>
          </w:p>
        </w:tc>
        <w:tc>
          <w:tcPr>
            <w:tcW w:w="2161" w:type="dxa"/>
            <w:tcBorders>
              <w:top w:val="nil"/>
              <w:left w:val="nil"/>
              <w:bottom w:val="nil"/>
              <w:right w:val="nil"/>
            </w:tcBorders>
            <w:shd w:val="clear" w:color="auto" w:fill="D5DCE4" w:themeFill="text2" w:themeFillTint="33"/>
            <w:noWrap/>
            <w:vAlign w:val="center"/>
            <w:hideMark/>
          </w:tcPr>
          <w:p w:rsidR="000E69DA" w:rsidRPr="008F64BA" w:rsidRDefault="000E69DA" w:rsidP="000E69DA">
            <w:pPr>
              <w:jc w:val="center"/>
              <w:rPr>
                <w:rFonts w:ascii="Arial" w:hAnsi="Arial" w:cs="Arial"/>
                <w:i/>
                <w:iCs/>
                <w:color w:val="000000"/>
                <w:sz w:val="16"/>
                <w:szCs w:val="16"/>
              </w:rPr>
            </w:pPr>
            <w:r w:rsidRPr="008F64BA">
              <w:rPr>
                <w:rFonts w:ascii="Arial" w:hAnsi="Arial" w:cs="Arial"/>
                <w:i/>
                <w:iCs/>
                <w:color w:val="000000"/>
                <w:sz w:val="16"/>
                <w:szCs w:val="16"/>
              </w:rPr>
              <w:t>5</w:t>
            </w:r>
          </w:p>
        </w:tc>
      </w:tr>
      <w:tr w:rsidR="000E69DA" w:rsidRPr="00A73102" w:rsidTr="009F0EF4">
        <w:trPr>
          <w:trHeight w:val="288"/>
        </w:trPr>
        <w:tc>
          <w:tcPr>
            <w:tcW w:w="960" w:type="dxa"/>
            <w:tcBorders>
              <w:top w:val="single" w:sz="4" w:space="0" w:color="auto"/>
              <w:left w:val="nil"/>
              <w:bottom w:val="single" w:sz="4" w:space="0" w:color="auto"/>
              <w:right w:val="nil"/>
            </w:tcBorders>
            <w:shd w:val="clear" w:color="auto" w:fill="auto"/>
            <w:noWrap/>
            <w:vAlign w:val="center"/>
            <w:hideMark/>
          </w:tcPr>
          <w:p w:rsidR="000E69DA" w:rsidRPr="00A73102" w:rsidRDefault="000E69DA" w:rsidP="000E69DA">
            <w:pPr>
              <w:jc w:val="both"/>
              <w:rPr>
                <w:rFonts w:ascii="Arial" w:hAnsi="Arial" w:cs="Arial"/>
                <w:b/>
                <w:bCs/>
                <w:color w:val="000000"/>
                <w:sz w:val="18"/>
                <w:szCs w:val="18"/>
              </w:rPr>
            </w:pPr>
            <w:r w:rsidRPr="00A73102">
              <w:rPr>
                <w:rFonts w:ascii="Arial" w:hAnsi="Arial" w:cs="Arial"/>
                <w:b/>
                <w:bCs/>
                <w:color w:val="000000"/>
                <w:sz w:val="18"/>
                <w:szCs w:val="18"/>
              </w:rPr>
              <w:t>922</w:t>
            </w:r>
          </w:p>
        </w:tc>
        <w:tc>
          <w:tcPr>
            <w:tcW w:w="4020" w:type="dxa"/>
            <w:tcBorders>
              <w:top w:val="single" w:sz="4" w:space="0" w:color="auto"/>
              <w:left w:val="nil"/>
              <w:bottom w:val="single" w:sz="4" w:space="0" w:color="auto"/>
              <w:right w:val="nil"/>
            </w:tcBorders>
            <w:shd w:val="clear" w:color="auto" w:fill="auto"/>
            <w:noWrap/>
            <w:vAlign w:val="center"/>
            <w:hideMark/>
          </w:tcPr>
          <w:p w:rsidR="000E69DA" w:rsidRPr="00A73102" w:rsidRDefault="000E69DA" w:rsidP="000E69DA">
            <w:pPr>
              <w:jc w:val="both"/>
              <w:rPr>
                <w:rFonts w:ascii="Arial" w:hAnsi="Arial" w:cs="Arial"/>
                <w:b/>
                <w:bCs/>
                <w:color w:val="000000"/>
                <w:sz w:val="18"/>
                <w:szCs w:val="18"/>
              </w:rPr>
            </w:pPr>
            <w:r w:rsidRPr="00A73102">
              <w:rPr>
                <w:rFonts w:ascii="Arial" w:hAnsi="Arial" w:cs="Arial"/>
                <w:b/>
                <w:bCs/>
                <w:color w:val="000000"/>
                <w:sz w:val="18"/>
                <w:szCs w:val="18"/>
              </w:rPr>
              <w:t>Višak/manjak prihoda</w:t>
            </w:r>
          </w:p>
        </w:tc>
        <w:tc>
          <w:tcPr>
            <w:tcW w:w="960" w:type="dxa"/>
            <w:tcBorders>
              <w:top w:val="single" w:sz="4" w:space="0" w:color="auto"/>
              <w:left w:val="nil"/>
              <w:bottom w:val="single" w:sz="4" w:space="0" w:color="auto"/>
              <w:right w:val="nil"/>
            </w:tcBorders>
            <w:shd w:val="clear" w:color="auto" w:fill="auto"/>
            <w:noWrap/>
            <w:vAlign w:val="center"/>
            <w:hideMark/>
          </w:tcPr>
          <w:p w:rsidR="000E69DA" w:rsidRPr="00A73102" w:rsidRDefault="00B81236" w:rsidP="000E69DA">
            <w:pPr>
              <w:jc w:val="center"/>
              <w:rPr>
                <w:rFonts w:ascii="Arial" w:hAnsi="Arial" w:cs="Arial"/>
                <w:b/>
                <w:bCs/>
                <w:color w:val="000000"/>
                <w:sz w:val="18"/>
                <w:szCs w:val="18"/>
              </w:rPr>
            </w:pPr>
            <w:r w:rsidRPr="00A73102">
              <w:rPr>
                <w:rFonts w:ascii="Arial" w:hAnsi="Arial" w:cs="Arial"/>
                <w:b/>
                <w:bCs/>
                <w:color w:val="000000"/>
                <w:sz w:val="18"/>
                <w:szCs w:val="18"/>
              </w:rPr>
              <w:t>922</w:t>
            </w:r>
          </w:p>
        </w:tc>
        <w:tc>
          <w:tcPr>
            <w:tcW w:w="1680" w:type="dxa"/>
            <w:tcBorders>
              <w:top w:val="single" w:sz="4" w:space="0" w:color="auto"/>
              <w:left w:val="nil"/>
              <w:bottom w:val="single" w:sz="4" w:space="0" w:color="auto"/>
              <w:right w:val="nil"/>
            </w:tcBorders>
            <w:shd w:val="clear" w:color="auto" w:fill="auto"/>
            <w:noWrap/>
            <w:vAlign w:val="center"/>
            <w:hideMark/>
          </w:tcPr>
          <w:p w:rsidR="000E69DA" w:rsidRPr="00A73102" w:rsidRDefault="00F27C7D" w:rsidP="000E69DA">
            <w:pPr>
              <w:jc w:val="right"/>
              <w:rPr>
                <w:rFonts w:ascii="Arial" w:hAnsi="Arial" w:cs="Arial"/>
                <w:b/>
                <w:bCs/>
                <w:color w:val="000000"/>
                <w:sz w:val="18"/>
                <w:szCs w:val="18"/>
              </w:rPr>
            </w:pPr>
            <w:r w:rsidRPr="00A73102">
              <w:rPr>
                <w:rFonts w:ascii="Arial" w:hAnsi="Arial" w:cs="Arial"/>
                <w:b/>
                <w:bCs/>
                <w:color w:val="000000"/>
                <w:sz w:val="18"/>
                <w:szCs w:val="18"/>
              </w:rPr>
              <w:t>-98.948.638,00</w:t>
            </w:r>
          </w:p>
        </w:tc>
        <w:tc>
          <w:tcPr>
            <w:tcW w:w="2161" w:type="dxa"/>
            <w:tcBorders>
              <w:top w:val="single" w:sz="4" w:space="0" w:color="auto"/>
              <w:left w:val="nil"/>
              <w:bottom w:val="single" w:sz="4" w:space="0" w:color="auto"/>
              <w:right w:val="nil"/>
            </w:tcBorders>
            <w:shd w:val="clear" w:color="auto" w:fill="auto"/>
            <w:noWrap/>
            <w:vAlign w:val="center"/>
            <w:hideMark/>
          </w:tcPr>
          <w:p w:rsidR="000E69DA" w:rsidRPr="00A73102" w:rsidRDefault="005B42B9" w:rsidP="000E69DA">
            <w:pPr>
              <w:jc w:val="right"/>
              <w:rPr>
                <w:rFonts w:ascii="Arial" w:hAnsi="Arial" w:cs="Arial"/>
                <w:b/>
                <w:bCs/>
                <w:color w:val="000000"/>
                <w:sz w:val="18"/>
                <w:szCs w:val="18"/>
              </w:rPr>
            </w:pPr>
            <w:r w:rsidRPr="00A73102">
              <w:rPr>
                <w:rFonts w:ascii="Arial" w:hAnsi="Arial" w:cs="Arial"/>
                <w:b/>
                <w:bCs/>
                <w:color w:val="000000"/>
                <w:sz w:val="18"/>
                <w:szCs w:val="18"/>
              </w:rPr>
              <w:t>-7.085.094,11</w:t>
            </w:r>
          </w:p>
        </w:tc>
      </w:tr>
      <w:tr w:rsidR="000E69DA" w:rsidRPr="00A73102" w:rsidTr="009F0EF4">
        <w:trPr>
          <w:trHeight w:val="288"/>
        </w:trPr>
        <w:tc>
          <w:tcPr>
            <w:tcW w:w="960" w:type="dxa"/>
            <w:tcBorders>
              <w:top w:val="nil"/>
              <w:left w:val="nil"/>
              <w:bottom w:val="single" w:sz="4" w:space="0" w:color="auto"/>
              <w:right w:val="nil"/>
            </w:tcBorders>
            <w:shd w:val="clear" w:color="auto" w:fill="auto"/>
            <w:vAlign w:val="center"/>
            <w:hideMark/>
          </w:tcPr>
          <w:p w:rsidR="000E69DA" w:rsidRPr="00A73102" w:rsidRDefault="000E69DA" w:rsidP="000E69DA">
            <w:pPr>
              <w:jc w:val="both"/>
              <w:rPr>
                <w:rFonts w:ascii="Arial" w:hAnsi="Arial" w:cs="Arial"/>
                <w:color w:val="000000"/>
                <w:sz w:val="18"/>
                <w:szCs w:val="18"/>
              </w:rPr>
            </w:pPr>
            <w:r w:rsidRPr="00A73102">
              <w:rPr>
                <w:rFonts w:ascii="Arial" w:hAnsi="Arial" w:cs="Arial"/>
                <w:color w:val="000000"/>
                <w:sz w:val="18"/>
                <w:szCs w:val="18"/>
              </w:rPr>
              <w:t>92211</w:t>
            </w:r>
          </w:p>
        </w:tc>
        <w:tc>
          <w:tcPr>
            <w:tcW w:w="4020" w:type="dxa"/>
            <w:tcBorders>
              <w:top w:val="nil"/>
              <w:left w:val="nil"/>
              <w:bottom w:val="single" w:sz="4" w:space="0" w:color="auto"/>
              <w:right w:val="nil"/>
            </w:tcBorders>
            <w:shd w:val="clear" w:color="auto" w:fill="auto"/>
            <w:vAlign w:val="center"/>
            <w:hideMark/>
          </w:tcPr>
          <w:p w:rsidR="000E69DA" w:rsidRPr="00A73102" w:rsidRDefault="000E69DA" w:rsidP="000E69DA">
            <w:pPr>
              <w:jc w:val="both"/>
              <w:rPr>
                <w:rFonts w:ascii="Arial" w:hAnsi="Arial" w:cs="Arial"/>
                <w:color w:val="000000"/>
                <w:sz w:val="18"/>
                <w:szCs w:val="18"/>
              </w:rPr>
            </w:pPr>
            <w:r w:rsidRPr="00A73102">
              <w:rPr>
                <w:rFonts w:ascii="Arial" w:hAnsi="Arial" w:cs="Arial"/>
                <w:color w:val="000000"/>
                <w:sz w:val="18"/>
                <w:szCs w:val="18"/>
              </w:rPr>
              <w:t>Višak prihoda poslovanja</w:t>
            </w:r>
          </w:p>
        </w:tc>
        <w:tc>
          <w:tcPr>
            <w:tcW w:w="960" w:type="dxa"/>
            <w:tcBorders>
              <w:top w:val="nil"/>
              <w:left w:val="nil"/>
              <w:bottom w:val="single" w:sz="4" w:space="0" w:color="auto"/>
              <w:right w:val="nil"/>
            </w:tcBorders>
            <w:shd w:val="clear" w:color="auto" w:fill="auto"/>
            <w:noWrap/>
            <w:vAlign w:val="center"/>
            <w:hideMark/>
          </w:tcPr>
          <w:p w:rsidR="000E69DA" w:rsidRPr="00A73102" w:rsidRDefault="00B81236" w:rsidP="000E69DA">
            <w:pPr>
              <w:jc w:val="center"/>
              <w:rPr>
                <w:rFonts w:ascii="Arial" w:hAnsi="Arial" w:cs="Arial"/>
                <w:color w:val="000000"/>
                <w:sz w:val="18"/>
                <w:szCs w:val="18"/>
              </w:rPr>
            </w:pPr>
            <w:r w:rsidRPr="00A73102">
              <w:rPr>
                <w:rFonts w:ascii="Arial" w:hAnsi="Arial" w:cs="Arial"/>
                <w:color w:val="000000"/>
                <w:sz w:val="18"/>
                <w:szCs w:val="18"/>
              </w:rPr>
              <w:t>92211</w:t>
            </w:r>
          </w:p>
        </w:tc>
        <w:tc>
          <w:tcPr>
            <w:tcW w:w="1680" w:type="dxa"/>
            <w:tcBorders>
              <w:top w:val="nil"/>
              <w:left w:val="nil"/>
              <w:bottom w:val="single" w:sz="4" w:space="0" w:color="auto"/>
              <w:right w:val="nil"/>
            </w:tcBorders>
            <w:shd w:val="clear" w:color="auto" w:fill="auto"/>
            <w:noWrap/>
            <w:vAlign w:val="center"/>
            <w:hideMark/>
          </w:tcPr>
          <w:p w:rsidR="000E69DA" w:rsidRPr="00A73102" w:rsidRDefault="00F27C7D" w:rsidP="00950585">
            <w:pPr>
              <w:jc w:val="right"/>
              <w:rPr>
                <w:rFonts w:ascii="Arial" w:hAnsi="Arial" w:cs="Arial"/>
                <w:color w:val="000000"/>
                <w:sz w:val="18"/>
                <w:szCs w:val="18"/>
              </w:rPr>
            </w:pPr>
            <w:r w:rsidRPr="00A73102">
              <w:rPr>
                <w:rFonts w:ascii="Arial" w:hAnsi="Arial" w:cs="Arial"/>
                <w:color w:val="000000"/>
                <w:sz w:val="18"/>
                <w:szCs w:val="18"/>
              </w:rPr>
              <w:t>198.635.292,00</w:t>
            </w:r>
          </w:p>
        </w:tc>
        <w:tc>
          <w:tcPr>
            <w:tcW w:w="2161" w:type="dxa"/>
            <w:tcBorders>
              <w:top w:val="nil"/>
              <w:left w:val="nil"/>
              <w:bottom w:val="single" w:sz="4" w:space="0" w:color="auto"/>
              <w:right w:val="nil"/>
            </w:tcBorders>
            <w:shd w:val="clear" w:color="auto" w:fill="auto"/>
            <w:noWrap/>
            <w:vAlign w:val="center"/>
            <w:hideMark/>
          </w:tcPr>
          <w:p w:rsidR="000E69DA" w:rsidRPr="00A73102" w:rsidRDefault="005B42B9" w:rsidP="000E69DA">
            <w:pPr>
              <w:jc w:val="right"/>
              <w:rPr>
                <w:rFonts w:ascii="Arial" w:hAnsi="Arial" w:cs="Arial"/>
                <w:color w:val="000000"/>
                <w:sz w:val="18"/>
                <w:szCs w:val="18"/>
              </w:rPr>
            </w:pPr>
            <w:r w:rsidRPr="00A73102">
              <w:rPr>
                <w:rFonts w:ascii="Arial" w:hAnsi="Arial" w:cs="Arial"/>
                <w:color w:val="000000"/>
                <w:sz w:val="18"/>
                <w:szCs w:val="18"/>
              </w:rPr>
              <w:t>392.953.273,32</w:t>
            </w:r>
          </w:p>
        </w:tc>
      </w:tr>
      <w:tr w:rsidR="000E69DA" w:rsidRPr="00A73102" w:rsidTr="009F0EF4">
        <w:trPr>
          <w:trHeight w:val="288"/>
        </w:trPr>
        <w:tc>
          <w:tcPr>
            <w:tcW w:w="960" w:type="dxa"/>
            <w:tcBorders>
              <w:top w:val="nil"/>
              <w:left w:val="nil"/>
              <w:bottom w:val="single" w:sz="4" w:space="0" w:color="auto"/>
              <w:right w:val="nil"/>
            </w:tcBorders>
            <w:shd w:val="clear" w:color="auto" w:fill="auto"/>
            <w:vAlign w:val="center"/>
            <w:hideMark/>
          </w:tcPr>
          <w:p w:rsidR="000E69DA" w:rsidRPr="00A73102" w:rsidRDefault="000E69DA" w:rsidP="000E69DA">
            <w:pPr>
              <w:jc w:val="both"/>
              <w:rPr>
                <w:rFonts w:ascii="Arial" w:hAnsi="Arial" w:cs="Arial"/>
                <w:color w:val="000000"/>
                <w:sz w:val="18"/>
                <w:szCs w:val="18"/>
              </w:rPr>
            </w:pPr>
            <w:r w:rsidRPr="00A73102">
              <w:rPr>
                <w:rFonts w:ascii="Arial" w:hAnsi="Arial" w:cs="Arial"/>
                <w:color w:val="000000"/>
                <w:sz w:val="18"/>
                <w:szCs w:val="18"/>
              </w:rPr>
              <w:t>92222</w:t>
            </w:r>
          </w:p>
        </w:tc>
        <w:tc>
          <w:tcPr>
            <w:tcW w:w="4020" w:type="dxa"/>
            <w:tcBorders>
              <w:top w:val="nil"/>
              <w:left w:val="nil"/>
              <w:bottom w:val="single" w:sz="4" w:space="0" w:color="auto"/>
              <w:right w:val="nil"/>
            </w:tcBorders>
            <w:shd w:val="clear" w:color="auto" w:fill="auto"/>
            <w:vAlign w:val="center"/>
            <w:hideMark/>
          </w:tcPr>
          <w:p w:rsidR="000E69DA" w:rsidRPr="00A73102" w:rsidRDefault="000E69DA" w:rsidP="000E69DA">
            <w:pPr>
              <w:jc w:val="both"/>
              <w:rPr>
                <w:rFonts w:ascii="Arial" w:hAnsi="Arial" w:cs="Arial"/>
                <w:color w:val="000000"/>
                <w:sz w:val="18"/>
                <w:szCs w:val="18"/>
              </w:rPr>
            </w:pPr>
            <w:r w:rsidRPr="00A73102">
              <w:rPr>
                <w:rFonts w:ascii="Arial" w:hAnsi="Arial" w:cs="Arial"/>
                <w:color w:val="000000"/>
                <w:sz w:val="18"/>
                <w:szCs w:val="18"/>
              </w:rPr>
              <w:t>Manjak prihoda od nefinancijske imovine</w:t>
            </w:r>
          </w:p>
        </w:tc>
        <w:tc>
          <w:tcPr>
            <w:tcW w:w="960" w:type="dxa"/>
            <w:tcBorders>
              <w:top w:val="nil"/>
              <w:left w:val="nil"/>
              <w:bottom w:val="single" w:sz="4" w:space="0" w:color="auto"/>
              <w:right w:val="nil"/>
            </w:tcBorders>
            <w:shd w:val="clear" w:color="auto" w:fill="auto"/>
            <w:noWrap/>
            <w:vAlign w:val="center"/>
            <w:hideMark/>
          </w:tcPr>
          <w:p w:rsidR="000E69DA" w:rsidRPr="00A73102" w:rsidRDefault="00B81236" w:rsidP="000E69DA">
            <w:pPr>
              <w:jc w:val="center"/>
              <w:rPr>
                <w:rFonts w:ascii="Arial" w:hAnsi="Arial" w:cs="Arial"/>
                <w:color w:val="000000"/>
                <w:sz w:val="18"/>
                <w:szCs w:val="18"/>
              </w:rPr>
            </w:pPr>
            <w:r w:rsidRPr="00A73102">
              <w:rPr>
                <w:rFonts w:ascii="Arial" w:hAnsi="Arial" w:cs="Arial"/>
                <w:color w:val="000000"/>
                <w:sz w:val="18"/>
                <w:szCs w:val="18"/>
              </w:rPr>
              <w:t>92222</w:t>
            </w:r>
          </w:p>
        </w:tc>
        <w:tc>
          <w:tcPr>
            <w:tcW w:w="1680" w:type="dxa"/>
            <w:tcBorders>
              <w:top w:val="nil"/>
              <w:left w:val="nil"/>
              <w:bottom w:val="single" w:sz="4" w:space="0" w:color="auto"/>
              <w:right w:val="nil"/>
            </w:tcBorders>
            <w:shd w:val="clear" w:color="auto" w:fill="auto"/>
            <w:noWrap/>
            <w:vAlign w:val="center"/>
            <w:hideMark/>
          </w:tcPr>
          <w:p w:rsidR="000E69DA" w:rsidRPr="00A73102" w:rsidRDefault="00F27C7D" w:rsidP="00950585">
            <w:pPr>
              <w:jc w:val="right"/>
              <w:rPr>
                <w:rFonts w:ascii="Arial" w:hAnsi="Arial" w:cs="Arial"/>
                <w:color w:val="000000"/>
                <w:sz w:val="18"/>
                <w:szCs w:val="18"/>
              </w:rPr>
            </w:pPr>
            <w:r w:rsidRPr="00A73102">
              <w:rPr>
                <w:rFonts w:ascii="Arial" w:hAnsi="Arial" w:cs="Arial"/>
                <w:color w:val="000000"/>
                <w:sz w:val="18"/>
                <w:szCs w:val="18"/>
              </w:rPr>
              <w:t>-283.136.185,00</w:t>
            </w:r>
          </w:p>
        </w:tc>
        <w:tc>
          <w:tcPr>
            <w:tcW w:w="2161" w:type="dxa"/>
            <w:tcBorders>
              <w:top w:val="nil"/>
              <w:left w:val="nil"/>
              <w:bottom w:val="single" w:sz="4" w:space="0" w:color="auto"/>
              <w:right w:val="nil"/>
            </w:tcBorders>
            <w:shd w:val="clear" w:color="auto" w:fill="auto"/>
            <w:noWrap/>
            <w:vAlign w:val="center"/>
            <w:hideMark/>
          </w:tcPr>
          <w:p w:rsidR="000E69DA" w:rsidRPr="00A73102" w:rsidRDefault="00025E76" w:rsidP="000E69DA">
            <w:pPr>
              <w:jc w:val="right"/>
              <w:rPr>
                <w:rFonts w:ascii="Arial" w:hAnsi="Arial" w:cs="Arial"/>
                <w:color w:val="000000"/>
                <w:sz w:val="18"/>
                <w:szCs w:val="18"/>
              </w:rPr>
            </w:pPr>
            <w:r w:rsidRPr="00A73102">
              <w:rPr>
                <w:rFonts w:ascii="Arial" w:hAnsi="Arial" w:cs="Arial"/>
                <w:color w:val="000000"/>
                <w:sz w:val="18"/>
                <w:szCs w:val="18"/>
              </w:rPr>
              <w:t>-</w:t>
            </w:r>
            <w:r w:rsidR="005B42B9" w:rsidRPr="00A73102">
              <w:rPr>
                <w:rFonts w:ascii="Arial" w:hAnsi="Arial" w:cs="Arial"/>
                <w:color w:val="000000"/>
                <w:sz w:val="18"/>
                <w:szCs w:val="18"/>
              </w:rPr>
              <w:t>303.604.325,44</w:t>
            </w:r>
          </w:p>
        </w:tc>
      </w:tr>
    </w:tbl>
    <w:p w:rsidR="00A74608" w:rsidRPr="00A73102" w:rsidRDefault="00B57F6B" w:rsidP="005B607B">
      <w:pPr>
        <w:pBdr>
          <w:bottom w:val="single" w:sz="4" w:space="3" w:color="auto"/>
        </w:pBdr>
        <w:jc w:val="both"/>
        <w:rPr>
          <w:rFonts w:ascii="Arial" w:hAnsi="Arial"/>
          <w:sz w:val="18"/>
          <w:szCs w:val="18"/>
        </w:rPr>
      </w:pPr>
      <w:r w:rsidRPr="00A73102">
        <w:rPr>
          <w:rFonts w:ascii="Arial" w:hAnsi="Arial"/>
          <w:b/>
        </w:rPr>
        <w:t xml:space="preserve"> </w:t>
      </w:r>
      <w:r w:rsidR="007D3E63" w:rsidRPr="00A73102">
        <w:rPr>
          <w:rFonts w:ascii="Arial" w:hAnsi="Arial"/>
          <w:b/>
        </w:rPr>
        <w:t xml:space="preserve"> </w:t>
      </w:r>
      <w:r w:rsidRPr="00A73102">
        <w:rPr>
          <w:rFonts w:ascii="Arial" w:hAnsi="Arial"/>
          <w:sz w:val="18"/>
          <w:szCs w:val="18"/>
        </w:rPr>
        <w:t>92223</w:t>
      </w:r>
      <w:r w:rsidR="007D3E63" w:rsidRPr="00A73102">
        <w:rPr>
          <w:rFonts w:ascii="Arial" w:hAnsi="Arial"/>
          <w:sz w:val="18"/>
          <w:szCs w:val="18"/>
        </w:rPr>
        <w:t xml:space="preserve">         Manjak primitaka od financijske imovine                   </w:t>
      </w:r>
      <w:r w:rsidR="00B81236" w:rsidRPr="00A73102">
        <w:rPr>
          <w:rFonts w:ascii="Arial" w:hAnsi="Arial"/>
          <w:sz w:val="18"/>
          <w:szCs w:val="18"/>
        </w:rPr>
        <w:t>92223</w:t>
      </w:r>
      <w:r w:rsidR="00F27C7D" w:rsidRPr="00A73102">
        <w:rPr>
          <w:rFonts w:ascii="Arial" w:hAnsi="Arial"/>
          <w:sz w:val="18"/>
          <w:szCs w:val="18"/>
        </w:rPr>
        <w:t xml:space="preserve">          </w:t>
      </w:r>
      <w:r w:rsidR="00025E76" w:rsidRPr="00A73102">
        <w:rPr>
          <w:rFonts w:ascii="Arial" w:hAnsi="Arial"/>
          <w:sz w:val="18"/>
          <w:szCs w:val="18"/>
        </w:rPr>
        <w:t xml:space="preserve"> </w:t>
      </w:r>
      <w:r w:rsidR="00A4306A" w:rsidRPr="00A73102">
        <w:rPr>
          <w:rFonts w:ascii="Arial" w:hAnsi="Arial"/>
          <w:sz w:val="18"/>
          <w:szCs w:val="18"/>
        </w:rPr>
        <w:t xml:space="preserve"> </w:t>
      </w:r>
      <w:r w:rsidR="00F27C7D" w:rsidRPr="00A73102">
        <w:rPr>
          <w:rFonts w:ascii="Arial" w:hAnsi="Arial"/>
          <w:sz w:val="18"/>
          <w:szCs w:val="18"/>
        </w:rPr>
        <w:t>-14.447.745,00</w:t>
      </w:r>
      <w:r w:rsidR="00FB23DB" w:rsidRPr="00A73102">
        <w:rPr>
          <w:rFonts w:ascii="Arial" w:hAnsi="Arial"/>
          <w:sz w:val="18"/>
          <w:szCs w:val="18"/>
        </w:rPr>
        <w:t xml:space="preserve">           </w:t>
      </w:r>
      <w:r w:rsidR="00A4306A" w:rsidRPr="00A73102">
        <w:rPr>
          <w:rFonts w:ascii="Arial" w:hAnsi="Arial"/>
          <w:sz w:val="18"/>
          <w:szCs w:val="18"/>
        </w:rPr>
        <w:t xml:space="preserve"> </w:t>
      </w:r>
      <w:r w:rsidR="00FB23DB" w:rsidRPr="00A73102">
        <w:rPr>
          <w:rFonts w:ascii="Arial" w:hAnsi="Arial"/>
          <w:sz w:val="18"/>
          <w:szCs w:val="18"/>
        </w:rPr>
        <w:t xml:space="preserve"> </w:t>
      </w:r>
      <w:r w:rsidR="00645632" w:rsidRPr="00A73102">
        <w:rPr>
          <w:rFonts w:ascii="Arial" w:hAnsi="Arial"/>
          <w:sz w:val="18"/>
          <w:szCs w:val="18"/>
        </w:rPr>
        <w:t xml:space="preserve"> </w:t>
      </w:r>
      <w:r w:rsidR="001D3434">
        <w:rPr>
          <w:rFonts w:ascii="Arial" w:hAnsi="Arial"/>
          <w:sz w:val="18"/>
          <w:szCs w:val="18"/>
        </w:rPr>
        <w:t xml:space="preserve">     </w:t>
      </w:r>
      <w:r w:rsidR="008B3D6C" w:rsidRPr="00A73102">
        <w:rPr>
          <w:rFonts w:ascii="Arial" w:hAnsi="Arial"/>
          <w:sz w:val="18"/>
          <w:szCs w:val="18"/>
        </w:rPr>
        <w:t>-</w:t>
      </w:r>
      <w:r w:rsidR="00FB23DB" w:rsidRPr="00A73102">
        <w:rPr>
          <w:rFonts w:ascii="Arial" w:hAnsi="Arial"/>
          <w:sz w:val="18"/>
          <w:szCs w:val="18"/>
        </w:rPr>
        <w:t>9</w:t>
      </w:r>
      <w:r w:rsidR="005B42B9" w:rsidRPr="00A73102">
        <w:rPr>
          <w:rFonts w:ascii="Arial" w:hAnsi="Arial"/>
          <w:sz w:val="18"/>
          <w:szCs w:val="18"/>
        </w:rPr>
        <w:t>6.434.041,99</w:t>
      </w:r>
    </w:p>
    <w:p w:rsidR="008D520F" w:rsidRDefault="008D520F" w:rsidP="004435A9">
      <w:pPr>
        <w:jc w:val="both"/>
        <w:rPr>
          <w:rFonts w:ascii="Arial" w:hAnsi="Arial"/>
          <w:color w:val="FF0000"/>
          <w:highlight w:val="green"/>
        </w:rPr>
      </w:pPr>
    </w:p>
    <w:p w:rsidR="00685D02" w:rsidRPr="00421E2D" w:rsidRDefault="00685D02" w:rsidP="004435A9">
      <w:pPr>
        <w:jc w:val="both"/>
        <w:rPr>
          <w:rFonts w:ascii="Arial" w:hAnsi="Arial"/>
          <w:color w:val="FF0000"/>
          <w:highlight w:val="green"/>
        </w:rPr>
      </w:pPr>
    </w:p>
    <w:p w:rsidR="00560E5B" w:rsidRPr="007F0E49" w:rsidRDefault="008D520F" w:rsidP="009327D0">
      <w:pPr>
        <w:jc w:val="both"/>
        <w:rPr>
          <w:rFonts w:ascii="Arial" w:hAnsi="Arial"/>
          <w:sz w:val="22"/>
          <w:szCs w:val="22"/>
        </w:rPr>
      </w:pPr>
      <w:r w:rsidRPr="007F0E49">
        <w:rPr>
          <w:rFonts w:ascii="Arial" w:hAnsi="Arial"/>
          <w:sz w:val="22"/>
          <w:szCs w:val="22"/>
        </w:rPr>
        <w:t xml:space="preserve">Gradsko vijeće Grada Rijeke je na svojoj sjednici održanoj </w:t>
      </w:r>
      <w:r w:rsidRPr="007F0E49">
        <w:rPr>
          <w:rFonts w:ascii="Arial" w:hAnsi="Arial" w:cs="Arial"/>
          <w:sz w:val="22"/>
          <w:szCs w:val="22"/>
        </w:rPr>
        <w:t>8. prosinca 2022. godine usvojilo Proračun Grada Rijeke z</w:t>
      </w:r>
      <w:r w:rsidR="009D41D9" w:rsidRPr="007F0E49">
        <w:rPr>
          <w:rFonts w:ascii="Arial" w:hAnsi="Arial" w:cs="Arial"/>
          <w:sz w:val="22"/>
          <w:szCs w:val="22"/>
        </w:rPr>
        <w:t>a</w:t>
      </w:r>
      <w:r w:rsidRPr="007F0E49">
        <w:rPr>
          <w:rFonts w:ascii="Arial" w:hAnsi="Arial" w:cs="Arial"/>
          <w:sz w:val="22"/>
          <w:szCs w:val="22"/>
        </w:rPr>
        <w:t xml:space="preserve"> 2023. godinu i projekcije za 2024. i 2025. godinu, kao i Višegodišnji plan uravnoteženja Proračuna Grada Rijeke za razdoblje od 2023. do 2025. godine (Službene novine Grada Rijeke broj, 15/22)</w:t>
      </w:r>
      <w:r w:rsidR="009327D0" w:rsidRPr="007F0E49">
        <w:rPr>
          <w:rFonts w:ascii="Arial" w:hAnsi="Arial" w:cs="Arial"/>
          <w:sz w:val="22"/>
          <w:szCs w:val="22"/>
        </w:rPr>
        <w:t xml:space="preserve"> kojim je definirano da će se </w:t>
      </w:r>
      <w:r w:rsidR="009327D0" w:rsidRPr="007F0E49">
        <w:rPr>
          <w:rFonts w:ascii="Arial" w:hAnsi="Arial"/>
          <w:sz w:val="22"/>
          <w:szCs w:val="22"/>
        </w:rPr>
        <w:t xml:space="preserve">dio ostvarenog tekućeg viška prihoda u iznosu od 4.212.330 </w:t>
      </w:r>
      <w:r w:rsidR="007D0A04" w:rsidRPr="007F0E49">
        <w:rPr>
          <w:rFonts w:ascii="Arial" w:hAnsi="Arial" w:cs="Arial"/>
          <w:sz w:val="22"/>
          <w:szCs w:val="22"/>
        </w:rPr>
        <w:t>eura</w:t>
      </w:r>
      <w:r w:rsidR="009327D0" w:rsidRPr="007F0E49">
        <w:rPr>
          <w:rFonts w:ascii="Arial" w:hAnsi="Arial"/>
          <w:sz w:val="22"/>
          <w:szCs w:val="22"/>
        </w:rPr>
        <w:t xml:space="preserve"> (31.737.800,38 kn), koji se odnosi na neutrošena sredstva od prodaje zemljišta za izgradnju višenamjenske građevine Kompleks Žabica</w:t>
      </w:r>
      <w:r w:rsidR="00F87D04">
        <w:rPr>
          <w:rFonts w:ascii="Arial" w:hAnsi="Arial"/>
          <w:sz w:val="22"/>
          <w:szCs w:val="22"/>
        </w:rPr>
        <w:t>,</w:t>
      </w:r>
      <w:r w:rsidR="009327D0" w:rsidRPr="007F0E49">
        <w:rPr>
          <w:rFonts w:ascii="Arial" w:hAnsi="Arial"/>
          <w:sz w:val="22"/>
          <w:szCs w:val="22"/>
        </w:rPr>
        <w:t xml:space="preserve"> koristi</w:t>
      </w:r>
      <w:r w:rsidR="009D41D9" w:rsidRPr="007F0E49">
        <w:rPr>
          <w:rFonts w:ascii="Arial" w:hAnsi="Arial"/>
          <w:sz w:val="22"/>
          <w:szCs w:val="22"/>
        </w:rPr>
        <w:t>ti</w:t>
      </w:r>
      <w:r w:rsidR="009327D0" w:rsidRPr="007F0E49">
        <w:rPr>
          <w:rFonts w:ascii="Arial" w:hAnsi="Arial"/>
          <w:sz w:val="22"/>
          <w:szCs w:val="22"/>
        </w:rPr>
        <w:t xml:space="preserve"> sukcesivno za financiranje </w:t>
      </w:r>
      <w:r w:rsidR="009327D0" w:rsidRPr="007F0E49">
        <w:rPr>
          <w:rFonts w:ascii="Arial" w:hAnsi="Arial" w:cs="Arial"/>
          <w:sz w:val="22"/>
          <w:szCs w:val="22"/>
        </w:rPr>
        <w:t>kapitalnih projekata u 2023. i 2024. godini.</w:t>
      </w:r>
      <w:r w:rsidR="009327D0" w:rsidRPr="007F0E49">
        <w:rPr>
          <w:rFonts w:ascii="Arial" w:hAnsi="Arial"/>
          <w:sz w:val="22"/>
          <w:szCs w:val="22"/>
        </w:rPr>
        <w:t xml:space="preserve"> </w:t>
      </w:r>
    </w:p>
    <w:p w:rsidR="009327D0" w:rsidRPr="007F0E49" w:rsidRDefault="009327D0" w:rsidP="009327D0">
      <w:pPr>
        <w:jc w:val="both"/>
        <w:rPr>
          <w:rFonts w:ascii="Arial" w:hAnsi="Arial"/>
          <w:sz w:val="22"/>
          <w:szCs w:val="22"/>
        </w:rPr>
      </w:pPr>
      <w:r w:rsidRPr="007F0E49">
        <w:rPr>
          <w:rFonts w:ascii="Arial" w:hAnsi="Arial" w:cs="Arial"/>
          <w:sz w:val="22"/>
          <w:szCs w:val="22"/>
        </w:rPr>
        <w:t xml:space="preserve">U 2023. godini iz dijela prenesenog viška u iznosu od 2.089.420 </w:t>
      </w:r>
      <w:r w:rsidR="007D0A04" w:rsidRPr="007F0E49">
        <w:rPr>
          <w:rFonts w:ascii="Arial" w:hAnsi="Arial" w:cs="Arial"/>
          <w:sz w:val="22"/>
          <w:szCs w:val="22"/>
        </w:rPr>
        <w:t>eura</w:t>
      </w:r>
      <w:r w:rsidRPr="007F0E49">
        <w:rPr>
          <w:rFonts w:ascii="Arial" w:hAnsi="Arial" w:cs="Arial"/>
          <w:sz w:val="22"/>
          <w:szCs w:val="22"/>
        </w:rPr>
        <w:t xml:space="preserve"> (15.742.734.99 kn) planiraju se financirati slijedeći kapitalni projekti: Sustav gospodarenja otpadom od vrata do vrata u iznosu od 597.300 </w:t>
      </w:r>
      <w:r w:rsidR="007D0A04" w:rsidRPr="007F0E49">
        <w:rPr>
          <w:rFonts w:ascii="Arial" w:hAnsi="Arial" w:cs="Arial"/>
          <w:sz w:val="22"/>
          <w:szCs w:val="22"/>
        </w:rPr>
        <w:t xml:space="preserve">eura </w:t>
      </w:r>
      <w:r w:rsidRPr="007F0E49">
        <w:rPr>
          <w:rFonts w:ascii="Arial" w:hAnsi="Arial" w:cs="Arial"/>
          <w:sz w:val="22"/>
          <w:szCs w:val="22"/>
        </w:rPr>
        <w:t xml:space="preserve">(4.500.356,85 kn), proširenje i dodatna ulaganja u javnu rasvjetu u iznosu od 663.620 </w:t>
      </w:r>
      <w:r w:rsidR="007D0A04" w:rsidRPr="007F0E49">
        <w:rPr>
          <w:rFonts w:ascii="Arial" w:hAnsi="Arial" w:cs="Arial"/>
          <w:sz w:val="22"/>
          <w:szCs w:val="22"/>
        </w:rPr>
        <w:t>eura</w:t>
      </w:r>
      <w:r w:rsidRPr="007F0E49">
        <w:rPr>
          <w:rFonts w:ascii="Arial" w:hAnsi="Arial" w:cs="Arial"/>
          <w:sz w:val="22"/>
          <w:szCs w:val="22"/>
        </w:rPr>
        <w:t xml:space="preserve"> (5.000.044,89 kn), SRC 3. maj - polaganje sportske podloge u iznosu od 212.300 </w:t>
      </w:r>
      <w:r w:rsidR="007D0A04" w:rsidRPr="007F0E49">
        <w:rPr>
          <w:rFonts w:ascii="Arial" w:hAnsi="Arial" w:cs="Arial"/>
          <w:sz w:val="22"/>
          <w:szCs w:val="22"/>
        </w:rPr>
        <w:t>eura</w:t>
      </w:r>
      <w:r w:rsidRPr="007F0E49">
        <w:rPr>
          <w:rFonts w:ascii="Arial" w:hAnsi="Arial" w:cs="Arial"/>
          <w:sz w:val="22"/>
          <w:szCs w:val="22"/>
        </w:rPr>
        <w:t xml:space="preserve"> (1.599.574,35 kn), SRC Belveder -proširenje igrališta i zamjena umjetne trave u iznosu od 252.200 </w:t>
      </w:r>
      <w:r w:rsidR="007D0A04" w:rsidRPr="007F0E49">
        <w:rPr>
          <w:rFonts w:ascii="Arial" w:hAnsi="Arial" w:cs="Arial"/>
          <w:sz w:val="22"/>
          <w:szCs w:val="22"/>
        </w:rPr>
        <w:t>eura</w:t>
      </w:r>
      <w:r w:rsidRPr="007F0E49">
        <w:rPr>
          <w:rFonts w:ascii="Arial" w:hAnsi="Arial" w:cs="Arial"/>
          <w:sz w:val="22"/>
          <w:szCs w:val="22"/>
        </w:rPr>
        <w:t xml:space="preserve"> (1.900.200,90 kn), Boćalište BK Draga Rijeka u iznosu od 166.000 </w:t>
      </w:r>
      <w:r w:rsidR="007D0A04" w:rsidRPr="007F0E49">
        <w:rPr>
          <w:rFonts w:ascii="Arial" w:hAnsi="Arial" w:cs="Arial"/>
          <w:sz w:val="22"/>
          <w:szCs w:val="22"/>
        </w:rPr>
        <w:t>eura</w:t>
      </w:r>
      <w:r w:rsidRPr="007F0E49">
        <w:rPr>
          <w:rFonts w:ascii="Arial" w:hAnsi="Arial" w:cs="Arial"/>
          <w:sz w:val="22"/>
          <w:szCs w:val="22"/>
        </w:rPr>
        <w:t xml:space="preserve"> (1.250.727,00 kn) i projekt Solarne elektrane u iznosu od 198.000 </w:t>
      </w:r>
      <w:r w:rsidR="007D0A04" w:rsidRPr="007F0E49">
        <w:rPr>
          <w:rFonts w:ascii="Arial" w:hAnsi="Arial" w:cs="Arial"/>
          <w:sz w:val="22"/>
          <w:szCs w:val="22"/>
        </w:rPr>
        <w:t xml:space="preserve">eura </w:t>
      </w:r>
      <w:r w:rsidRPr="007F0E49">
        <w:rPr>
          <w:rFonts w:ascii="Arial" w:hAnsi="Arial" w:cs="Arial"/>
          <w:sz w:val="22"/>
          <w:szCs w:val="22"/>
        </w:rPr>
        <w:t xml:space="preserve"> (1.491.831,00 kn).</w:t>
      </w:r>
    </w:p>
    <w:p w:rsidR="008D520F" w:rsidRPr="00426CDC" w:rsidRDefault="009327D0" w:rsidP="004435A9">
      <w:pPr>
        <w:jc w:val="both"/>
        <w:rPr>
          <w:rFonts w:ascii="Arial" w:hAnsi="Arial" w:cs="Arial"/>
          <w:sz w:val="22"/>
          <w:szCs w:val="22"/>
        </w:rPr>
      </w:pPr>
      <w:r w:rsidRPr="007F0E49">
        <w:rPr>
          <w:rFonts w:ascii="Arial" w:hAnsi="Arial" w:cs="Arial"/>
          <w:sz w:val="22"/>
          <w:szCs w:val="22"/>
        </w:rPr>
        <w:t xml:space="preserve">U 2024. godini planira se koristiti preostali dio prenesenog viška u iznosu od 2.122.910 </w:t>
      </w:r>
      <w:r w:rsidR="007D0A04" w:rsidRPr="007F0E49">
        <w:rPr>
          <w:rFonts w:ascii="Arial" w:hAnsi="Arial" w:cs="Arial"/>
          <w:sz w:val="22"/>
          <w:szCs w:val="22"/>
        </w:rPr>
        <w:t>eura</w:t>
      </w:r>
      <w:r w:rsidRPr="007F0E49">
        <w:rPr>
          <w:rFonts w:ascii="Arial" w:hAnsi="Arial" w:cs="Arial"/>
          <w:sz w:val="22"/>
          <w:szCs w:val="22"/>
        </w:rPr>
        <w:t xml:space="preserve"> (15.995.065,39 kn) za nastavak financiranja investicija započetih u 2023. godini: Sustav gospodarenja otpadom od vrata do vrata u iznosu od 929.100 </w:t>
      </w:r>
      <w:r w:rsidR="007D0A04" w:rsidRPr="007F0E49">
        <w:rPr>
          <w:rFonts w:ascii="Arial" w:hAnsi="Arial" w:cs="Arial"/>
          <w:sz w:val="22"/>
          <w:szCs w:val="22"/>
        </w:rPr>
        <w:t>eura</w:t>
      </w:r>
      <w:r w:rsidRPr="007F0E49">
        <w:rPr>
          <w:rFonts w:ascii="Arial" w:hAnsi="Arial" w:cs="Arial"/>
          <w:sz w:val="22"/>
          <w:szCs w:val="22"/>
        </w:rPr>
        <w:t xml:space="preserve"> (7.000.303,95 kn), Proširenje i dodatna ulaganja </w:t>
      </w:r>
      <w:r w:rsidRPr="007F0E49">
        <w:rPr>
          <w:rFonts w:ascii="Arial" w:hAnsi="Arial" w:cs="Arial"/>
          <w:sz w:val="22"/>
          <w:szCs w:val="22"/>
        </w:rPr>
        <w:lastRenderedPageBreak/>
        <w:t xml:space="preserve">u javnu rasvjetu u iznosu od 995.810 </w:t>
      </w:r>
      <w:r w:rsidR="007D0A04" w:rsidRPr="007F0E49">
        <w:rPr>
          <w:rFonts w:ascii="Arial" w:hAnsi="Arial" w:cs="Arial"/>
          <w:sz w:val="22"/>
          <w:szCs w:val="22"/>
        </w:rPr>
        <w:t>eura</w:t>
      </w:r>
      <w:r w:rsidRPr="007F0E49">
        <w:rPr>
          <w:rFonts w:ascii="Arial" w:hAnsi="Arial" w:cs="Arial"/>
          <w:sz w:val="22"/>
          <w:szCs w:val="22"/>
        </w:rPr>
        <w:t xml:space="preserve"> (7.502.930,44 kn) i na Solarne elektrane u iznosu od 198.000 </w:t>
      </w:r>
      <w:r w:rsidR="007D0A04" w:rsidRPr="007F0E49">
        <w:rPr>
          <w:rFonts w:ascii="Arial" w:hAnsi="Arial" w:cs="Arial"/>
          <w:sz w:val="22"/>
          <w:szCs w:val="22"/>
        </w:rPr>
        <w:t>eura</w:t>
      </w:r>
      <w:r w:rsidRPr="007F0E49">
        <w:rPr>
          <w:rFonts w:ascii="Arial" w:hAnsi="Arial" w:cs="Arial"/>
          <w:sz w:val="22"/>
          <w:szCs w:val="22"/>
        </w:rPr>
        <w:t xml:space="preserve"> (1.491.831,00 kn).</w:t>
      </w:r>
    </w:p>
    <w:p w:rsidR="00685D02" w:rsidRDefault="00685D02" w:rsidP="00782337">
      <w:pPr>
        <w:rPr>
          <w:rFonts w:ascii="Arial" w:hAnsi="Arial" w:cs="Arial"/>
          <w:sz w:val="22"/>
          <w:szCs w:val="22"/>
        </w:rPr>
      </w:pPr>
    </w:p>
    <w:p w:rsidR="00782337" w:rsidRPr="00F87D04" w:rsidRDefault="00782337" w:rsidP="00685D02">
      <w:pPr>
        <w:jc w:val="both"/>
        <w:rPr>
          <w:rFonts w:ascii="Arial" w:hAnsi="Arial" w:cs="Arial"/>
          <w:sz w:val="22"/>
          <w:szCs w:val="22"/>
        </w:rPr>
      </w:pPr>
      <w:r w:rsidRPr="00F87D04">
        <w:rPr>
          <w:rFonts w:ascii="Arial" w:hAnsi="Arial" w:cs="Arial"/>
          <w:sz w:val="22"/>
          <w:szCs w:val="22"/>
        </w:rPr>
        <w:t xml:space="preserve">Temeljem gore navedenog Višegodišnjeg plana uravnoteženja Proračuna Grada Rijeke za razdoblje od 2023. do 2025. godine </w:t>
      </w:r>
      <w:r w:rsidRPr="00F87D04">
        <w:rPr>
          <w:rFonts w:ascii="Arial" w:hAnsi="Arial" w:cs="Arial"/>
          <w:bCs/>
          <w:sz w:val="22"/>
          <w:szCs w:val="22"/>
        </w:rPr>
        <w:t>procijenjeni manjak za pokriće u slijedećem proračunskom razdoblju iznosi 5.530.000 eura (41.665.785,00 kn)</w:t>
      </w:r>
      <w:r w:rsidRPr="00F87D04">
        <w:rPr>
          <w:rFonts w:ascii="Arial" w:hAnsi="Arial" w:cs="Arial"/>
          <w:sz w:val="22"/>
          <w:szCs w:val="22"/>
        </w:rPr>
        <w:t xml:space="preserve"> te je navedeni iznos procijenjenog prenesenog manjka planiran u proračunu Grada Rijeke za 2023. godinu i projekcijama za 2024. i 2025. godinu na način da će se isti sukcesivno pokrivati i to u 2023. godini iznos od 3.330.000,00 eura, a u 2024. godini iznos od 2.200.000 eura.</w:t>
      </w:r>
    </w:p>
    <w:p w:rsidR="00782337" w:rsidRPr="00F87D04" w:rsidRDefault="00782337" w:rsidP="00685D02">
      <w:pPr>
        <w:jc w:val="both"/>
        <w:rPr>
          <w:rFonts w:ascii="Arial" w:hAnsi="Arial" w:cs="Arial"/>
          <w:sz w:val="22"/>
          <w:szCs w:val="22"/>
        </w:rPr>
      </w:pPr>
    </w:p>
    <w:p w:rsidR="00782337" w:rsidRPr="007F0E49" w:rsidRDefault="00782337" w:rsidP="00560E1C">
      <w:pPr>
        <w:jc w:val="both"/>
        <w:rPr>
          <w:rFonts w:ascii="Arial" w:hAnsi="Arial"/>
          <w:sz w:val="22"/>
          <w:szCs w:val="22"/>
        </w:rPr>
      </w:pPr>
    </w:p>
    <w:p w:rsidR="00263797" w:rsidRPr="007F0E49" w:rsidRDefault="000E69DA" w:rsidP="000E69DA">
      <w:pPr>
        <w:jc w:val="both"/>
        <w:rPr>
          <w:rFonts w:ascii="Arial" w:hAnsi="Arial"/>
          <w:sz w:val="22"/>
          <w:szCs w:val="22"/>
        </w:rPr>
      </w:pPr>
      <w:r w:rsidRPr="007F0E49">
        <w:rPr>
          <w:rFonts w:ascii="Arial" w:hAnsi="Arial"/>
          <w:b/>
          <w:sz w:val="22"/>
          <w:szCs w:val="22"/>
        </w:rPr>
        <w:t xml:space="preserve">Bilješka broj 6 </w:t>
      </w:r>
      <w:r w:rsidRPr="007F0E49">
        <w:rPr>
          <w:rFonts w:ascii="Arial" w:hAnsi="Arial" w:cs="Arial"/>
          <w:b/>
          <w:sz w:val="22"/>
          <w:szCs w:val="22"/>
        </w:rPr>
        <w:t xml:space="preserve">– </w:t>
      </w:r>
      <w:r w:rsidR="002141E6" w:rsidRPr="007F0E49">
        <w:rPr>
          <w:rFonts w:ascii="Arial" w:hAnsi="Arial"/>
          <w:b/>
          <w:sz w:val="22"/>
          <w:szCs w:val="22"/>
        </w:rPr>
        <w:t>Izvanbilančni zapisi (</w:t>
      </w:r>
      <w:r w:rsidR="00D13953" w:rsidRPr="007F0E49">
        <w:rPr>
          <w:rFonts w:ascii="Arial" w:hAnsi="Arial"/>
          <w:b/>
          <w:sz w:val="22"/>
          <w:szCs w:val="22"/>
        </w:rPr>
        <w:t>991-996</w:t>
      </w:r>
      <w:r w:rsidRPr="007F0E49">
        <w:rPr>
          <w:rFonts w:ascii="Arial" w:hAnsi="Arial"/>
          <w:b/>
          <w:sz w:val="22"/>
          <w:szCs w:val="22"/>
        </w:rPr>
        <w:t xml:space="preserve">) </w:t>
      </w:r>
      <w:r w:rsidR="00263797" w:rsidRPr="007F0E49">
        <w:rPr>
          <w:rFonts w:ascii="Arial" w:hAnsi="Arial"/>
          <w:sz w:val="22"/>
          <w:szCs w:val="22"/>
        </w:rPr>
        <w:t>sadrže vrijednosti poslovnih događaja koji u trenutku nastanka nemaju izravan utjecaj niti na jednu poziciju temeljnih financijskih izvještaja. S</w:t>
      </w:r>
      <w:r w:rsidRPr="007F0E49">
        <w:rPr>
          <w:rFonts w:ascii="Arial" w:hAnsi="Arial"/>
          <w:sz w:val="22"/>
          <w:szCs w:val="22"/>
        </w:rPr>
        <w:t>adrže stavke koje nisu uključene u bilančne kategorije: dana jamstva, tuđu imovinu dobivenu na korištenje,</w:t>
      </w:r>
      <w:r w:rsidR="00D13953" w:rsidRPr="007F0E49">
        <w:rPr>
          <w:rFonts w:ascii="Arial" w:hAnsi="Arial"/>
          <w:sz w:val="22"/>
          <w:szCs w:val="22"/>
        </w:rPr>
        <w:t xml:space="preserve"> instrumenti osiguranja plaćanja,</w:t>
      </w:r>
      <w:r w:rsidRPr="007F0E49">
        <w:rPr>
          <w:rFonts w:ascii="Arial" w:hAnsi="Arial"/>
          <w:sz w:val="22"/>
          <w:szCs w:val="22"/>
        </w:rPr>
        <w:t xml:space="preserve"> potencijalne obveze i potraživanja temeljem sudskih spor</w:t>
      </w:r>
      <w:r w:rsidR="002141E6" w:rsidRPr="007F0E49">
        <w:rPr>
          <w:rFonts w:ascii="Arial" w:hAnsi="Arial"/>
          <w:sz w:val="22"/>
          <w:szCs w:val="22"/>
        </w:rPr>
        <w:t xml:space="preserve">ova i ostalih ugovornih odnosa </w:t>
      </w:r>
      <w:r w:rsidR="00263797" w:rsidRPr="007F0E49">
        <w:rPr>
          <w:rFonts w:ascii="Arial" w:hAnsi="Arial"/>
          <w:sz w:val="22"/>
          <w:szCs w:val="22"/>
        </w:rPr>
        <w:t>te</w:t>
      </w:r>
      <w:r w:rsidRPr="007F0E49">
        <w:rPr>
          <w:rFonts w:ascii="Arial" w:hAnsi="Arial"/>
          <w:sz w:val="22"/>
          <w:szCs w:val="22"/>
        </w:rPr>
        <w:t xml:space="preserve"> suglasnosti. U izvanbilančnim zapisima, pored navedenog, evidentiran</w:t>
      </w:r>
      <w:r w:rsidR="00263797" w:rsidRPr="007F0E49">
        <w:rPr>
          <w:rFonts w:ascii="Arial" w:hAnsi="Arial"/>
          <w:sz w:val="22"/>
          <w:szCs w:val="22"/>
        </w:rPr>
        <w:t xml:space="preserve"> je iznos </w:t>
      </w:r>
      <w:r w:rsidRPr="007F0E49">
        <w:rPr>
          <w:rFonts w:ascii="Arial" w:hAnsi="Arial"/>
          <w:sz w:val="22"/>
          <w:szCs w:val="22"/>
        </w:rPr>
        <w:t>nepodmiren</w:t>
      </w:r>
      <w:r w:rsidR="00263797" w:rsidRPr="007F0E49">
        <w:rPr>
          <w:rFonts w:ascii="Arial" w:hAnsi="Arial"/>
          <w:sz w:val="22"/>
          <w:szCs w:val="22"/>
        </w:rPr>
        <w:t>ih</w:t>
      </w:r>
      <w:r w:rsidRPr="007F0E49">
        <w:rPr>
          <w:rFonts w:ascii="Arial" w:hAnsi="Arial"/>
          <w:sz w:val="22"/>
          <w:szCs w:val="22"/>
        </w:rPr>
        <w:t xml:space="preserve"> obvez</w:t>
      </w:r>
      <w:r w:rsidR="00263797" w:rsidRPr="007F0E49">
        <w:rPr>
          <w:rFonts w:ascii="Arial" w:hAnsi="Arial"/>
          <w:sz w:val="22"/>
          <w:szCs w:val="22"/>
        </w:rPr>
        <w:t>a</w:t>
      </w:r>
      <w:r w:rsidRPr="007F0E49">
        <w:rPr>
          <w:rFonts w:ascii="Arial" w:hAnsi="Arial"/>
          <w:sz w:val="22"/>
          <w:szCs w:val="22"/>
        </w:rPr>
        <w:t xml:space="preserve"> prema neprofitnim organizacijama i proračunskim kor</w:t>
      </w:r>
      <w:r w:rsidR="000A7DB5" w:rsidRPr="007F0E49">
        <w:rPr>
          <w:rFonts w:ascii="Arial" w:hAnsi="Arial"/>
          <w:sz w:val="22"/>
          <w:szCs w:val="22"/>
        </w:rPr>
        <w:t>isnicima</w:t>
      </w:r>
      <w:r w:rsidR="00614DF6" w:rsidRPr="007F0E49">
        <w:rPr>
          <w:rFonts w:ascii="Arial" w:hAnsi="Arial"/>
          <w:sz w:val="22"/>
          <w:szCs w:val="22"/>
        </w:rPr>
        <w:t xml:space="preserve"> </w:t>
      </w:r>
      <w:r w:rsidR="000A7DB5" w:rsidRPr="007F0E49">
        <w:rPr>
          <w:rFonts w:ascii="Arial" w:hAnsi="Arial"/>
          <w:sz w:val="22"/>
          <w:szCs w:val="22"/>
        </w:rPr>
        <w:t>na dan 31. prosinca 2022</w:t>
      </w:r>
      <w:r w:rsidRPr="007F0E49">
        <w:rPr>
          <w:rFonts w:ascii="Arial" w:hAnsi="Arial"/>
          <w:sz w:val="22"/>
          <w:szCs w:val="22"/>
        </w:rPr>
        <w:t xml:space="preserve">. </w:t>
      </w:r>
    </w:p>
    <w:p w:rsidR="00263797" w:rsidRPr="007F0E49" w:rsidRDefault="000E69DA" w:rsidP="00780348">
      <w:pPr>
        <w:jc w:val="both"/>
        <w:rPr>
          <w:rFonts w:ascii="Arial" w:hAnsi="Arial"/>
          <w:sz w:val="22"/>
          <w:szCs w:val="22"/>
        </w:rPr>
      </w:pPr>
      <w:r w:rsidRPr="007F0E49">
        <w:rPr>
          <w:rFonts w:ascii="Arial" w:hAnsi="Arial"/>
          <w:sz w:val="22"/>
          <w:szCs w:val="22"/>
        </w:rPr>
        <w:t xml:space="preserve">Izvanbilančni zapisi na datum bilance iznose ukupno </w:t>
      </w:r>
      <w:r w:rsidR="000A7DB5" w:rsidRPr="007F0E49">
        <w:rPr>
          <w:rFonts w:ascii="Arial" w:hAnsi="Arial"/>
          <w:sz w:val="22"/>
          <w:szCs w:val="22"/>
        </w:rPr>
        <w:t>1.911.696.620,47</w:t>
      </w:r>
      <w:r w:rsidRPr="007F0E49">
        <w:rPr>
          <w:rFonts w:ascii="Arial" w:hAnsi="Arial"/>
          <w:sz w:val="22"/>
          <w:szCs w:val="22"/>
        </w:rPr>
        <w:t xml:space="preserve"> kn</w:t>
      </w:r>
      <w:r w:rsidR="00263797" w:rsidRPr="007F0E49">
        <w:rPr>
          <w:rFonts w:ascii="Arial" w:hAnsi="Arial"/>
          <w:sz w:val="22"/>
          <w:szCs w:val="22"/>
        </w:rPr>
        <w:t>.</w:t>
      </w:r>
      <w:r w:rsidRPr="007F0E49">
        <w:rPr>
          <w:rFonts w:ascii="Arial" w:hAnsi="Arial"/>
          <w:sz w:val="22"/>
          <w:szCs w:val="22"/>
        </w:rPr>
        <w:t xml:space="preserve"> </w:t>
      </w:r>
    </w:p>
    <w:p w:rsidR="00780348" w:rsidRPr="007F0E49" w:rsidRDefault="00780348" w:rsidP="00780348">
      <w:pPr>
        <w:jc w:val="both"/>
        <w:rPr>
          <w:rFonts w:ascii="Arial" w:hAnsi="Arial"/>
          <w:sz w:val="22"/>
          <w:szCs w:val="22"/>
        </w:rPr>
      </w:pPr>
    </w:p>
    <w:p w:rsidR="00780348" w:rsidRPr="007F0E49" w:rsidRDefault="00780348" w:rsidP="00780348">
      <w:pPr>
        <w:jc w:val="both"/>
        <w:rPr>
          <w:rFonts w:ascii="Arial" w:hAnsi="Arial"/>
          <w:sz w:val="22"/>
          <w:szCs w:val="22"/>
        </w:rPr>
      </w:pPr>
    </w:p>
    <w:p w:rsidR="00780348" w:rsidRPr="007F0E49" w:rsidRDefault="00780348" w:rsidP="00780348">
      <w:pPr>
        <w:jc w:val="both"/>
        <w:rPr>
          <w:rFonts w:ascii="Arial" w:hAnsi="Arial"/>
          <w:sz w:val="22"/>
          <w:szCs w:val="22"/>
        </w:rPr>
      </w:pPr>
    </w:p>
    <w:p w:rsidR="00780348" w:rsidRPr="00780348" w:rsidRDefault="00780348" w:rsidP="00780348">
      <w:pPr>
        <w:jc w:val="both"/>
        <w:rPr>
          <w:rFonts w:ascii="Arial" w:hAnsi="Arial"/>
        </w:rPr>
      </w:pPr>
    </w:p>
    <w:p w:rsidR="000E69DA" w:rsidRPr="00BC6599" w:rsidRDefault="000E69DA" w:rsidP="00D907B7">
      <w:pPr>
        <w:keepNext/>
        <w:numPr>
          <w:ilvl w:val="0"/>
          <w:numId w:val="1"/>
        </w:numPr>
        <w:jc w:val="both"/>
        <w:outlineLvl w:val="1"/>
        <w:rPr>
          <w:rFonts w:ascii="Arial" w:hAnsi="Arial"/>
          <w:b/>
          <w:color w:val="1F3864" w:themeColor="accent5" w:themeShade="80"/>
          <w:sz w:val="24"/>
          <w:szCs w:val="24"/>
        </w:rPr>
      </w:pPr>
      <w:r w:rsidRPr="00BC6599">
        <w:rPr>
          <w:rFonts w:ascii="Arial" w:hAnsi="Arial"/>
          <w:b/>
          <w:color w:val="1F3864" w:themeColor="accent5" w:themeShade="80"/>
          <w:sz w:val="24"/>
          <w:szCs w:val="24"/>
        </w:rPr>
        <w:t>Pregled ostalih ugovornih odnosa</w:t>
      </w:r>
      <w:r w:rsidR="00391F4F" w:rsidRPr="00BC6599">
        <w:rPr>
          <w:rFonts w:ascii="Arial" w:hAnsi="Arial"/>
          <w:b/>
          <w:color w:val="1F3864" w:themeColor="accent5" w:themeShade="80"/>
          <w:sz w:val="24"/>
          <w:szCs w:val="24"/>
        </w:rPr>
        <w:t xml:space="preserve"> </w:t>
      </w:r>
    </w:p>
    <w:p w:rsidR="00A101BE" w:rsidRPr="00A73102" w:rsidRDefault="00A101BE" w:rsidP="000E69DA">
      <w:pPr>
        <w:jc w:val="both"/>
        <w:rPr>
          <w:rFonts w:ascii="Arial" w:hAnsi="Arial"/>
          <w:b/>
          <w:color w:val="FF0000"/>
        </w:rPr>
      </w:pPr>
    </w:p>
    <w:p w:rsidR="00BC6599" w:rsidRDefault="00BC6599" w:rsidP="000E69DA">
      <w:pPr>
        <w:jc w:val="both"/>
        <w:rPr>
          <w:rFonts w:ascii="Arial" w:hAnsi="Arial" w:cs="Arial"/>
          <w:sz w:val="22"/>
          <w:szCs w:val="22"/>
        </w:rPr>
      </w:pPr>
    </w:p>
    <w:p w:rsidR="000E69DA" w:rsidRPr="007F0E49" w:rsidRDefault="000E69DA" w:rsidP="000E69DA">
      <w:pPr>
        <w:jc w:val="both"/>
        <w:rPr>
          <w:rFonts w:ascii="Arial" w:hAnsi="Arial" w:cs="Arial"/>
          <w:sz w:val="22"/>
          <w:szCs w:val="22"/>
        </w:rPr>
      </w:pPr>
      <w:r w:rsidRPr="007F0E49">
        <w:rPr>
          <w:rFonts w:ascii="Arial" w:hAnsi="Arial" w:cs="Arial"/>
          <w:sz w:val="22"/>
          <w:szCs w:val="22"/>
        </w:rPr>
        <w:t xml:space="preserve">Bilješke uz financijske izvještaje, prema čl. 14. Pravilnika o financijskom izvještavanju u proračunskom računovodstvu (Narodne novine, broj </w:t>
      </w:r>
      <w:r w:rsidR="001B1A36" w:rsidRPr="007F0E49">
        <w:rPr>
          <w:rFonts w:ascii="Arial" w:hAnsi="Arial" w:cs="Arial"/>
          <w:sz w:val="22"/>
          <w:szCs w:val="22"/>
        </w:rPr>
        <w:t>37/22</w:t>
      </w:r>
      <w:r w:rsidRPr="007F0E49">
        <w:rPr>
          <w:rFonts w:ascii="Arial" w:hAnsi="Arial" w:cs="Arial"/>
          <w:sz w:val="22"/>
          <w:szCs w:val="22"/>
        </w:rPr>
        <w:t>), sadrže obvezne bilješke uz Bilancu: P</w:t>
      </w:r>
      <w:r w:rsidR="00EF59D6" w:rsidRPr="007F0E49">
        <w:rPr>
          <w:rFonts w:ascii="Arial" w:hAnsi="Arial" w:cs="Arial"/>
          <w:sz w:val="22"/>
          <w:szCs w:val="22"/>
        </w:rPr>
        <w:t>opis</w:t>
      </w:r>
      <w:r w:rsidRPr="007F0E49">
        <w:rPr>
          <w:rFonts w:ascii="Arial" w:hAnsi="Arial" w:cs="Arial"/>
          <w:sz w:val="22"/>
          <w:szCs w:val="22"/>
        </w:rPr>
        <w:t xml:space="preserve"> ostalih ugovornih odnosa i slično koji uz ispunjenje određenih uvjeta, mogu postati obveza ili imovina (dana kreditna pisma, hipoteke i slično)</w:t>
      </w:r>
      <w:r w:rsidR="00EF59D6" w:rsidRPr="007F0E49">
        <w:rPr>
          <w:rFonts w:ascii="Arial" w:hAnsi="Arial" w:cs="Arial"/>
          <w:sz w:val="22"/>
          <w:szCs w:val="22"/>
        </w:rPr>
        <w:t xml:space="preserve"> i popis sudskih sporova u tijeku.</w:t>
      </w:r>
      <w:r w:rsidRPr="007F0E49">
        <w:rPr>
          <w:rFonts w:ascii="Arial" w:hAnsi="Arial" w:cs="Arial"/>
          <w:sz w:val="22"/>
          <w:szCs w:val="22"/>
        </w:rPr>
        <w:t xml:space="preserve"> </w:t>
      </w:r>
    </w:p>
    <w:p w:rsidR="000E69DA" w:rsidRPr="007F0E49" w:rsidRDefault="000E69DA" w:rsidP="000E69DA">
      <w:pPr>
        <w:jc w:val="both"/>
        <w:rPr>
          <w:rFonts w:ascii="Arial" w:hAnsi="Arial"/>
          <w:b/>
          <w:color w:val="FF0000"/>
          <w:sz w:val="22"/>
          <w:szCs w:val="22"/>
        </w:rPr>
      </w:pPr>
    </w:p>
    <w:p w:rsidR="002E1938" w:rsidRPr="007F0E49" w:rsidRDefault="002E1938" w:rsidP="000E69DA">
      <w:pPr>
        <w:jc w:val="both"/>
        <w:rPr>
          <w:rFonts w:ascii="Arial" w:hAnsi="Arial"/>
          <w:b/>
          <w:sz w:val="22"/>
          <w:szCs w:val="22"/>
        </w:rPr>
      </w:pPr>
    </w:p>
    <w:p w:rsidR="000E69DA" w:rsidRPr="007F0E49" w:rsidRDefault="000E69DA" w:rsidP="000E69DA">
      <w:pPr>
        <w:jc w:val="both"/>
        <w:rPr>
          <w:rFonts w:ascii="Arial" w:hAnsi="Arial"/>
          <w:b/>
          <w:sz w:val="22"/>
          <w:szCs w:val="22"/>
        </w:rPr>
      </w:pPr>
      <w:r w:rsidRPr="007F0E49">
        <w:rPr>
          <w:rFonts w:ascii="Arial" w:hAnsi="Arial"/>
          <w:b/>
          <w:sz w:val="22"/>
          <w:szCs w:val="22"/>
        </w:rPr>
        <w:t xml:space="preserve">Bilješka broj 7 </w:t>
      </w:r>
      <w:r w:rsidRPr="007F0E49">
        <w:rPr>
          <w:rFonts w:ascii="Arial" w:hAnsi="Arial" w:cs="Arial"/>
          <w:b/>
          <w:sz w:val="22"/>
          <w:szCs w:val="22"/>
        </w:rPr>
        <w:t>–</w:t>
      </w:r>
      <w:r w:rsidRPr="007F0E49">
        <w:rPr>
          <w:rFonts w:ascii="Arial" w:hAnsi="Arial"/>
          <w:b/>
          <w:sz w:val="22"/>
          <w:szCs w:val="22"/>
        </w:rPr>
        <w:t xml:space="preserve"> Pregled </w:t>
      </w:r>
      <w:r w:rsidR="008C1032" w:rsidRPr="007F0E49">
        <w:rPr>
          <w:rFonts w:ascii="Arial" w:hAnsi="Arial"/>
          <w:b/>
          <w:sz w:val="22"/>
          <w:szCs w:val="22"/>
        </w:rPr>
        <w:t xml:space="preserve">danih </w:t>
      </w:r>
      <w:r w:rsidRPr="007F0E49">
        <w:rPr>
          <w:rFonts w:ascii="Arial" w:hAnsi="Arial"/>
          <w:b/>
          <w:sz w:val="22"/>
          <w:szCs w:val="22"/>
        </w:rPr>
        <w:t>jamstava</w:t>
      </w:r>
    </w:p>
    <w:p w:rsidR="000E69DA" w:rsidRPr="007F0E49" w:rsidRDefault="000E69DA" w:rsidP="000E69DA">
      <w:pPr>
        <w:rPr>
          <w:color w:val="1F3864" w:themeColor="accent5" w:themeShade="80"/>
          <w:sz w:val="22"/>
          <w:szCs w:val="22"/>
        </w:rPr>
      </w:pPr>
    </w:p>
    <w:p w:rsidR="001164CB" w:rsidRPr="007F0E49" w:rsidRDefault="00295DEB" w:rsidP="00EA26C3">
      <w:pPr>
        <w:jc w:val="both"/>
        <w:rPr>
          <w:rFonts w:ascii="Arial" w:hAnsi="Arial" w:cs="Arial"/>
          <w:sz w:val="22"/>
          <w:szCs w:val="22"/>
        </w:rPr>
      </w:pPr>
      <w:r w:rsidRPr="007F0E49">
        <w:rPr>
          <w:rFonts w:ascii="Arial" w:hAnsi="Arial" w:cs="Arial"/>
          <w:sz w:val="22"/>
          <w:szCs w:val="22"/>
        </w:rPr>
        <w:t>U</w:t>
      </w:r>
      <w:r w:rsidR="00052830" w:rsidRPr="007F0E49">
        <w:rPr>
          <w:rFonts w:ascii="Arial" w:hAnsi="Arial" w:cs="Arial"/>
          <w:sz w:val="22"/>
          <w:szCs w:val="22"/>
        </w:rPr>
        <w:t xml:space="preserve"> nastavku</w:t>
      </w:r>
      <w:r w:rsidRPr="007F0E49">
        <w:rPr>
          <w:rFonts w:ascii="Arial" w:hAnsi="Arial" w:cs="Arial"/>
          <w:sz w:val="22"/>
          <w:szCs w:val="22"/>
        </w:rPr>
        <w:t xml:space="preserve"> se </w:t>
      </w:r>
      <w:r w:rsidR="00052830" w:rsidRPr="007F0E49">
        <w:rPr>
          <w:rFonts w:ascii="Arial" w:hAnsi="Arial" w:cs="Arial"/>
          <w:sz w:val="22"/>
          <w:szCs w:val="22"/>
        </w:rPr>
        <w:t xml:space="preserve">daje </w:t>
      </w:r>
      <w:r w:rsidR="001164CB" w:rsidRPr="007F0E49">
        <w:rPr>
          <w:rFonts w:ascii="Arial" w:hAnsi="Arial" w:cs="Arial"/>
          <w:sz w:val="22"/>
          <w:szCs w:val="22"/>
        </w:rPr>
        <w:t xml:space="preserve">pregled </w:t>
      </w:r>
      <w:r w:rsidR="0064659A" w:rsidRPr="007F0E49">
        <w:rPr>
          <w:rFonts w:ascii="Arial" w:hAnsi="Arial" w:cs="Arial"/>
          <w:sz w:val="22"/>
          <w:szCs w:val="22"/>
        </w:rPr>
        <w:t>dani</w:t>
      </w:r>
      <w:r w:rsidR="0036702D" w:rsidRPr="007F0E49">
        <w:rPr>
          <w:rFonts w:ascii="Arial" w:hAnsi="Arial" w:cs="Arial"/>
          <w:sz w:val="22"/>
          <w:szCs w:val="22"/>
        </w:rPr>
        <w:t>h</w:t>
      </w:r>
      <w:r w:rsidR="0064659A" w:rsidRPr="007F0E49">
        <w:rPr>
          <w:rFonts w:ascii="Arial" w:hAnsi="Arial" w:cs="Arial"/>
          <w:sz w:val="22"/>
          <w:szCs w:val="22"/>
        </w:rPr>
        <w:t xml:space="preserve"> jamst</w:t>
      </w:r>
      <w:r w:rsidR="0036702D" w:rsidRPr="007F0E49">
        <w:rPr>
          <w:rFonts w:ascii="Arial" w:hAnsi="Arial" w:cs="Arial"/>
          <w:sz w:val="22"/>
          <w:szCs w:val="22"/>
        </w:rPr>
        <w:t>a</w:t>
      </w:r>
      <w:r w:rsidR="0064659A" w:rsidRPr="007F0E49">
        <w:rPr>
          <w:rFonts w:ascii="Arial" w:hAnsi="Arial" w:cs="Arial"/>
          <w:sz w:val="22"/>
          <w:szCs w:val="22"/>
        </w:rPr>
        <w:t>v</w:t>
      </w:r>
      <w:r w:rsidR="0036702D" w:rsidRPr="007F0E49">
        <w:rPr>
          <w:rFonts w:ascii="Arial" w:hAnsi="Arial" w:cs="Arial"/>
          <w:sz w:val="22"/>
          <w:szCs w:val="22"/>
        </w:rPr>
        <w:t>a:</w:t>
      </w:r>
      <w:r w:rsidR="0064659A" w:rsidRPr="007F0E49">
        <w:rPr>
          <w:rFonts w:ascii="Arial" w:hAnsi="Arial" w:cs="Arial"/>
          <w:sz w:val="22"/>
          <w:szCs w:val="22"/>
        </w:rPr>
        <w:t xml:space="preserve"> </w:t>
      </w:r>
    </w:p>
    <w:p w:rsidR="00EA26C3" w:rsidRPr="007F0E49" w:rsidRDefault="00EA26C3" w:rsidP="00EA26C3">
      <w:pPr>
        <w:jc w:val="both"/>
        <w:rPr>
          <w:rFonts w:ascii="Arial" w:hAnsi="Arial" w:cs="Arial"/>
          <w:sz w:val="22"/>
          <w:szCs w:val="22"/>
        </w:rPr>
      </w:pPr>
    </w:p>
    <w:p w:rsidR="001164CB" w:rsidRPr="007F0E49" w:rsidRDefault="001164CB" w:rsidP="00D907B7">
      <w:pPr>
        <w:numPr>
          <w:ilvl w:val="0"/>
          <w:numId w:val="7"/>
        </w:numPr>
        <w:jc w:val="both"/>
        <w:rPr>
          <w:rFonts w:ascii="Arial" w:hAnsi="Arial"/>
          <w:b/>
          <w:sz w:val="22"/>
          <w:szCs w:val="22"/>
        </w:rPr>
      </w:pPr>
      <w:r w:rsidRPr="007F0E49">
        <w:rPr>
          <w:rFonts w:ascii="Arial" w:hAnsi="Arial"/>
          <w:b/>
          <w:sz w:val="22"/>
          <w:szCs w:val="22"/>
        </w:rPr>
        <w:t>Jamstvo dano R</w:t>
      </w:r>
      <w:r w:rsidR="00F34FE7" w:rsidRPr="007F0E49">
        <w:rPr>
          <w:rFonts w:ascii="Arial" w:hAnsi="Arial"/>
          <w:b/>
          <w:sz w:val="22"/>
          <w:szCs w:val="22"/>
        </w:rPr>
        <w:t xml:space="preserve">epublici Hrvatskoj </w:t>
      </w:r>
      <w:r w:rsidRPr="007F0E49">
        <w:rPr>
          <w:rFonts w:ascii="Arial" w:hAnsi="Arial"/>
          <w:b/>
          <w:sz w:val="22"/>
          <w:szCs w:val="22"/>
        </w:rPr>
        <w:t>Ministarstvu financija za kreditno zaduženje Ekoplus</w:t>
      </w:r>
      <w:r w:rsidR="00882373" w:rsidRPr="007F0E49">
        <w:rPr>
          <w:rFonts w:ascii="Arial" w:hAnsi="Arial"/>
          <w:b/>
          <w:sz w:val="22"/>
          <w:szCs w:val="22"/>
        </w:rPr>
        <w:t xml:space="preserve"> d.o.o.</w:t>
      </w:r>
    </w:p>
    <w:p w:rsidR="006A581D" w:rsidRPr="007F0E49" w:rsidRDefault="006A581D" w:rsidP="001164CB">
      <w:pPr>
        <w:jc w:val="both"/>
        <w:rPr>
          <w:rFonts w:ascii="Arial" w:hAnsi="Arial"/>
          <w:sz w:val="22"/>
          <w:szCs w:val="22"/>
        </w:rPr>
      </w:pPr>
    </w:p>
    <w:p w:rsidR="001164CB" w:rsidRPr="007F0E49" w:rsidRDefault="001164CB" w:rsidP="006A581D">
      <w:pPr>
        <w:ind w:left="340"/>
        <w:jc w:val="both"/>
        <w:rPr>
          <w:rFonts w:ascii="Arial" w:hAnsi="Arial"/>
          <w:sz w:val="22"/>
          <w:szCs w:val="22"/>
        </w:rPr>
      </w:pPr>
      <w:r w:rsidRPr="007F0E49">
        <w:rPr>
          <w:rFonts w:ascii="Arial" w:hAnsi="Arial"/>
          <w:sz w:val="22"/>
          <w:szCs w:val="22"/>
        </w:rPr>
        <w:t xml:space="preserve">Gradsko vijeće Grada Rijeke je na sjednici održanoj 21. prosinca 2011. godine donijelo </w:t>
      </w:r>
      <w:r w:rsidRPr="007F0E49">
        <w:rPr>
          <w:rFonts w:ascii="Arial" w:hAnsi="Arial" w:cs="Arial"/>
          <w:sz w:val="22"/>
          <w:szCs w:val="22"/>
        </w:rPr>
        <w:t xml:space="preserve">Odluku o davanju jamstva za dugoročno zaduženje Ekoplus </w:t>
      </w:r>
      <w:r w:rsidR="00AC6A1D" w:rsidRPr="007F0E49">
        <w:rPr>
          <w:rFonts w:ascii="Arial" w:hAnsi="Arial" w:cs="Arial"/>
          <w:sz w:val="22"/>
          <w:szCs w:val="22"/>
        </w:rPr>
        <w:t xml:space="preserve">d.o.o. </w:t>
      </w:r>
      <w:r w:rsidRPr="007F0E49">
        <w:rPr>
          <w:rFonts w:ascii="Arial" w:hAnsi="Arial"/>
          <w:sz w:val="22"/>
          <w:szCs w:val="22"/>
        </w:rPr>
        <w:t>za sufinanciranje Projekta IPA ŽCGO Marišćina.</w:t>
      </w:r>
    </w:p>
    <w:p w:rsidR="001164CB" w:rsidRPr="007F0E49" w:rsidRDefault="001164CB" w:rsidP="006A581D">
      <w:pPr>
        <w:pStyle w:val="Header"/>
        <w:tabs>
          <w:tab w:val="clear" w:pos="4320"/>
          <w:tab w:val="clear" w:pos="8640"/>
        </w:tabs>
        <w:ind w:left="340"/>
        <w:jc w:val="both"/>
        <w:rPr>
          <w:rFonts w:cs="Arial"/>
          <w:sz w:val="22"/>
          <w:szCs w:val="22"/>
        </w:rPr>
      </w:pPr>
      <w:r w:rsidRPr="007F0E49">
        <w:rPr>
          <w:rFonts w:cs="Arial"/>
          <w:sz w:val="22"/>
          <w:szCs w:val="22"/>
        </w:rPr>
        <w:t xml:space="preserve">Navedenom Odlukom Grad Rijeka, kao solidarni dužnik s Primorsko-goranskom županijom, dao je jamstvo Republici Hrvatskoj Ministarstvu financija za osiguranje povrata dugoročnog zajma kojeg </w:t>
      </w:r>
      <w:r w:rsidRPr="007F0E49">
        <w:rPr>
          <w:rFonts w:cs="Arial"/>
          <w:color w:val="000000"/>
          <w:sz w:val="22"/>
          <w:szCs w:val="22"/>
        </w:rPr>
        <w:t>je Ekoplus</w:t>
      </w:r>
      <w:r w:rsidR="00B82B7A" w:rsidRPr="007F0E49">
        <w:rPr>
          <w:rFonts w:cs="Arial"/>
          <w:color w:val="000000"/>
          <w:sz w:val="22"/>
          <w:szCs w:val="22"/>
        </w:rPr>
        <w:t xml:space="preserve"> d.o.o.</w:t>
      </w:r>
      <w:r w:rsidRPr="007F0E49">
        <w:rPr>
          <w:rFonts w:cs="Arial"/>
          <w:color w:val="000000"/>
          <w:sz w:val="22"/>
          <w:szCs w:val="22"/>
        </w:rPr>
        <w:t xml:space="preserve"> </w:t>
      </w:r>
      <w:r w:rsidR="00F34FE7" w:rsidRPr="007F0E49">
        <w:rPr>
          <w:rFonts w:cs="Arial"/>
          <w:color w:val="000000"/>
          <w:sz w:val="22"/>
          <w:szCs w:val="22"/>
        </w:rPr>
        <w:t>primio</w:t>
      </w:r>
      <w:r w:rsidRPr="007F0E49">
        <w:rPr>
          <w:rFonts w:cs="Arial"/>
          <w:sz w:val="22"/>
          <w:szCs w:val="22"/>
        </w:rPr>
        <w:t xml:space="preserve"> od Republike Hrvatske Ministarstva financija za sufinanciranje gradnje Županijskog centra za gospodarenje otpadom Marišćina (Program IPA, komponenta III, Operativni program Zaštita okoliša).</w:t>
      </w:r>
    </w:p>
    <w:p w:rsidR="001164CB" w:rsidRPr="007F0E49" w:rsidRDefault="001164CB" w:rsidP="006A581D">
      <w:pPr>
        <w:pStyle w:val="Header"/>
        <w:ind w:left="340"/>
        <w:jc w:val="both"/>
        <w:rPr>
          <w:rFonts w:cs="Arial"/>
          <w:sz w:val="22"/>
          <w:szCs w:val="22"/>
        </w:rPr>
      </w:pPr>
      <w:r w:rsidRPr="007F0E49">
        <w:rPr>
          <w:rFonts w:cs="Arial"/>
          <w:sz w:val="22"/>
          <w:szCs w:val="22"/>
        </w:rPr>
        <w:t>Ugovor o zajmu između Republike Hrvatske Ministarstva financija i Ekoplus</w:t>
      </w:r>
      <w:r w:rsidR="00DD6982" w:rsidRPr="007F0E49">
        <w:rPr>
          <w:rFonts w:cs="Arial"/>
          <w:sz w:val="22"/>
          <w:szCs w:val="22"/>
        </w:rPr>
        <w:t xml:space="preserve"> d.o.o.</w:t>
      </w:r>
      <w:r w:rsidRPr="007F0E49">
        <w:rPr>
          <w:rFonts w:cs="Arial"/>
          <w:sz w:val="22"/>
          <w:szCs w:val="22"/>
        </w:rPr>
        <w:t>, uz suglasnost Primorsko-goranske županije i Grada Rijeke kao solidarnih dužnika, sklopljen je 17. siječnja 2012. godine na iznos od 7.201.344 EUR.</w:t>
      </w:r>
    </w:p>
    <w:p w:rsidR="001164CB" w:rsidRPr="007F0E49" w:rsidRDefault="001164CB" w:rsidP="006A581D">
      <w:pPr>
        <w:pStyle w:val="Header"/>
        <w:ind w:left="340"/>
        <w:jc w:val="both"/>
        <w:rPr>
          <w:rFonts w:cs="Arial"/>
          <w:sz w:val="22"/>
          <w:szCs w:val="22"/>
        </w:rPr>
      </w:pPr>
      <w:r w:rsidRPr="007F0E49">
        <w:rPr>
          <w:rFonts w:cs="Arial"/>
          <w:sz w:val="22"/>
          <w:szCs w:val="22"/>
        </w:rPr>
        <w:t>Dodatkom Ugovoru o zajmu Republike Hrvatske Ministarstva financija i Ekoplus</w:t>
      </w:r>
      <w:r w:rsidR="00DD6982" w:rsidRPr="007F0E49">
        <w:rPr>
          <w:rFonts w:cs="Arial"/>
          <w:sz w:val="22"/>
          <w:szCs w:val="22"/>
        </w:rPr>
        <w:t xml:space="preserve"> d.o.o.</w:t>
      </w:r>
      <w:r w:rsidRPr="007F0E49">
        <w:rPr>
          <w:rFonts w:cs="Arial"/>
          <w:sz w:val="22"/>
          <w:szCs w:val="22"/>
        </w:rPr>
        <w:t>, uz suglasnost Primorsko-goranske županije i Grada Rijeke kao solidarnih dužnika, koji je sklopljen 20. prosinca 2013. godine, smanjen je iznos sufinanciranja Ekoplus</w:t>
      </w:r>
      <w:r w:rsidR="00DD6982" w:rsidRPr="007F0E49">
        <w:rPr>
          <w:rFonts w:cs="Arial"/>
          <w:sz w:val="22"/>
          <w:szCs w:val="22"/>
        </w:rPr>
        <w:t xml:space="preserve"> d.o.o.</w:t>
      </w:r>
      <w:r w:rsidRPr="007F0E49">
        <w:rPr>
          <w:rFonts w:cs="Arial"/>
          <w:sz w:val="22"/>
          <w:szCs w:val="22"/>
        </w:rPr>
        <w:t xml:space="preserve"> u projektu na iznos od 4.566.903,58 EUR-a, odnosno smanjen je iznos jamstva Grada.</w:t>
      </w:r>
    </w:p>
    <w:p w:rsidR="001164CB" w:rsidRPr="007F0E49" w:rsidRDefault="001164CB" w:rsidP="006A581D">
      <w:pPr>
        <w:pStyle w:val="Header"/>
        <w:ind w:left="340"/>
        <w:jc w:val="both"/>
        <w:rPr>
          <w:rFonts w:cs="Arial"/>
          <w:sz w:val="22"/>
          <w:szCs w:val="22"/>
        </w:rPr>
      </w:pPr>
      <w:r w:rsidRPr="007F0E49">
        <w:rPr>
          <w:rFonts w:cs="Arial"/>
          <w:sz w:val="22"/>
          <w:szCs w:val="22"/>
        </w:rPr>
        <w:t>Prema uvjetima iz ugovora, Ekoplus</w:t>
      </w:r>
      <w:r w:rsidR="00DD6982" w:rsidRPr="007F0E49">
        <w:rPr>
          <w:rFonts w:cs="Arial"/>
          <w:sz w:val="22"/>
          <w:szCs w:val="22"/>
        </w:rPr>
        <w:t xml:space="preserve"> d.o.o.</w:t>
      </w:r>
      <w:r w:rsidRPr="007F0E49">
        <w:rPr>
          <w:rFonts w:cs="Arial"/>
          <w:sz w:val="22"/>
          <w:szCs w:val="22"/>
        </w:rPr>
        <w:t xml:space="preserve"> će sredstva zajma otplaćivati sukcesivno u roku od 25 godina uključujući i poček od 5 godina u 80 jednakih tromjesečnih rata. Dospijeće prve rate je 5 g</w:t>
      </w:r>
      <w:r w:rsidR="00C81981" w:rsidRPr="007F0E49">
        <w:rPr>
          <w:rFonts w:cs="Arial"/>
          <w:sz w:val="22"/>
          <w:szCs w:val="22"/>
        </w:rPr>
        <w:t>odina od prvog korištenja zajma,</w:t>
      </w:r>
      <w:r w:rsidR="00102DFD" w:rsidRPr="007F0E49">
        <w:rPr>
          <w:rFonts w:cs="Arial"/>
          <w:sz w:val="22"/>
          <w:szCs w:val="22"/>
        </w:rPr>
        <w:t xml:space="preserve"> </w:t>
      </w:r>
      <w:r w:rsidR="00C81981" w:rsidRPr="007F0E49">
        <w:rPr>
          <w:rFonts w:cs="Arial"/>
          <w:sz w:val="22"/>
          <w:szCs w:val="22"/>
        </w:rPr>
        <w:t>odnosno otplata zajma je započela u 2017.godini.</w:t>
      </w:r>
    </w:p>
    <w:p w:rsidR="001164CB" w:rsidRPr="007F0E49" w:rsidRDefault="001164CB" w:rsidP="006A581D">
      <w:pPr>
        <w:pStyle w:val="Header"/>
        <w:ind w:left="340"/>
        <w:jc w:val="both"/>
        <w:rPr>
          <w:rFonts w:cs="Arial"/>
          <w:sz w:val="22"/>
          <w:szCs w:val="22"/>
        </w:rPr>
      </w:pPr>
      <w:r w:rsidRPr="007F0E49">
        <w:rPr>
          <w:rFonts w:cs="Arial"/>
          <w:sz w:val="22"/>
          <w:szCs w:val="22"/>
        </w:rPr>
        <w:lastRenderedPageBreak/>
        <w:t>Kamatna stopa za cijelo vrijeme trajanja zajma je fiksna i iznosi 3,987%. Kamata se obračunava od prvog korištenja zajma, a naplaćuje se nakon isteka počeka u 80 jednakih tromjesečnih rata.</w:t>
      </w:r>
    </w:p>
    <w:p w:rsidR="00B30F23" w:rsidRPr="007F0E49" w:rsidRDefault="00EE29A5" w:rsidP="005242F6">
      <w:pPr>
        <w:ind w:left="340"/>
        <w:jc w:val="both"/>
        <w:rPr>
          <w:rFonts w:ascii="Arial" w:hAnsi="Arial" w:cs="Arial"/>
          <w:b/>
          <w:sz w:val="22"/>
          <w:szCs w:val="22"/>
        </w:rPr>
      </w:pPr>
      <w:r w:rsidRPr="007F0E49">
        <w:rPr>
          <w:rFonts w:ascii="Arial" w:hAnsi="Arial" w:cs="Arial"/>
          <w:b/>
          <w:sz w:val="22"/>
          <w:szCs w:val="22"/>
        </w:rPr>
        <w:t>Stanje kredita n</w:t>
      </w:r>
      <w:r w:rsidR="00295DEB" w:rsidRPr="007F0E49">
        <w:rPr>
          <w:rFonts w:ascii="Arial" w:hAnsi="Arial" w:cs="Arial"/>
          <w:b/>
          <w:sz w:val="22"/>
          <w:szCs w:val="22"/>
        </w:rPr>
        <w:t>a dan 31.12.2022</w:t>
      </w:r>
      <w:r w:rsidR="001164CB" w:rsidRPr="007F0E49">
        <w:rPr>
          <w:rFonts w:ascii="Arial" w:hAnsi="Arial" w:cs="Arial"/>
          <w:b/>
          <w:sz w:val="22"/>
          <w:szCs w:val="22"/>
        </w:rPr>
        <w:t xml:space="preserve">. godine po osnovi glavnice i kamate </w:t>
      </w:r>
      <w:r w:rsidR="001164CB" w:rsidRPr="007F0E49">
        <w:rPr>
          <w:rFonts w:ascii="Arial" w:hAnsi="Arial" w:cs="Arial"/>
          <w:b/>
          <w:color w:val="000000"/>
          <w:sz w:val="22"/>
          <w:szCs w:val="22"/>
        </w:rPr>
        <w:t xml:space="preserve">iznosi </w:t>
      </w:r>
      <w:r w:rsidR="00295DEB" w:rsidRPr="007F0E49">
        <w:rPr>
          <w:rFonts w:ascii="Arial" w:hAnsi="Arial" w:cs="Arial"/>
          <w:b/>
          <w:color w:val="000000"/>
          <w:sz w:val="22"/>
          <w:szCs w:val="22"/>
        </w:rPr>
        <w:t>32.931.796,14</w:t>
      </w:r>
      <w:r w:rsidR="001164CB" w:rsidRPr="007F0E49">
        <w:rPr>
          <w:rFonts w:ascii="Arial" w:hAnsi="Arial" w:cs="Arial"/>
          <w:b/>
          <w:sz w:val="22"/>
          <w:szCs w:val="22"/>
        </w:rPr>
        <w:t xml:space="preserve"> kuna</w:t>
      </w:r>
      <w:r w:rsidR="007627D2" w:rsidRPr="007F0E49">
        <w:rPr>
          <w:rFonts w:ascii="Arial" w:hAnsi="Arial" w:cs="Arial"/>
          <w:b/>
          <w:sz w:val="22"/>
          <w:szCs w:val="22"/>
        </w:rPr>
        <w:t>.</w:t>
      </w:r>
    </w:p>
    <w:p w:rsidR="007627D2" w:rsidRPr="007F0E49" w:rsidRDefault="007627D2" w:rsidP="00384890">
      <w:pPr>
        <w:jc w:val="both"/>
        <w:rPr>
          <w:rFonts w:ascii="Arial" w:hAnsi="Arial" w:cs="Arial"/>
          <w:sz w:val="22"/>
          <w:szCs w:val="22"/>
        </w:rPr>
      </w:pPr>
    </w:p>
    <w:p w:rsidR="001164CB" w:rsidRPr="007F0E49" w:rsidRDefault="001164CB" w:rsidP="006A581D">
      <w:pPr>
        <w:numPr>
          <w:ilvl w:val="0"/>
          <w:numId w:val="7"/>
        </w:numPr>
        <w:ind w:left="340"/>
        <w:jc w:val="both"/>
        <w:rPr>
          <w:rFonts w:ascii="Arial" w:hAnsi="Arial"/>
          <w:b/>
          <w:sz w:val="22"/>
          <w:szCs w:val="22"/>
        </w:rPr>
      </w:pPr>
      <w:r w:rsidRPr="007F0E49">
        <w:rPr>
          <w:rFonts w:ascii="Arial" w:hAnsi="Arial"/>
          <w:b/>
          <w:sz w:val="22"/>
          <w:szCs w:val="22"/>
        </w:rPr>
        <w:t>Jamstvo dano za kreditno zaduženje Energo d.o.o. Rijeka</w:t>
      </w:r>
    </w:p>
    <w:p w:rsidR="00B30F23" w:rsidRPr="007F0E49" w:rsidRDefault="00B30F23" w:rsidP="006A581D">
      <w:pPr>
        <w:ind w:left="340"/>
        <w:jc w:val="both"/>
        <w:rPr>
          <w:rFonts w:ascii="Arial" w:hAnsi="Arial" w:cs="Arial"/>
          <w:sz w:val="22"/>
          <w:szCs w:val="22"/>
        </w:rPr>
      </w:pPr>
    </w:p>
    <w:p w:rsidR="001164CB" w:rsidRPr="007F0E49" w:rsidRDefault="001164CB" w:rsidP="006A581D">
      <w:pPr>
        <w:ind w:left="340"/>
        <w:jc w:val="both"/>
        <w:rPr>
          <w:rFonts w:ascii="Arial" w:hAnsi="Arial" w:cs="Arial"/>
          <w:sz w:val="22"/>
          <w:szCs w:val="22"/>
        </w:rPr>
      </w:pPr>
      <w:r w:rsidRPr="007F0E49">
        <w:rPr>
          <w:rFonts w:ascii="Arial" w:hAnsi="Arial" w:cs="Arial"/>
          <w:sz w:val="22"/>
          <w:szCs w:val="22"/>
        </w:rPr>
        <w:t>Gradsko vijeće Grada Rijeke donijelo je na sjednici 27. veljače 2014. godine Odluku o davanju suglasnosti trgovačkom</w:t>
      </w:r>
      <w:r w:rsidR="00985CAC" w:rsidRPr="007F0E49">
        <w:rPr>
          <w:rFonts w:ascii="Arial" w:hAnsi="Arial" w:cs="Arial"/>
          <w:sz w:val="22"/>
          <w:szCs w:val="22"/>
        </w:rPr>
        <w:t xml:space="preserve"> društvu </w:t>
      </w:r>
      <w:r w:rsidRPr="007F0E49">
        <w:rPr>
          <w:rFonts w:ascii="Arial" w:hAnsi="Arial" w:cs="Arial"/>
          <w:sz w:val="22"/>
          <w:szCs w:val="22"/>
        </w:rPr>
        <w:t>Energo d.o.o. za zaduženje kod Europske banke za obnovu i razvoj radi izgradnje kogeneracijske energane na području Sveučilišnog kampusa na Trsatu i o davanju jamstva za ispunjenje preuzetih obveza.</w:t>
      </w:r>
    </w:p>
    <w:p w:rsidR="001164CB" w:rsidRPr="007F0E49" w:rsidRDefault="001164CB" w:rsidP="006A581D">
      <w:pPr>
        <w:ind w:left="340"/>
        <w:jc w:val="both"/>
        <w:rPr>
          <w:rFonts w:ascii="Arial" w:hAnsi="Arial" w:cs="Arial"/>
          <w:sz w:val="22"/>
          <w:szCs w:val="22"/>
        </w:rPr>
      </w:pPr>
      <w:r w:rsidRPr="007F0E49">
        <w:rPr>
          <w:rFonts w:ascii="Arial" w:hAnsi="Arial" w:cs="Arial"/>
          <w:sz w:val="22"/>
          <w:szCs w:val="22"/>
        </w:rPr>
        <w:t>Navedenom Odlukom Grad Rijeka je dao suglasnost trgovačkom društvu Energo d.o.o. za zaduženje putem dugoročnog financijskog kredita kod Europske banke za obnovu i r</w:t>
      </w:r>
      <w:r w:rsidR="00376904" w:rsidRPr="007F0E49">
        <w:rPr>
          <w:rFonts w:ascii="Arial" w:hAnsi="Arial" w:cs="Arial"/>
          <w:sz w:val="22"/>
          <w:szCs w:val="22"/>
        </w:rPr>
        <w:t>azvoj u iznosu do 6.150.000 EUR</w:t>
      </w:r>
      <w:r w:rsidRPr="007F0E49">
        <w:rPr>
          <w:rFonts w:ascii="Arial" w:hAnsi="Arial" w:cs="Arial"/>
          <w:sz w:val="22"/>
          <w:szCs w:val="22"/>
        </w:rPr>
        <w:t xml:space="preserve"> te jamstvo za ispunjenje preuzetih obveza trgovačkog društva Energo d.o.o. temeljem dugoročnog kredita u iznosu do 6.150.000 EUR. Na predmetnu Odluku Gradskog vijeća, Grad Rij</w:t>
      </w:r>
      <w:r w:rsidR="00102DFD" w:rsidRPr="007F0E49">
        <w:rPr>
          <w:rFonts w:ascii="Arial" w:hAnsi="Arial" w:cs="Arial"/>
          <w:sz w:val="22"/>
          <w:szCs w:val="22"/>
        </w:rPr>
        <w:t xml:space="preserve">eka je dobio suglasnost </w:t>
      </w:r>
      <w:r w:rsidR="009D6231" w:rsidRPr="007F0E49">
        <w:rPr>
          <w:rFonts w:ascii="Arial" w:hAnsi="Arial" w:cs="Arial"/>
          <w:sz w:val="22"/>
          <w:szCs w:val="22"/>
        </w:rPr>
        <w:t>m</w:t>
      </w:r>
      <w:r w:rsidR="00102DFD" w:rsidRPr="007F0E49">
        <w:rPr>
          <w:rFonts w:ascii="Arial" w:hAnsi="Arial" w:cs="Arial"/>
          <w:sz w:val="22"/>
          <w:szCs w:val="22"/>
        </w:rPr>
        <w:t>inistra</w:t>
      </w:r>
      <w:r w:rsidRPr="007F0E49">
        <w:rPr>
          <w:rFonts w:ascii="Arial" w:hAnsi="Arial" w:cs="Arial"/>
          <w:sz w:val="22"/>
          <w:szCs w:val="22"/>
        </w:rPr>
        <w:t xml:space="preserve"> financija 7.3.2014. godine.</w:t>
      </w:r>
    </w:p>
    <w:p w:rsidR="001164CB" w:rsidRPr="007F0E49" w:rsidRDefault="001164CB" w:rsidP="006A581D">
      <w:pPr>
        <w:ind w:left="340"/>
        <w:jc w:val="both"/>
        <w:rPr>
          <w:rFonts w:ascii="Arial" w:hAnsi="Arial" w:cs="Arial"/>
          <w:sz w:val="22"/>
          <w:szCs w:val="22"/>
        </w:rPr>
      </w:pPr>
      <w:r w:rsidRPr="007F0E49">
        <w:rPr>
          <w:rFonts w:ascii="Arial" w:hAnsi="Arial" w:cs="Arial"/>
          <w:sz w:val="22"/>
          <w:szCs w:val="22"/>
        </w:rPr>
        <w:t xml:space="preserve">Temeljem navedene Odluke Gradskog vijeća i suglasnosti </w:t>
      </w:r>
      <w:r w:rsidR="009D6231" w:rsidRPr="007F0E49">
        <w:rPr>
          <w:rFonts w:ascii="Arial" w:hAnsi="Arial" w:cs="Arial"/>
          <w:sz w:val="22"/>
          <w:szCs w:val="22"/>
        </w:rPr>
        <w:t>m</w:t>
      </w:r>
      <w:r w:rsidRPr="007F0E49">
        <w:rPr>
          <w:rFonts w:ascii="Arial" w:hAnsi="Arial" w:cs="Arial"/>
          <w:sz w:val="22"/>
          <w:szCs w:val="22"/>
        </w:rPr>
        <w:t>inist</w:t>
      </w:r>
      <w:r w:rsidR="00C5018E" w:rsidRPr="007F0E49">
        <w:rPr>
          <w:rFonts w:ascii="Arial" w:hAnsi="Arial" w:cs="Arial"/>
          <w:sz w:val="22"/>
          <w:szCs w:val="22"/>
        </w:rPr>
        <w:t>r</w:t>
      </w:r>
      <w:r w:rsidR="00102DFD" w:rsidRPr="007F0E49">
        <w:rPr>
          <w:rFonts w:ascii="Arial" w:hAnsi="Arial" w:cs="Arial"/>
          <w:sz w:val="22"/>
          <w:szCs w:val="22"/>
        </w:rPr>
        <w:t>a</w:t>
      </w:r>
      <w:r w:rsidRPr="007F0E49">
        <w:rPr>
          <w:rFonts w:ascii="Arial" w:hAnsi="Arial" w:cs="Arial"/>
          <w:sz w:val="22"/>
          <w:szCs w:val="22"/>
        </w:rPr>
        <w:t xml:space="preserve"> financija, dana 10. ožujka 2014. godine, trgovačko društvo Energo d.o.o. sklopilo je ugovor o kreditu s Europskom bankom za obnovu i razvoj, dok je ugovor o jamstvu sklopljen između Grada Rijeke i Europske banke za obnovu i razvoj.</w:t>
      </w:r>
    </w:p>
    <w:p w:rsidR="001164CB" w:rsidRPr="007F0E49" w:rsidRDefault="001164CB" w:rsidP="006A581D">
      <w:pPr>
        <w:pStyle w:val="Header"/>
        <w:ind w:left="340"/>
        <w:jc w:val="both"/>
        <w:rPr>
          <w:rFonts w:cs="Arial"/>
          <w:sz w:val="22"/>
          <w:szCs w:val="22"/>
        </w:rPr>
      </w:pPr>
      <w:r w:rsidRPr="007F0E49">
        <w:rPr>
          <w:rFonts w:cs="Arial"/>
          <w:sz w:val="22"/>
          <w:szCs w:val="22"/>
        </w:rPr>
        <w:t>Prema uvjetima iz ugovora,</w:t>
      </w:r>
      <w:r w:rsidR="00985CAC" w:rsidRPr="007F0E49">
        <w:rPr>
          <w:rFonts w:cs="Arial"/>
          <w:sz w:val="22"/>
          <w:szCs w:val="22"/>
        </w:rPr>
        <w:t xml:space="preserve"> </w:t>
      </w:r>
      <w:r w:rsidRPr="007F0E49">
        <w:rPr>
          <w:rFonts w:cs="Arial"/>
          <w:sz w:val="22"/>
          <w:szCs w:val="22"/>
        </w:rPr>
        <w:t>Energo d.o.o. će sredstva zajma, po isteku počeka od 3 godine otplaćivati u roku od 9 godina u 1</w:t>
      </w:r>
      <w:r w:rsidR="00724A6A" w:rsidRPr="007F0E49">
        <w:rPr>
          <w:rFonts w:cs="Arial"/>
          <w:sz w:val="22"/>
          <w:szCs w:val="22"/>
        </w:rPr>
        <w:t>8 jednakih polugodišnjih obroka, odnosno otplata je započela u 2017.godini.</w:t>
      </w:r>
      <w:r w:rsidRPr="007F0E49">
        <w:rPr>
          <w:rFonts w:cs="Arial"/>
          <w:sz w:val="22"/>
          <w:szCs w:val="22"/>
        </w:rPr>
        <w:t xml:space="preserve"> </w:t>
      </w:r>
    </w:p>
    <w:p w:rsidR="001164CB" w:rsidRPr="007F0E49" w:rsidRDefault="001164CB" w:rsidP="006A581D">
      <w:pPr>
        <w:ind w:left="340"/>
        <w:jc w:val="both"/>
        <w:rPr>
          <w:rFonts w:ascii="Arial" w:hAnsi="Arial" w:cs="Arial"/>
          <w:sz w:val="22"/>
          <w:szCs w:val="22"/>
        </w:rPr>
      </w:pPr>
      <w:r w:rsidRPr="007F0E49">
        <w:rPr>
          <w:rFonts w:ascii="Arial" w:hAnsi="Arial" w:cs="Arial"/>
          <w:sz w:val="22"/>
          <w:szCs w:val="22"/>
        </w:rPr>
        <w:t>Kamatna stopa je promjenjiva, vezana za šestomjesečni EURIBOR + marža (2,85% ili 3,00% ili 3,10% godišnje).</w:t>
      </w:r>
    </w:p>
    <w:p w:rsidR="00724A6A" w:rsidRPr="007F0E49" w:rsidRDefault="00724A6A" w:rsidP="006A581D">
      <w:pPr>
        <w:ind w:left="340"/>
        <w:jc w:val="both"/>
        <w:rPr>
          <w:rFonts w:ascii="Arial" w:hAnsi="Arial" w:cs="Arial"/>
          <w:sz w:val="22"/>
          <w:szCs w:val="22"/>
        </w:rPr>
      </w:pPr>
      <w:r w:rsidRPr="007F0E49">
        <w:rPr>
          <w:rFonts w:ascii="Arial" w:hAnsi="Arial" w:cs="Arial"/>
          <w:sz w:val="22"/>
          <w:szCs w:val="22"/>
        </w:rPr>
        <w:t>TD Energo</w:t>
      </w:r>
      <w:r w:rsidR="009D6231" w:rsidRPr="007F0E49">
        <w:rPr>
          <w:rFonts w:ascii="Arial" w:hAnsi="Arial" w:cs="Arial"/>
          <w:sz w:val="22"/>
          <w:szCs w:val="22"/>
        </w:rPr>
        <w:t xml:space="preserve"> d.o.o.</w:t>
      </w:r>
      <w:r w:rsidRPr="007F0E49">
        <w:rPr>
          <w:rFonts w:ascii="Arial" w:hAnsi="Arial" w:cs="Arial"/>
          <w:sz w:val="22"/>
          <w:szCs w:val="22"/>
        </w:rPr>
        <w:t xml:space="preserve"> do 2021.godine je povukao znatno manji iznos kredita od ugovorenog iznosa kredita od 6.150.000 EUR-a i povučeni dio kredita u iznosu 2.275.892,97 EUR-a je već u otplati.</w:t>
      </w:r>
      <w:r w:rsidR="00084274" w:rsidRPr="007F0E49">
        <w:rPr>
          <w:rFonts w:ascii="Arial" w:hAnsi="Arial" w:cs="Arial"/>
          <w:sz w:val="22"/>
          <w:szCs w:val="22"/>
        </w:rPr>
        <w:t xml:space="preserve"> </w:t>
      </w:r>
      <w:r w:rsidRPr="007F0E49">
        <w:rPr>
          <w:rFonts w:ascii="Arial" w:hAnsi="Arial" w:cs="Arial"/>
          <w:sz w:val="22"/>
          <w:szCs w:val="22"/>
        </w:rPr>
        <w:t>Sukladno</w:t>
      </w:r>
      <w:r w:rsidR="00084274" w:rsidRPr="007F0E49">
        <w:rPr>
          <w:rFonts w:ascii="Arial" w:hAnsi="Arial" w:cs="Arial"/>
          <w:sz w:val="22"/>
          <w:szCs w:val="22"/>
        </w:rPr>
        <w:t xml:space="preserve"> </w:t>
      </w:r>
      <w:r w:rsidRPr="007F0E49">
        <w:rPr>
          <w:rFonts w:ascii="Arial" w:hAnsi="Arial" w:cs="Arial"/>
          <w:sz w:val="22"/>
          <w:szCs w:val="22"/>
        </w:rPr>
        <w:t>odredbama Ugovora o jamstvu između Grada Rijeke i EBRD, Europska banka za obnovu i razvoj</w:t>
      </w:r>
      <w:r w:rsidR="00084274" w:rsidRPr="007F0E49">
        <w:rPr>
          <w:rFonts w:ascii="Arial" w:hAnsi="Arial" w:cs="Arial"/>
          <w:sz w:val="22"/>
          <w:szCs w:val="22"/>
        </w:rPr>
        <w:t xml:space="preserve"> </w:t>
      </w:r>
      <w:r w:rsidRPr="007F0E49">
        <w:rPr>
          <w:rFonts w:ascii="Arial" w:hAnsi="Arial" w:cs="Arial"/>
          <w:sz w:val="22"/>
          <w:szCs w:val="22"/>
        </w:rPr>
        <w:t xml:space="preserve">je stoga dostavila Gradu Rijeci službeni dopis u kojem navodi trenutno stanje glavnice navedenog kredita </w:t>
      </w:r>
      <w:r w:rsidR="00C5018E" w:rsidRPr="007F0E49">
        <w:rPr>
          <w:rFonts w:ascii="Arial" w:hAnsi="Arial" w:cs="Arial"/>
          <w:sz w:val="22"/>
          <w:szCs w:val="22"/>
        </w:rPr>
        <w:t xml:space="preserve">društva </w:t>
      </w:r>
      <w:r w:rsidRPr="007F0E49">
        <w:rPr>
          <w:rFonts w:ascii="Arial" w:hAnsi="Arial" w:cs="Arial"/>
          <w:sz w:val="22"/>
          <w:szCs w:val="22"/>
        </w:rPr>
        <w:t>Energo</w:t>
      </w:r>
      <w:r w:rsidR="00985CAC" w:rsidRPr="007F0E49">
        <w:rPr>
          <w:rFonts w:ascii="Arial" w:hAnsi="Arial" w:cs="Arial"/>
          <w:sz w:val="22"/>
          <w:szCs w:val="22"/>
        </w:rPr>
        <w:t xml:space="preserve"> d.o.o.</w:t>
      </w:r>
      <w:r w:rsidRPr="007F0E49">
        <w:rPr>
          <w:rFonts w:ascii="Arial" w:hAnsi="Arial" w:cs="Arial"/>
          <w:sz w:val="22"/>
          <w:szCs w:val="22"/>
        </w:rPr>
        <w:t xml:space="preserve"> te potvrđuje nemogućnost daljnje isplate sredstava po Ugovoru o kreditu s Energo</w:t>
      </w:r>
      <w:r w:rsidR="00425481" w:rsidRPr="007F0E49">
        <w:rPr>
          <w:rFonts w:ascii="Arial" w:hAnsi="Arial" w:cs="Arial"/>
          <w:sz w:val="22"/>
          <w:szCs w:val="22"/>
        </w:rPr>
        <w:t xml:space="preserve"> d.o.o.</w:t>
      </w:r>
      <w:r w:rsidR="007627D2" w:rsidRPr="007F0E49">
        <w:rPr>
          <w:rFonts w:ascii="Arial" w:hAnsi="Arial" w:cs="Arial"/>
          <w:sz w:val="22"/>
          <w:szCs w:val="22"/>
        </w:rPr>
        <w:t xml:space="preserve"> na temelju kojeg se smanjuju potencijalne</w:t>
      </w:r>
      <w:r w:rsidRPr="007F0E49">
        <w:rPr>
          <w:rFonts w:ascii="Arial" w:hAnsi="Arial" w:cs="Arial"/>
          <w:sz w:val="22"/>
          <w:szCs w:val="22"/>
        </w:rPr>
        <w:t xml:space="preserve"> obvez</w:t>
      </w:r>
      <w:r w:rsidR="007627D2" w:rsidRPr="007F0E49">
        <w:rPr>
          <w:rFonts w:ascii="Arial" w:hAnsi="Arial" w:cs="Arial"/>
          <w:sz w:val="22"/>
          <w:szCs w:val="22"/>
        </w:rPr>
        <w:t>e</w:t>
      </w:r>
      <w:r w:rsidRPr="007F0E49">
        <w:rPr>
          <w:rFonts w:ascii="Arial" w:hAnsi="Arial" w:cs="Arial"/>
          <w:sz w:val="22"/>
          <w:szCs w:val="22"/>
        </w:rPr>
        <w:t xml:space="preserve"> Grada Rijeke po Ugovoru o jamstvu izdanog za kreditno zaduženje </w:t>
      </w:r>
      <w:r w:rsidR="00C5018E" w:rsidRPr="007F0E49">
        <w:rPr>
          <w:rFonts w:ascii="Arial" w:hAnsi="Arial" w:cs="Arial"/>
          <w:sz w:val="22"/>
          <w:szCs w:val="22"/>
        </w:rPr>
        <w:t xml:space="preserve">društva </w:t>
      </w:r>
      <w:r w:rsidRPr="007F0E49">
        <w:rPr>
          <w:rFonts w:ascii="Arial" w:hAnsi="Arial" w:cs="Arial"/>
          <w:sz w:val="22"/>
          <w:szCs w:val="22"/>
        </w:rPr>
        <w:t>Energo</w:t>
      </w:r>
      <w:r w:rsidR="00425481" w:rsidRPr="007F0E49">
        <w:rPr>
          <w:rFonts w:ascii="Arial" w:hAnsi="Arial" w:cs="Arial"/>
          <w:sz w:val="22"/>
          <w:szCs w:val="22"/>
        </w:rPr>
        <w:t xml:space="preserve"> d.o.o.</w:t>
      </w:r>
      <w:r w:rsidRPr="007F0E49">
        <w:rPr>
          <w:rFonts w:ascii="Arial" w:hAnsi="Arial" w:cs="Arial"/>
          <w:sz w:val="22"/>
          <w:szCs w:val="22"/>
        </w:rPr>
        <w:t>.</w:t>
      </w:r>
    </w:p>
    <w:p w:rsidR="001164CB" w:rsidRPr="007F0E49" w:rsidRDefault="00295DEB" w:rsidP="00601159">
      <w:pPr>
        <w:ind w:left="340"/>
        <w:jc w:val="both"/>
        <w:rPr>
          <w:rFonts w:ascii="Arial" w:hAnsi="Arial" w:cs="Arial"/>
          <w:b/>
          <w:sz w:val="22"/>
          <w:szCs w:val="22"/>
        </w:rPr>
      </w:pPr>
      <w:r w:rsidRPr="007F0E49">
        <w:rPr>
          <w:rFonts w:ascii="Arial" w:hAnsi="Arial" w:cs="Arial"/>
          <w:b/>
          <w:sz w:val="22"/>
          <w:szCs w:val="22"/>
        </w:rPr>
        <w:t>Stanje kredita na dan 31.12.2022</w:t>
      </w:r>
      <w:r w:rsidR="001164CB" w:rsidRPr="007F0E49">
        <w:rPr>
          <w:rFonts w:ascii="Arial" w:hAnsi="Arial" w:cs="Arial"/>
          <w:b/>
          <w:sz w:val="22"/>
          <w:szCs w:val="22"/>
        </w:rPr>
        <w:t xml:space="preserve">. godine po osnovi glavnice i kamate </w:t>
      </w:r>
      <w:r w:rsidR="001164CB" w:rsidRPr="007F0E49">
        <w:rPr>
          <w:rFonts w:ascii="Arial" w:hAnsi="Arial" w:cs="Arial"/>
          <w:b/>
          <w:color w:val="000000"/>
          <w:sz w:val="22"/>
          <w:szCs w:val="22"/>
        </w:rPr>
        <w:t xml:space="preserve">iznosi </w:t>
      </w:r>
      <w:r w:rsidRPr="007F0E49">
        <w:rPr>
          <w:rFonts w:ascii="Arial" w:hAnsi="Arial" w:cs="Arial"/>
          <w:b/>
          <w:color w:val="000000"/>
          <w:sz w:val="22"/>
          <w:szCs w:val="22"/>
        </w:rPr>
        <w:t>7.944.648,34</w:t>
      </w:r>
      <w:r w:rsidR="001164CB" w:rsidRPr="007F0E49">
        <w:rPr>
          <w:rFonts w:ascii="Arial" w:hAnsi="Arial" w:cs="Arial"/>
          <w:b/>
          <w:color w:val="FF0000"/>
          <w:sz w:val="22"/>
          <w:szCs w:val="22"/>
        </w:rPr>
        <w:t xml:space="preserve"> </w:t>
      </w:r>
      <w:r w:rsidR="001164CB" w:rsidRPr="007F0E49">
        <w:rPr>
          <w:rFonts w:ascii="Arial" w:hAnsi="Arial" w:cs="Arial"/>
          <w:b/>
          <w:sz w:val="22"/>
          <w:szCs w:val="22"/>
        </w:rPr>
        <w:t>kuna.</w:t>
      </w:r>
    </w:p>
    <w:p w:rsidR="00685D02" w:rsidRPr="007F0E49" w:rsidRDefault="00685D02" w:rsidP="00601159">
      <w:pPr>
        <w:ind w:left="340"/>
        <w:jc w:val="both"/>
        <w:rPr>
          <w:rFonts w:ascii="Arial" w:hAnsi="Arial" w:cs="Arial"/>
          <w:b/>
          <w:sz w:val="22"/>
          <w:szCs w:val="22"/>
        </w:rPr>
      </w:pPr>
    </w:p>
    <w:p w:rsidR="00295DEB" w:rsidRPr="007F0E49" w:rsidRDefault="00295DEB" w:rsidP="00295DEB">
      <w:pPr>
        <w:numPr>
          <w:ilvl w:val="0"/>
          <w:numId w:val="7"/>
        </w:numPr>
        <w:ind w:left="340"/>
        <w:jc w:val="both"/>
        <w:rPr>
          <w:rFonts w:ascii="Arial" w:hAnsi="Arial"/>
          <w:b/>
          <w:sz w:val="22"/>
          <w:szCs w:val="22"/>
        </w:rPr>
      </w:pPr>
      <w:r w:rsidRPr="007F0E49">
        <w:rPr>
          <w:rFonts w:ascii="Arial" w:hAnsi="Arial"/>
          <w:b/>
          <w:sz w:val="22"/>
          <w:szCs w:val="22"/>
        </w:rPr>
        <w:t>Jamstvo dano za kreditno zaduženje Energo d.o.o. Rijeka</w:t>
      </w:r>
    </w:p>
    <w:p w:rsidR="00844E31" w:rsidRPr="007F0E49" w:rsidRDefault="00844E31" w:rsidP="00844E31">
      <w:pPr>
        <w:ind w:left="340"/>
        <w:jc w:val="both"/>
        <w:rPr>
          <w:rFonts w:ascii="Arial" w:hAnsi="Arial"/>
          <w:b/>
          <w:sz w:val="22"/>
          <w:szCs w:val="22"/>
        </w:rPr>
      </w:pPr>
    </w:p>
    <w:p w:rsidR="00295DEB" w:rsidRPr="007F0E49" w:rsidRDefault="00295DEB" w:rsidP="007E4622">
      <w:pPr>
        <w:ind w:left="284"/>
        <w:jc w:val="both"/>
        <w:rPr>
          <w:rFonts w:ascii="Arial" w:hAnsi="Arial"/>
          <w:sz w:val="22"/>
          <w:szCs w:val="22"/>
        </w:rPr>
      </w:pPr>
      <w:r w:rsidRPr="007F0E49">
        <w:rPr>
          <w:rFonts w:ascii="Arial" w:hAnsi="Arial"/>
          <w:sz w:val="22"/>
          <w:szCs w:val="22"/>
        </w:rPr>
        <w:t xml:space="preserve">Gradsko vijeće Grada Rijeke donijelo je na sjednici </w:t>
      </w:r>
      <w:r w:rsidR="00844E31" w:rsidRPr="007F0E49">
        <w:rPr>
          <w:rFonts w:ascii="Arial" w:hAnsi="Arial"/>
          <w:sz w:val="22"/>
          <w:szCs w:val="22"/>
        </w:rPr>
        <w:t xml:space="preserve">31. ožujka 2022. godine Odluku o davanju suglasnosti za zaduženje i davanju jamstva za ispunjavanje obveza </w:t>
      </w:r>
      <w:r w:rsidR="007E2456" w:rsidRPr="007F0E49">
        <w:rPr>
          <w:rFonts w:ascii="Arial" w:hAnsi="Arial"/>
          <w:sz w:val="22"/>
          <w:szCs w:val="22"/>
        </w:rPr>
        <w:t xml:space="preserve">trgovačkog društva </w:t>
      </w:r>
      <w:r w:rsidR="00844E31" w:rsidRPr="007F0E49">
        <w:rPr>
          <w:rFonts w:ascii="Arial" w:hAnsi="Arial"/>
          <w:sz w:val="22"/>
          <w:szCs w:val="22"/>
        </w:rPr>
        <w:t>Energo d.o.o. kod Erste&amp;Steiermarkische Bank d.d.</w:t>
      </w:r>
      <w:r w:rsidR="007E2456" w:rsidRPr="007F0E49">
        <w:rPr>
          <w:rFonts w:ascii="Arial" w:hAnsi="Arial"/>
          <w:sz w:val="22"/>
          <w:szCs w:val="22"/>
        </w:rPr>
        <w:t xml:space="preserve"> </w:t>
      </w:r>
      <w:r w:rsidR="00844E31" w:rsidRPr="007F0E49">
        <w:rPr>
          <w:rFonts w:ascii="Arial" w:hAnsi="Arial"/>
          <w:sz w:val="22"/>
          <w:szCs w:val="22"/>
        </w:rPr>
        <w:t>u iznosu 30.000.000,00 kn, radi</w:t>
      </w:r>
      <w:r w:rsidR="00836785" w:rsidRPr="007F0E49">
        <w:rPr>
          <w:rFonts w:ascii="Arial" w:hAnsi="Arial"/>
          <w:sz w:val="22"/>
          <w:szCs w:val="22"/>
        </w:rPr>
        <w:t xml:space="preserve"> </w:t>
      </w:r>
      <w:r w:rsidR="00844E31" w:rsidRPr="007F0E49">
        <w:rPr>
          <w:rFonts w:ascii="Arial" w:hAnsi="Arial"/>
          <w:sz w:val="22"/>
          <w:szCs w:val="22"/>
        </w:rPr>
        <w:t>sufinanciranja vlastite komponente u realizaciji EU projekta Obnova toplina</w:t>
      </w:r>
      <w:r w:rsidR="00860150" w:rsidRPr="007F0E49">
        <w:rPr>
          <w:rFonts w:ascii="Arial" w:hAnsi="Arial"/>
          <w:sz w:val="22"/>
          <w:szCs w:val="22"/>
        </w:rPr>
        <w:t>rstva</w:t>
      </w:r>
      <w:r w:rsidR="00844E31" w:rsidRPr="007F0E49">
        <w:rPr>
          <w:rFonts w:ascii="Arial" w:hAnsi="Arial"/>
          <w:sz w:val="22"/>
          <w:szCs w:val="22"/>
        </w:rPr>
        <w:t xml:space="preserve"> Grada Rijeke. Temeljem </w:t>
      </w:r>
      <w:r w:rsidR="00860150" w:rsidRPr="007F0E49">
        <w:rPr>
          <w:rFonts w:ascii="Arial" w:hAnsi="Arial"/>
          <w:sz w:val="22"/>
          <w:szCs w:val="22"/>
        </w:rPr>
        <w:t>O</w:t>
      </w:r>
      <w:r w:rsidR="00844E31" w:rsidRPr="007F0E49">
        <w:rPr>
          <w:rFonts w:ascii="Arial" w:hAnsi="Arial"/>
          <w:sz w:val="22"/>
          <w:szCs w:val="22"/>
        </w:rPr>
        <w:t xml:space="preserve">dluke dano je jamstvo za ispunjenje preuzetih obveza </w:t>
      </w:r>
      <w:r w:rsidR="00860150" w:rsidRPr="007F0E49">
        <w:rPr>
          <w:rFonts w:ascii="Arial" w:hAnsi="Arial"/>
          <w:sz w:val="22"/>
          <w:szCs w:val="22"/>
        </w:rPr>
        <w:t>društva</w:t>
      </w:r>
      <w:r w:rsidR="00844E31" w:rsidRPr="007F0E49">
        <w:rPr>
          <w:rFonts w:ascii="Arial" w:hAnsi="Arial"/>
          <w:sz w:val="22"/>
          <w:szCs w:val="22"/>
        </w:rPr>
        <w:t xml:space="preserve"> Energo d.o.o</w:t>
      </w:r>
      <w:r w:rsidR="00757079" w:rsidRPr="007F0E49">
        <w:rPr>
          <w:rFonts w:ascii="Arial" w:hAnsi="Arial"/>
          <w:sz w:val="22"/>
          <w:szCs w:val="22"/>
        </w:rPr>
        <w:t>.</w:t>
      </w:r>
      <w:r w:rsidR="00844E31" w:rsidRPr="007F0E49">
        <w:rPr>
          <w:rFonts w:ascii="Arial" w:hAnsi="Arial"/>
          <w:sz w:val="22"/>
          <w:szCs w:val="22"/>
        </w:rPr>
        <w:t xml:space="preserve"> u visini</w:t>
      </w:r>
      <w:r w:rsidR="00836785" w:rsidRPr="007F0E49">
        <w:rPr>
          <w:rFonts w:ascii="Arial" w:hAnsi="Arial"/>
          <w:sz w:val="22"/>
          <w:szCs w:val="22"/>
        </w:rPr>
        <w:t xml:space="preserve"> </w:t>
      </w:r>
      <w:r w:rsidR="00757079" w:rsidRPr="007F0E49">
        <w:rPr>
          <w:rFonts w:ascii="Arial" w:hAnsi="Arial"/>
          <w:sz w:val="22"/>
          <w:szCs w:val="22"/>
        </w:rPr>
        <w:t>80% ukupnog kredita</w:t>
      </w:r>
      <w:r w:rsidR="00844E31" w:rsidRPr="007F0E49">
        <w:rPr>
          <w:rFonts w:ascii="Arial" w:hAnsi="Arial"/>
          <w:sz w:val="22"/>
          <w:szCs w:val="22"/>
        </w:rPr>
        <w:t>, odnosno u iznosu od 24.000.000,00 kn, uvećano za pripadajuće kamate i ostale troškove, budući da je jamstvo dano do visine 80% kredita ne predstavlja nedozvoljenu državnu potporu.</w:t>
      </w:r>
    </w:p>
    <w:p w:rsidR="00685D02" w:rsidRDefault="00844E31" w:rsidP="00CF2990">
      <w:pPr>
        <w:tabs>
          <w:tab w:val="left" w:pos="284"/>
          <w:tab w:val="left" w:pos="567"/>
          <w:tab w:val="left" w:pos="709"/>
        </w:tabs>
        <w:ind w:left="284"/>
        <w:rPr>
          <w:rFonts w:ascii="Arial" w:hAnsi="Arial"/>
          <w:sz w:val="22"/>
          <w:szCs w:val="22"/>
        </w:rPr>
      </w:pPr>
      <w:r w:rsidRPr="007F0E49">
        <w:rPr>
          <w:rFonts w:ascii="Arial" w:hAnsi="Arial"/>
          <w:sz w:val="22"/>
          <w:szCs w:val="22"/>
        </w:rPr>
        <w:t xml:space="preserve">Na predmetnu Odluku Gradskog vijeća, Grad Rijeka je dobio suglasnost ministra financija 5. srpnja 2022. </w:t>
      </w:r>
      <w:r w:rsidR="00836785" w:rsidRPr="007F0E49">
        <w:rPr>
          <w:rFonts w:ascii="Arial" w:hAnsi="Arial"/>
          <w:sz w:val="22"/>
          <w:szCs w:val="22"/>
        </w:rPr>
        <w:t xml:space="preserve">godine. Na </w:t>
      </w:r>
      <w:r w:rsidRPr="007F0E49">
        <w:rPr>
          <w:rFonts w:ascii="Arial" w:hAnsi="Arial"/>
          <w:sz w:val="22"/>
          <w:szCs w:val="22"/>
        </w:rPr>
        <w:t>temelju dobivene suglasnosti za davanje jamstva na 24.000.000,00 kn</w:t>
      </w:r>
      <w:r w:rsidR="00836785" w:rsidRPr="007F0E49">
        <w:rPr>
          <w:rFonts w:ascii="Arial" w:hAnsi="Arial"/>
          <w:sz w:val="22"/>
          <w:szCs w:val="22"/>
        </w:rPr>
        <w:t xml:space="preserve">, </w:t>
      </w:r>
      <w:r w:rsidRPr="007F0E49">
        <w:rPr>
          <w:rFonts w:ascii="Arial" w:hAnsi="Arial"/>
          <w:sz w:val="22"/>
          <w:szCs w:val="22"/>
        </w:rPr>
        <w:t xml:space="preserve">kojim jamči </w:t>
      </w:r>
      <w:r w:rsidR="006C01DE" w:rsidRPr="007F0E49">
        <w:rPr>
          <w:rFonts w:ascii="Arial" w:hAnsi="Arial"/>
          <w:sz w:val="22"/>
          <w:szCs w:val="22"/>
        </w:rPr>
        <w:t>Erste&amp;Steiermarkische Bank d.d</w:t>
      </w:r>
      <w:r w:rsidRPr="007F0E49">
        <w:rPr>
          <w:rFonts w:ascii="Arial" w:hAnsi="Arial"/>
          <w:sz w:val="22"/>
          <w:szCs w:val="22"/>
        </w:rPr>
        <w:t>. Rijeka za plaćanje svih obveza glavnog dužnika Energo d.o.o.</w:t>
      </w:r>
      <w:r w:rsidR="00860150" w:rsidRPr="007F0E49">
        <w:rPr>
          <w:rFonts w:ascii="Arial" w:hAnsi="Arial"/>
          <w:sz w:val="22"/>
          <w:szCs w:val="22"/>
        </w:rPr>
        <w:t xml:space="preserve">, dok </w:t>
      </w:r>
      <w:r w:rsidR="00860150" w:rsidRPr="007F0E49">
        <w:rPr>
          <w:rFonts w:ascii="Arial" w:hAnsi="Arial"/>
          <w:sz w:val="22"/>
          <w:szCs w:val="22"/>
        </w:rPr>
        <w:tab/>
        <w:t xml:space="preserve">je </w:t>
      </w:r>
      <w:r w:rsidR="00E9282A" w:rsidRPr="007F0E49">
        <w:rPr>
          <w:rFonts w:ascii="Arial" w:hAnsi="Arial"/>
          <w:sz w:val="22"/>
          <w:szCs w:val="22"/>
        </w:rPr>
        <w:t>Ugovor o kreditu</w:t>
      </w:r>
      <w:r w:rsidR="00836785" w:rsidRPr="007F0E49">
        <w:rPr>
          <w:rFonts w:ascii="Arial" w:hAnsi="Arial"/>
          <w:sz w:val="22"/>
          <w:szCs w:val="22"/>
        </w:rPr>
        <w:t xml:space="preserve"> </w:t>
      </w:r>
      <w:r w:rsidR="00E9282A" w:rsidRPr="007F0E49">
        <w:rPr>
          <w:rFonts w:ascii="Arial" w:hAnsi="Arial"/>
          <w:sz w:val="22"/>
          <w:szCs w:val="22"/>
        </w:rPr>
        <w:t>sklopljen između Energo d.o.o</w:t>
      </w:r>
      <w:r w:rsidR="00836785" w:rsidRPr="007F0E49">
        <w:rPr>
          <w:rFonts w:ascii="Arial" w:hAnsi="Arial"/>
          <w:sz w:val="22"/>
          <w:szCs w:val="22"/>
        </w:rPr>
        <w:t>.</w:t>
      </w:r>
      <w:r w:rsidR="00E9282A" w:rsidRPr="007F0E49">
        <w:rPr>
          <w:rFonts w:ascii="Arial" w:hAnsi="Arial"/>
          <w:sz w:val="22"/>
          <w:szCs w:val="22"/>
        </w:rPr>
        <w:t xml:space="preserve"> i Erste&amp;Steiermarkische Bank d.d.</w:t>
      </w:r>
      <w:r w:rsidR="00CF2990">
        <w:rPr>
          <w:rFonts w:ascii="Arial" w:hAnsi="Arial"/>
          <w:sz w:val="22"/>
          <w:szCs w:val="22"/>
        </w:rPr>
        <w:t xml:space="preserve"> </w:t>
      </w:r>
      <w:r w:rsidR="00E9282A" w:rsidRPr="007F0E49">
        <w:rPr>
          <w:rFonts w:ascii="Arial" w:hAnsi="Arial"/>
          <w:sz w:val="22"/>
          <w:szCs w:val="22"/>
        </w:rPr>
        <w:t>Prema uvjetima iz ugovora Energo d.o.o. će sredstva kredita po isteku roka korištenja otplaćivati u roku od 15 godina u jednakim tromjesečnim ratama. Kamatna stopa je fiksna i iznosi 2,3% godišnje.</w:t>
      </w:r>
      <w:r w:rsidR="00685D02">
        <w:rPr>
          <w:rFonts w:ascii="Arial" w:hAnsi="Arial"/>
          <w:sz w:val="22"/>
          <w:szCs w:val="22"/>
        </w:rPr>
        <w:t xml:space="preserve"> </w:t>
      </w:r>
    </w:p>
    <w:p w:rsidR="00685D02" w:rsidRDefault="00E9282A" w:rsidP="00685D02">
      <w:pPr>
        <w:ind w:left="284"/>
        <w:rPr>
          <w:rFonts w:ascii="Arial" w:hAnsi="Arial"/>
          <w:sz w:val="22"/>
          <w:szCs w:val="22"/>
        </w:rPr>
      </w:pPr>
      <w:r w:rsidRPr="007F0E49">
        <w:rPr>
          <w:rFonts w:ascii="Arial" w:hAnsi="Arial"/>
          <w:b/>
          <w:sz w:val="22"/>
          <w:szCs w:val="22"/>
        </w:rPr>
        <w:t xml:space="preserve">Stanje kredita na dan 31.12.2022. godine po osnovi glavnice i kamate iznosi 29.251.130,00 </w:t>
      </w:r>
      <w:r w:rsidR="00685D02">
        <w:rPr>
          <w:rFonts w:ascii="Arial" w:hAnsi="Arial"/>
          <w:b/>
          <w:sz w:val="22"/>
          <w:szCs w:val="22"/>
        </w:rPr>
        <w:t xml:space="preserve">      </w:t>
      </w:r>
      <w:r w:rsidRPr="007F0E49">
        <w:rPr>
          <w:rFonts w:ascii="Arial" w:hAnsi="Arial"/>
          <w:b/>
          <w:sz w:val="22"/>
          <w:szCs w:val="22"/>
        </w:rPr>
        <w:t>kn.</w:t>
      </w:r>
    </w:p>
    <w:p w:rsidR="00685D02" w:rsidRDefault="00685D02" w:rsidP="00685D02">
      <w:pPr>
        <w:ind w:left="284"/>
        <w:rPr>
          <w:rFonts w:ascii="Arial" w:hAnsi="Arial" w:cs="Arial"/>
          <w:b/>
          <w:color w:val="000000"/>
          <w:sz w:val="22"/>
          <w:szCs w:val="22"/>
        </w:rPr>
      </w:pPr>
    </w:p>
    <w:p w:rsidR="00A95DDF" w:rsidRPr="00BC6599" w:rsidRDefault="00E9282A" w:rsidP="00685D02">
      <w:pPr>
        <w:ind w:left="284"/>
        <w:rPr>
          <w:rFonts w:ascii="Arial" w:hAnsi="Arial"/>
          <w:sz w:val="22"/>
          <w:szCs w:val="22"/>
        </w:rPr>
      </w:pPr>
      <w:r w:rsidRPr="00BC6599">
        <w:rPr>
          <w:rFonts w:ascii="Arial" w:hAnsi="Arial" w:cs="Arial"/>
          <w:color w:val="000000"/>
          <w:sz w:val="22"/>
          <w:szCs w:val="22"/>
        </w:rPr>
        <w:t>U 2022</w:t>
      </w:r>
      <w:r w:rsidR="001164CB" w:rsidRPr="00BC6599">
        <w:rPr>
          <w:rFonts w:ascii="Arial" w:hAnsi="Arial" w:cs="Arial"/>
          <w:color w:val="000000"/>
          <w:sz w:val="22"/>
          <w:szCs w:val="22"/>
        </w:rPr>
        <w:t>. godini navedena dana jamstva nisu protestirana odnosno u proračunu Grada nije bilo izvršenih izdataka po danim jamstvima.</w:t>
      </w:r>
    </w:p>
    <w:p w:rsidR="001C6B01" w:rsidRDefault="001C6B01" w:rsidP="004748AB">
      <w:pPr>
        <w:jc w:val="both"/>
        <w:rPr>
          <w:rFonts w:ascii="Arial" w:hAnsi="Arial"/>
        </w:rPr>
      </w:pPr>
    </w:p>
    <w:p w:rsidR="006E6F0D" w:rsidRPr="006A03E7" w:rsidRDefault="006E6F0D" w:rsidP="004748AB">
      <w:pPr>
        <w:jc w:val="both"/>
        <w:rPr>
          <w:rFonts w:ascii="Arial" w:hAnsi="Arial"/>
          <w:b/>
          <w:color w:val="1F3864" w:themeColor="accent5" w:themeShade="80"/>
          <w:sz w:val="16"/>
          <w:szCs w:val="16"/>
        </w:rPr>
      </w:pPr>
      <w:r w:rsidRPr="00A73102">
        <w:rPr>
          <w:rFonts w:ascii="Arial" w:hAnsi="Arial"/>
        </w:rPr>
        <w:lastRenderedPageBreak/>
        <w:t xml:space="preserve">Tablica 3. Dana jamstva </w:t>
      </w:r>
      <w:r w:rsidRPr="00A73102">
        <w:rPr>
          <w:rFonts w:ascii="Arial" w:hAnsi="Arial"/>
        </w:rPr>
        <w:tab/>
      </w:r>
      <w:r w:rsidR="004748AB" w:rsidRPr="00A73102">
        <w:rPr>
          <w:rFonts w:ascii="Arial" w:hAnsi="Arial"/>
        </w:rPr>
        <w:tab/>
      </w:r>
      <w:r w:rsidR="004748AB" w:rsidRPr="00A73102">
        <w:rPr>
          <w:rFonts w:ascii="Arial" w:hAnsi="Arial"/>
        </w:rPr>
        <w:tab/>
      </w:r>
      <w:r w:rsidR="004748AB" w:rsidRPr="00A73102">
        <w:rPr>
          <w:rFonts w:ascii="Arial" w:hAnsi="Arial"/>
        </w:rPr>
        <w:tab/>
      </w:r>
      <w:r w:rsidR="004748AB" w:rsidRPr="00A73102">
        <w:rPr>
          <w:rFonts w:ascii="Arial" w:hAnsi="Arial"/>
        </w:rPr>
        <w:tab/>
      </w:r>
      <w:r w:rsidR="004748AB" w:rsidRPr="00A73102">
        <w:rPr>
          <w:rFonts w:ascii="Arial" w:hAnsi="Arial"/>
        </w:rPr>
        <w:tab/>
      </w:r>
      <w:r w:rsidR="004748AB" w:rsidRPr="00A73102">
        <w:rPr>
          <w:rFonts w:ascii="Arial" w:hAnsi="Arial"/>
        </w:rPr>
        <w:tab/>
      </w:r>
      <w:r w:rsidR="004748AB" w:rsidRPr="00A73102">
        <w:rPr>
          <w:rFonts w:ascii="Arial" w:hAnsi="Arial"/>
        </w:rPr>
        <w:tab/>
      </w:r>
      <w:r w:rsidR="004748AB" w:rsidRPr="00A73102">
        <w:rPr>
          <w:rFonts w:ascii="Arial" w:hAnsi="Arial"/>
        </w:rPr>
        <w:tab/>
      </w:r>
      <w:r w:rsidR="006B567C" w:rsidRPr="00A73102">
        <w:rPr>
          <w:rFonts w:ascii="Arial" w:hAnsi="Arial"/>
        </w:rPr>
        <w:tab/>
      </w:r>
      <w:r w:rsidR="004748AB" w:rsidRPr="006A03E7">
        <w:rPr>
          <w:rFonts w:ascii="Arial" w:hAnsi="Arial"/>
          <w:i/>
          <w:sz w:val="16"/>
          <w:szCs w:val="16"/>
        </w:rPr>
        <w:t>u kn</w:t>
      </w:r>
      <w:r w:rsidR="004748AB" w:rsidRPr="006A03E7">
        <w:rPr>
          <w:rFonts w:ascii="Arial" w:hAnsi="Arial"/>
          <w:sz w:val="16"/>
          <w:szCs w:val="16"/>
        </w:rPr>
        <w:t xml:space="preserve"> </w:t>
      </w:r>
    </w:p>
    <w:tbl>
      <w:tblPr>
        <w:tblW w:w="10068" w:type="dxa"/>
        <w:tblInd w:w="-5" w:type="dxa"/>
        <w:tblLook w:val="04A0" w:firstRow="1" w:lastRow="0" w:firstColumn="1" w:lastColumn="0" w:noHBand="0" w:noVBand="1"/>
      </w:tblPr>
      <w:tblGrid>
        <w:gridCol w:w="4788"/>
        <w:gridCol w:w="1760"/>
        <w:gridCol w:w="1760"/>
        <w:gridCol w:w="1760"/>
      </w:tblGrid>
      <w:tr w:rsidR="006E6F0D" w:rsidRPr="00A73102" w:rsidTr="006A03E7">
        <w:trPr>
          <w:trHeight w:val="397"/>
        </w:trPr>
        <w:tc>
          <w:tcPr>
            <w:tcW w:w="4788"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rsidR="006E6F0D" w:rsidRPr="00A73102" w:rsidRDefault="006E6F0D" w:rsidP="005958A4">
            <w:pPr>
              <w:jc w:val="center"/>
              <w:rPr>
                <w:rFonts w:ascii="Arial" w:hAnsi="Arial" w:cs="Arial"/>
                <w:b/>
                <w:bCs/>
                <w:sz w:val="18"/>
                <w:szCs w:val="18"/>
                <w:lang w:eastAsia="en-US"/>
              </w:rPr>
            </w:pPr>
            <w:r w:rsidRPr="00A73102">
              <w:rPr>
                <w:rFonts w:ascii="Arial" w:hAnsi="Arial" w:cs="Arial"/>
                <w:b/>
                <w:bCs/>
                <w:sz w:val="18"/>
                <w:szCs w:val="18"/>
                <w:lang w:eastAsia="en-US"/>
              </w:rPr>
              <w:t>Jamstva</w:t>
            </w:r>
          </w:p>
        </w:tc>
        <w:tc>
          <w:tcPr>
            <w:tcW w:w="1760" w:type="dxa"/>
            <w:tcBorders>
              <w:top w:val="single" w:sz="4" w:space="0" w:color="auto"/>
              <w:left w:val="nil"/>
              <w:bottom w:val="single" w:sz="4" w:space="0" w:color="auto"/>
              <w:right w:val="single" w:sz="4" w:space="0" w:color="auto"/>
            </w:tcBorders>
            <w:shd w:val="clear" w:color="auto" w:fill="D5DCE4" w:themeFill="text2" w:themeFillTint="33"/>
            <w:noWrap/>
            <w:vAlign w:val="bottom"/>
            <w:hideMark/>
          </w:tcPr>
          <w:p w:rsidR="006E6F0D" w:rsidRPr="00A73102" w:rsidRDefault="006E6F0D" w:rsidP="005958A4">
            <w:pPr>
              <w:jc w:val="center"/>
              <w:rPr>
                <w:rFonts w:ascii="Arial" w:hAnsi="Arial" w:cs="Arial"/>
                <w:b/>
                <w:bCs/>
                <w:sz w:val="18"/>
                <w:szCs w:val="18"/>
                <w:lang w:eastAsia="en-US"/>
              </w:rPr>
            </w:pPr>
            <w:r w:rsidRPr="00A73102">
              <w:rPr>
                <w:rFonts w:ascii="Arial" w:hAnsi="Arial" w:cs="Arial"/>
                <w:b/>
                <w:bCs/>
                <w:sz w:val="18"/>
                <w:szCs w:val="18"/>
                <w:lang w:eastAsia="en-US"/>
              </w:rPr>
              <w:t>Ukupno</w:t>
            </w:r>
          </w:p>
        </w:tc>
        <w:tc>
          <w:tcPr>
            <w:tcW w:w="1760" w:type="dxa"/>
            <w:tcBorders>
              <w:top w:val="single" w:sz="4" w:space="0" w:color="auto"/>
              <w:left w:val="nil"/>
              <w:bottom w:val="single" w:sz="4" w:space="0" w:color="auto"/>
              <w:right w:val="single" w:sz="4" w:space="0" w:color="auto"/>
            </w:tcBorders>
            <w:shd w:val="clear" w:color="auto" w:fill="D5DCE4" w:themeFill="text2" w:themeFillTint="33"/>
            <w:noWrap/>
            <w:vAlign w:val="bottom"/>
            <w:hideMark/>
          </w:tcPr>
          <w:p w:rsidR="006E6F0D" w:rsidRPr="00A73102" w:rsidRDefault="006E6F0D" w:rsidP="005958A4">
            <w:pPr>
              <w:jc w:val="center"/>
              <w:rPr>
                <w:rFonts w:ascii="Arial" w:hAnsi="Arial" w:cs="Arial"/>
                <w:b/>
                <w:bCs/>
                <w:sz w:val="18"/>
                <w:szCs w:val="18"/>
                <w:lang w:eastAsia="en-US"/>
              </w:rPr>
            </w:pPr>
            <w:r w:rsidRPr="00A73102">
              <w:rPr>
                <w:rFonts w:ascii="Arial" w:hAnsi="Arial" w:cs="Arial"/>
                <w:b/>
                <w:bCs/>
                <w:sz w:val="18"/>
                <w:szCs w:val="18"/>
                <w:lang w:eastAsia="en-US"/>
              </w:rPr>
              <w:t>Glavnica</w:t>
            </w:r>
          </w:p>
        </w:tc>
        <w:tc>
          <w:tcPr>
            <w:tcW w:w="1760" w:type="dxa"/>
            <w:tcBorders>
              <w:top w:val="single" w:sz="4" w:space="0" w:color="auto"/>
              <w:left w:val="nil"/>
              <w:bottom w:val="single" w:sz="4" w:space="0" w:color="auto"/>
              <w:right w:val="single" w:sz="4" w:space="0" w:color="auto"/>
            </w:tcBorders>
            <w:shd w:val="clear" w:color="auto" w:fill="D5DCE4" w:themeFill="text2" w:themeFillTint="33"/>
            <w:noWrap/>
            <w:vAlign w:val="bottom"/>
            <w:hideMark/>
          </w:tcPr>
          <w:p w:rsidR="006E6F0D" w:rsidRPr="00A73102" w:rsidRDefault="006E6F0D" w:rsidP="005958A4">
            <w:pPr>
              <w:jc w:val="center"/>
              <w:rPr>
                <w:rFonts w:ascii="Arial" w:hAnsi="Arial" w:cs="Arial"/>
                <w:b/>
                <w:bCs/>
                <w:sz w:val="18"/>
                <w:szCs w:val="18"/>
                <w:lang w:eastAsia="en-US"/>
              </w:rPr>
            </w:pPr>
            <w:r w:rsidRPr="00A73102">
              <w:rPr>
                <w:rFonts w:ascii="Arial" w:hAnsi="Arial" w:cs="Arial"/>
                <w:b/>
                <w:bCs/>
                <w:sz w:val="18"/>
                <w:szCs w:val="18"/>
                <w:lang w:eastAsia="en-US"/>
              </w:rPr>
              <w:t>Kamata</w:t>
            </w:r>
          </w:p>
        </w:tc>
      </w:tr>
      <w:tr w:rsidR="006E6F0D" w:rsidRPr="00A73102" w:rsidTr="00E9282A">
        <w:trPr>
          <w:trHeight w:val="415"/>
        </w:trPr>
        <w:tc>
          <w:tcPr>
            <w:tcW w:w="4788" w:type="dxa"/>
            <w:tcBorders>
              <w:top w:val="nil"/>
              <w:left w:val="single" w:sz="4" w:space="0" w:color="auto"/>
              <w:bottom w:val="single" w:sz="4" w:space="0" w:color="auto"/>
              <w:right w:val="single" w:sz="4" w:space="0" w:color="auto"/>
            </w:tcBorders>
            <w:shd w:val="clear" w:color="auto" w:fill="auto"/>
            <w:noWrap/>
            <w:vAlign w:val="center"/>
            <w:hideMark/>
          </w:tcPr>
          <w:p w:rsidR="006E6F0D" w:rsidRPr="00A73102" w:rsidRDefault="006E6F0D" w:rsidP="005958A4">
            <w:pPr>
              <w:rPr>
                <w:rFonts w:ascii="Arial" w:hAnsi="Arial" w:cs="Arial"/>
                <w:b/>
                <w:bCs/>
                <w:sz w:val="18"/>
                <w:szCs w:val="18"/>
                <w:lang w:eastAsia="en-US"/>
              </w:rPr>
            </w:pPr>
            <w:r w:rsidRPr="00A73102">
              <w:rPr>
                <w:rFonts w:ascii="Arial" w:hAnsi="Arial" w:cs="Arial"/>
                <w:b/>
                <w:bCs/>
                <w:sz w:val="18"/>
                <w:szCs w:val="18"/>
                <w:lang w:eastAsia="en-US"/>
              </w:rPr>
              <w:t>Ukupno jamstva:</w:t>
            </w:r>
          </w:p>
        </w:tc>
        <w:tc>
          <w:tcPr>
            <w:tcW w:w="1760" w:type="dxa"/>
            <w:tcBorders>
              <w:top w:val="nil"/>
              <w:left w:val="nil"/>
              <w:bottom w:val="single" w:sz="4" w:space="0" w:color="auto"/>
              <w:right w:val="single" w:sz="4" w:space="0" w:color="auto"/>
            </w:tcBorders>
            <w:shd w:val="clear" w:color="auto" w:fill="auto"/>
            <w:noWrap/>
            <w:vAlign w:val="center"/>
            <w:hideMark/>
          </w:tcPr>
          <w:p w:rsidR="006E6F0D" w:rsidRPr="00A73102" w:rsidRDefault="007C00EA" w:rsidP="006A03E7">
            <w:pPr>
              <w:jc w:val="right"/>
              <w:rPr>
                <w:rFonts w:ascii="Arial" w:hAnsi="Arial" w:cs="Arial"/>
                <w:b/>
                <w:sz w:val="18"/>
                <w:szCs w:val="18"/>
                <w:lang w:eastAsia="en-US"/>
              </w:rPr>
            </w:pPr>
            <w:r w:rsidRPr="00A73102">
              <w:rPr>
                <w:rFonts w:ascii="Arial" w:hAnsi="Arial" w:cs="Arial"/>
                <w:b/>
                <w:sz w:val="18"/>
                <w:szCs w:val="18"/>
                <w:lang w:eastAsia="en-US"/>
              </w:rPr>
              <w:t>70.127.574,50</w:t>
            </w:r>
          </w:p>
        </w:tc>
        <w:tc>
          <w:tcPr>
            <w:tcW w:w="1760" w:type="dxa"/>
            <w:tcBorders>
              <w:top w:val="nil"/>
              <w:left w:val="nil"/>
              <w:bottom w:val="single" w:sz="4" w:space="0" w:color="auto"/>
              <w:right w:val="single" w:sz="4" w:space="0" w:color="auto"/>
            </w:tcBorders>
            <w:shd w:val="clear" w:color="auto" w:fill="auto"/>
            <w:noWrap/>
            <w:vAlign w:val="center"/>
            <w:hideMark/>
          </w:tcPr>
          <w:p w:rsidR="006E6F0D" w:rsidRPr="00A73102" w:rsidRDefault="00E9282A" w:rsidP="006A03E7">
            <w:pPr>
              <w:jc w:val="right"/>
              <w:rPr>
                <w:rFonts w:ascii="Arial" w:hAnsi="Arial" w:cs="Arial"/>
                <w:b/>
                <w:sz w:val="18"/>
                <w:szCs w:val="18"/>
                <w:lang w:eastAsia="en-US"/>
              </w:rPr>
            </w:pPr>
            <w:r w:rsidRPr="00A73102">
              <w:rPr>
                <w:rFonts w:ascii="Arial" w:hAnsi="Arial" w:cs="Arial"/>
                <w:b/>
                <w:sz w:val="18"/>
                <w:szCs w:val="18"/>
                <w:lang w:eastAsia="en-US"/>
              </w:rPr>
              <w:t>53.295.183,53</w:t>
            </w:r>
          </w:p>
        </w:tc>
        <w:tc>
          <w:tcPr>
            <w:tcW w:w="1760" w:type="dxa"/>
            <w:tcBorders>
              <w:top w:val="nil"/>
              <w:left w:val="nil"/>
              <w:bottom w:val="single" w:sz="4" w:space="0" w:color="auto"/>
              <w:right w:val="single" w:sz="4" w:space="0" w:color="auto"/>
            </w:tcBorders>
            <w:shd w:val="clear" w:color="auto" w:fill="auto"/>
            <w:noWrap/>
            <w:vAlign w:val="center"/>
            <w:hideMark/>
          </w:tcPr>
          <w:p w:rsidR="006E6F0D" w:rsidRPr="00A73102" w:rsidRDefault="00E9282A" w:rsidP="006A03E7">
            <w:pPr>
              <w:jc w:val="right"/>
              <w:rPr>
                <w:rFonts w:ascii="Arial" w:hAnsi="Arial" w:cs="Arial"/>
                <w:b/>
                <w:sz w:val="18"/>
                <w:szCs w:val="18"/>
                <w:lang w:eastAsia="en-US"/>
              </w:rPr>
            </w:pPr>
            <w:r w:rsidRPr="00A73102">
              <w:rPr>
                <w:rFonts w:ascii="Arial" w:hAnsi="Arial" w:cs="Arial"/>
                <w:b/>
                <w:sz w:val="18"/>
                <w:szCs w:val="18"/>
                <w:lang w:eastAsia="en-US"/>
              </w:rPr>
              <w:t>16.832.390,9</w:t>
            </w:r>
            <w:r w:rsidR="0018104D" w:rsidRPr="00A73102">
              <w:rPr>
                <w:rFonts w:ascii="Arial" w:hAnsi="Arial" w:cs="Arial"/>
                <w:b/>
                <w:sz w:val="18"/>
                <w:szCs w:val="18"/>
                <w:lang w:eastAsia="en-US"/>
              </w:rPr>
              <w:t>7</w:t>
            </w:r>
          </w:p>
        </w:tc>
      </w:tr>
      <w:tr w:rsidR="006E6F0D" w:rsidRPr="00A73102" w:rsidTr="00E9282A">
        <w:trPr>
          <w:trHeight w:val="463"/>
        </w:trPr>
        <w:tc>
          <w:tcPr>
            <w:tcW w:w="4788" w:type="dxa"/>
            <w:tcBorders>
              <w:top w:val="nil"/>
              <w:left w:val="single" w:sz="4" w:space="0" w:color="auto"/>
              <w:bottom w:val="single" w:sz="4" w:space="0" w:color="auto"/>
              <w:right w:val="single" w:sz="4" w:space="0" w:color="auto"/>
            </w:tcBorders>
            <w:shd w:val="clear" w:color="auto" w:fill="auto"/>
            <w:vAlign w:val="center"/>
            <w:hideMark/>
          </w:tcPr>
          <w:p w:rsidR="006E6F0D" w:rsidRPr="00A73102" w:rsidRDefault="006E6F0D" w:rsidP="005958A4">
            <w:pPr>
              <w:rPr>
                <w:rFonts w:ascii="Arial" w:hAnsi="Arial" w:cs="Arial"/>
                <w:sz w:val="18"/>
                <w:szCs w:val="18"/>
                <w:lang w:eastAsia="en-US"/>
              </w:rPr>
            </w:pPr>
            <w:r w:rsidRPr="00A73102">
              <w:rPr>
                <w:rFonts w:ascii="Arial" w:hAnsi="Arial" w:cs="Arial"/>
                <w:sz w:val="18"/>
                <w:szCs w:val="18"/>
                <w:lang w:eastAsia="en-US"/>
              </w:rPr>
              <w:t>Jamstvo za zaduženje Ekoplus d.o.o. za projekt IPA ŽCGO Marišćina</w:t>
            </w:r>
          </w:p>
        </w:tc>
        <w:tc>
          <w:tcPr>
            <w:tcW w:w="1760" w:type="dxa"/>
            <w:tcBorders>
              <w:top w:val="nil"/>
              <w:left w:val="nil"/>
              <w:bottom w:val="single" w:sz="4" w:space="0" w:color="auto"/>
              <w:right w:val="single" w:sz="4" w:space="0" w:color="auto"/>
            </w:tcBorders>
            <w:shd w:val="clear" w:color="auto" w:fill="auto"/>
            <w:noWrap/>
            <w:vAlign w:val="center"/>
            <w:hideMark/>
          </w:tcPr>
          <w:p w:rsidR="006E6F0D" w:rsidRPr="00A73102" w:rsidRDefault="00E9282A" w:rsidP="006A03E7">
            <w:pPr>
              <w:jc w:val="right"/>
              <w:rPr>
                <w:rFonts w:ascii="Arial" w:hAnsi="Arial" w:cs="Arial"/>
                <w:sz w:val="18"/>
                <w:szCs w:val="18"/>
                <w:lang w:eastAsia="en-US"/>
              </w:rPr>
            </w:pPr>
            <w:r w:rsidRPr="00A73102">
              <w:rPr>
                <w:rFonts w:ascii="Arial" w:hAnsi="Arial" w:cs="Arial"/>
                <w:sz w:val="18"/>
                <w:szCs w:val="18"/>
                <w:lang w:eastAsia="en-US"/>
              </w:rPr>
              <w:t>32.931.796,1</w:t>
            </w:r>
            <w:r w:rsidR="007C00EA" w:rsidRPr="00A73102">
              <w:rPr>
                <w:rFonts w:ascii="Arial" w:hAnsi="Arial" w:cs="Arial"/>
                <w:sz w:val="18"/>
                <w:szCs w:val="18"/>
                <w:lang w:eastAsia="en-US"/>
              </w:rPr>
              <w:t>5</w:t>
            </w:r>
          </w:p>
        </w:tc>
        <w:tc>
          <w:tcPr>
            <w:tcW w:w="1760" w:type="dxa"/>
            <w:tcBorders>
              <w:top w:val="nil"/>
              <w:left w:val="nil"/>
              <w:bottom w:val="single" w:sz="4" w:space="0" w:color="auto"/>
              <w:right w:val="single" w:sz="4" w:space="0" w:color="auto"/>
            </w:tcBorders>
            <w:shd w:val="clear" w:color="auto" w:fill="auto"/>
            <w:noWrap/>
            <w:vAlign w:val="center"/>
            <w:hideMark/>
          </w:tcPr>
          <w:p w:rsidR="006E6F0D" w:rsidRPr="00A73102" w:rsidRDefault="00E9282A" w:rsidP="006A03E7">
            <w:pPr>
              <w:jc w:val="right"/>
              <w:rPr>
                <w:rFonts w:ascii="Arial" w:hAnsi="Arial" w:cs="Arial"/>
                <w:sz w:val="18"/>
                <w:szCs w:val="18"/>
                <w:lang w:eastAsia="en-US"/>
              </w:rPr>
            </w:pPr>
            <w:r w:rsidRPr="00A73102">
              <w:rPr>
                <w:rFonts w:ascii="Arial" w:hAnsi="Arial" w:cs="Arial"/>
                <w:sz w:val="18"/>
                <w:szCs w:val="18"/>
                <w:lang w:eastAsia="en-US"/>
              </w:rPr>
              <w:t>21.785.388,85</w:t>
            </w:r>
          </w:p>
        </w:tc>
        <w:tc>
          <w:tcPr>
            <w:tcW w:w="1760" w:type="dxa"/>
            <w:tcBorders>
              <w:top w:val="nil"/>
              <w:left w:val="nil"/>
              <w:bottom w:val="single" w:sz="4" w:space="0" w:color="auto"/>
              <w:right w:val="single" w:sz="4" w:space="0" w:color="auto"/>
            </w:tcBorders>
            <w:shd w:val="clear" w:color="auto" w:fill="auto"/>
            <w:noWrap/>
            <w:vAlign w:val="center"/>
            <w:hideMark/>
          </w:tcPr>
          <w:p w:rsidR="006E6F0D" w:rsidRPr="00A73102" w:rsidRDefault="00E9282A" w:rsidP="006A03E7">
            <w:pPr>
              <w:jc w:val="right"/>
              <w:rPr>
                <w:rFonts w:ascii="Arial" w:hAnsi="Arial" w:cs="Arial"/>
                <w:sz w:val="18"/>
                <w:szCs w:val="18"/>
                <w:lang w:eastAsia="en-US"/>
              </w:rPr>
            </w:pPr>
            <w:r w:rsidRPr="00A73102">
              <w:rPr>
                <w:rFonts w:ascii="Arial" w:hAnsi="Arial" w:cs="Arial"/>
                <w:sz w:val="18"/>
                <w:szCs w:val="18"/>
                <w:lang w:eastAsia="en-US"/>
              </w:rPr>
              <w:t>11.146.407,30</w:t>
            </w:r>
          </w:p>
        </w:tc>
      </w:tr>
      <w:tr w:rsidR="006E6F0D" w:rsidRPr="00A73102" w:rsidTr="00E9282A">
        <w:trPr>
          <w:trHeight w:val="544"/>
        </w:trPr>
        <w:tc>
          <w:tcPr>
            <w:tcW w:w="4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F0D" w:rsidRPr="00A73102" w:rsidRDefault="006E6F0D" w:rsidP="005958A4">
            <w:pPr>
              <w:rPr>
                <w:rFonts w:ascii="Arial" w:hAnsi="Arial" w:cs="Arial"/>
                <w:sz w:val="18"/>
                <w:szCs w:val="18"/>
                <w:lang w:eastAsia="en-US"/>
              </w:rPr>
            </w:pPr>
            <w:r w:rsidRPr="00A73102">
              <w:rPr>
                <w:rFonts w:ascii="Arial" w:hAnsi="Arial" w:cs="Arial"/>
                <w:sz w:val="18"/>
                <w:szCs w:val="18"/>
                <w:lang w:eastAsia="en-US"/>
              </w:rPr>
              <w:t>Jamstvo za zaduženje Energo d.o.o. za kogeneracijsku energanu na Trsatu</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6E6F0D" w:rsidRPr="00A73102" w:rsidRDefault="0072500C" w:rsidP="006A03E7">
            <w:pPr>
              <w:jc w:val="right"/>
              <w:rPr>
                <w:rFonts w:ascii="Arial" w:hAnsi="Arial" w:cs="Arial"/>
                <w:sz w:val="18"/>
                <w:szCs w:val="18"/>
                <w:lang w:eastAsia="en-US"/>
              </w:rPr>
            </w:pPr>
            <w:r w:rsidRPr="00A73102">
              <w:rPr>
                <w:rFonts w:ascii="Arial" w:hAnsi="Arial" w:cs="Arial"/>
                <w:sz w:val="18"/>
                <w:szCs w:val="18"/>
                <w:lang w:eastAsia="en-US"/>
              </w:rPr>
              <w:t xml:space="preserve">  </w:t>
            </w:r>
            <w:r w:rsidR="00E9282A" w:rsidRPr="00A73102">
              <w:rPr>
                <w:rFonts w:ascii="Arial" w:hAnsi="Arial" w:cs="Arial"/>
                <w:sz w:val="18"/>
                <w:szCs w:val="18"/>
                <w:lang w:eastAsia="en-US"/>
              </w:rPr>
              <w:t>7.944.648,3</w:t>
            </w:r>
            <w:r w:rsidR="007C00EA" w:rsidRPr="00A73102">
              <w:rPr>
                <w:rFonts w:ascii="Arial" w:hAnsi="Arial" w:cs="Arial"/>
                <w:sz w:val="18"/>
                <w:szCs w:val="18"/>
                <w:lang w:eastAsia="en-US"/>
              </w:rPr>
              <w:t>5</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6E6F0D" w:rsidRPr="00A73102" w:rsidRDefault="00084274" w:rsidP="006A03E7">
            <w:pPr>
              <w:jc w:val="right"/>
              <w:rPr>
                <w:rFonts w:ascii="Arial" w:hAnsi="Arial" w:cs="Arial"/>
                <w:sz w:val="18"/>
                <w:szCs w:val="18"/>
                <w:lang w:eastAsia="en-US"/>
              </w:rPr>
            </w:pPr>
            <w:r w:rsidRPr="00A73102">
              <w:rPr>
                <w:rFonts w:ascii="Arial" w:hAnsi="Arial" w:cs="Arial"/>
                <w:sz w:val="18"/>
                <w:szCs w:val="18"/>
                <w:lang w:eastAsia="en-US"/>
              </w:rPr>
              <w:t xml:space="preserve">  </w:t>
            </w:r>
            <w:r w:rsidR="00E9282A" w:rsidRPr="00A73102">
              <w:rPr>
                <w:rFonts w:ascii="Arial" w:hAnsi="Arial" w:cs="Arial"/>
                <w:sz w:val="18"/>
                <w:szCs w:val="18"/>
                <w:lang w:eastAsia="en-US"/>
              </w:rPr>
              <w:t>7.509.794,68</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6E6F0D" w:rsidRPr="00A73102" w:rsidRDefault="0072500C" w:rsidP="006A03E7">
            <w:pPr>
              <w:jc w:val="right"/>
              <w:rPr>
                <w:rFonts w:ascii="Arial" w:hAnsi="Arial" w:cs="Arial"/>
                <w:sz w:val="18"/>
                <w:szCs w:val="18"/>
                <w:lang w:eastAsia="en-US"/>
              </w:rPr>
            </w:pPr>
            <w:r w:rsidRPr="00A73102">
              <w:rPr>
                <w:rFonts w:ascii="Arial" w:hAnsi="Arial" w:cs="Arial"/>
                <w:sz w:val="18"/>
                <w:szCs w:val="18"/>
                <w:lang w:eastAsia="en-US"/>
              </w:rPr>
              <w:t xml:space="preserve">     </w:t>
            </w:r>
            <w:r w:rsidR="00E9282A" w:rsidRPr="00A73102">
              <w:rPr>
                <w:rFonts w:ascii="Arial" w:hAnsi="Arial" w:cs="Arial"/>
                <w:sz w:val="18"/>
                <w:szCs w:val="18"/>
                <w:lang w:eastAsia="en-US"/>
              </w:rPr>
              <w:t>434.853,67</w:t>
            </w:r>
          </w:p>
        </w:tc>
      </w:tr>
      <w:tr w:rsidR="00E9282A" w:rsidRPr="00A73102" w:rsidTr="00E9282A">
        <w:trPr>
          <w:trHeight w:val="544"/>
        </w:trPr>
        <w:tc>
          <w:tcPr>
            <w:tcW w:w="4788" w:type="dxa"/>
            <w:tcBorders>
              <w:top w:val="single" w:sz="4" w:space="0" w:color="auto"/>
              <w:left w:val="single" w:sz="4" w:space="0" w:color="auto"/>
              <w:bottom w:val="single" w:sz="4" w:space="0" w:color="auto"/>
              <w:right w:val="single" w:sz="4" w:space="0" w:color="auto"/>
            </w:tcBorders>
            <w:shd w:val="clear" w:color="auto" w:fill="auto"/>
            <w:vAlign w:val="center"/>
          </w:tcPr>
          <w:p w:rsidR="00E9282A" w:rsidRPr="00A73102" w:rsidRDefault="00E9282A" w:rsidP="005958A4">
            <w:pPr>
              <w:rPr>
                <w:rFonts w:ascii="Arial" w:hAnsi="Arial" w:cs="Arial"/>
                <w:sz w:val="18"/>
                <w:szCs w:val="18"/>
                <w:lang w:eastAsia="en-US"/>
              </w:rPr>
            </w:pPr>
            <w:r w:rsidRPr="00A73102">
              <w:rPr>
                <w:rFonts w:ascii="Arial" w:hAnsi="Arial" w:cs="Arial"/>
                <w:sz w:val="18"/>
                <w:szCs w:val="18"/>
                <w:lang w:eastAsia="en-US"/>
              </w:rPr>
              <w:t>Jamstvo za zaduženje Energo d.o.o.</w:t>
            </w:r>
            <w:r w:rsidR="00C4668D" w:rsidRPr="00A73102">
              <w:rPr>
                <w:rFonts w:ascii="Arial" w:hAnsi="Arial" w:cs="Arial"/>
                <w:sz w:val="18"/>
                <w:szCs w:val="18"/>
                <w:lang w:eastAsia="en-US"/>
              </w:rPr>
              <w:t xml:space="preserve"> </w:t>
            </w:r>
            <w:r w:rsidRPr="00A73102">
              <w:rPr>
                <w:rFonts w:ascii="Arial" w:hAnsi="Arial" w:cs="Arial"/>
                <w:sz w:val="18"/>
                <w:szCs w:val="18"/>
                <w:lang w:eastAsia="en-US"/>
              </w:rPr>
              <w:t>za obnovu toplinarstva grada Rijeke</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E9282A" w:rsidRPr="00A73102" w:rsidRDefault="00E9282A" w:rsidP="006A03E7">
            <w:pPr>
              <w:jc w:val="right"/>
              <w:rPr>
                <w:rFonts w:ascii="Arial" w:hAnsi="Arial" w:cs="Arial"/>
                <w:sz w:val="18"/>
                <w:szCs w:val="18"/>
                <w:lang w:eastAsia="en-US"/>
              </w:rPr>
            </w:pPr>
            <w:r w:rsidRPr="00A73102">
              <w:rPr>
                <w:rFonts w:ascii="Arial" w:hAnsi="Arial" w:cs="Arial"/>
                <w:sz w:val="18"/>
                <w:szCs w:val="18"/>
                <w:lang w:eastAsia="en-US"/>
              </w:rPr>
              <w:t xml:space="preserve">    29.251.130,00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E9282A" w:rsidRPr="00A73102" w:rsidRDefault="00E9282A" w:rsidP="006A03E7">
            <w:pPr>
              <w:jc w:val="right"/>
              <w:rPr>
                <w:rFonts w:ascii="Arial" w:hAnsi="Arial" w:cs="Arial"/>
                <w:sz w:val="18"/>
                <w:szCs w:val="18"/>
                <w:lang w:eastAsia="en-US"/>
              </w:rPr>
            </w:pPr>
            <w:r w:rsidRPr="00A73102">
              <w:rPr>
                <w:rFonts w:ascii="Arial" w:hAnsi="Arial" w:cs="Arial"/>
                <w:sz w:val="18"/>
                <w:szCs w:val="18"/>
                <w:lang w:eastAsia="en-US"/>
              </w:rPr>
              <w:t xml:space="preserve">    24.000.000,00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E9282A" w:rsidRPr="00A73102" w:rsidRDefault="0072500C" w:rsidP="006A03E7">
            <w:pPr>
              <w:jc w:val="right"/>
              <w:rPr>
                <w:rFonts w:ascii="Arial" w:hAnsi="Arial" w:cs="Arial"/>
                <w:sz w:val="18"/>
                <w:szCs w:val="18"/>
                <w:lang w:eastAsia="en-US"/>
              </w:rPr>
            </w:pPr>
            <w:r w:rsidRPr="00A73102">
              <w:rPr>
                <w:rFonts w:ascii="Arial" w:hAnsi="Arial" w:cs="Arial"/>
                <w:sz w:val="18"/>
                <w:szCs w:val="18"/>
                <w:lang w:eastAsia="en-US"/>
              </w:rPr>
              <w:t xml:space="preserve">      </w:t>
            </w:r>
            <w:r w:rsidR="00E9282A" w:rsidRPr="00A73102">
              <w:rPr>
                <w:rFonts w:ascii="Arial" w:hAnsi="Arial" w:cs="Arial"/>
                <w:sz w:val="18"/>
                <w:szCs w:val="18"/>
                <w:lang w:eastAsia="en-US"/>
              </w:rPr>
              <w:t>5.251.130,00</w:t>
            </w:r>
          </w:p>
        </w:tc>
      </w:tr>
    </w:tbl>
    <w:p w:rsidR="006E6F0D" w:rsidRPr="00A73102" w:rsidRDefault="006E6F0D" w:rsidP="006E6F0D">
      <w:pPr>
        <w:ind w:left="90"/>
        <w:jc w:val="both"/>
        <w:rPr>
          <w:rFonts w:ascii="Arial" w:hAnsi="Arial"/>
          <w:b/>
          <w:i/>
        </w:rPr>
      </w:pPr>
      <w:r w:rsidRPr="00A73102">
        <w:rPr>
          <w:rFonts w:ascii="Arial" w:hAnsi="Arial" w:cs="Arial"/>
          <w:i/>
          <w:sz w:val="16"/>
          <w:szCs w:val="16"/>
        </w:rPr>
        <w:t>Ekoplus - Projekt financiran iz fondova EU, iz instrumenta pretpristupne pomoći program IPA, komponenta III Operativni program Zaštita        okoliša</w:t>
      </w:r>
    </w:p>
    <w:p w:rsidR="006E6F0D" w:rsidRPr="00A73102" w:rsidRDefault="006E6F0D" w:rsidP="006E6F0D">
      <w:pPr>
        <w:jc w:val="both"/>
        <w:rPr>
          <w:rFonts w:ascii="Arial" w:hAnsi="Arial" w:cs="Arial"/>
          <w:i/>
          <w:sz w:val="16"/>
          <w:szCs w:val="16"/>
        </w:rPr>
      </w:pPr>
      <w:r w:rsidRPr="00A73102">
        <w:rPr>
          <w:rFonts w:ascii="Arial" w:hAnsi="Arial" w:cs="Arial"/>
          <w:i/>
          <w:sz w:val="16"/>
          <w:szCs w:val="16"/>
        </w:rPr>
        <w:t xml:space="preserve">  Energo - Projekt iz područja unaprjeđenja energetske učinkovitosti u kojem sudjeluje i Grad Rijeka</w:t>
      </w:r>
    </w:p>
    <w:p w:rsidR="00FF78DC" w:rsidRPr="00A73102" w:rsidRDefault="00FF78DC" w:rsidP="006E6F0D">
      <w:pPr>
        <w:jc w:val="both"/>
        <w:rPr>
          <w:rFonts w:ascii="Arial" w:hAnsi="Arial"/>
          <w:b/>
          <w:i/>
        </w:rPr>
      </w:pPr>
      <w:r w:rsidRPr="00A73102">
        <w:rPr>
          <w:rFonts w:ascii="Arial" w:hAnsi="Arial" w:cs="Arial"/>
          <w:i/>
          <w:sz w:val="16"/>
          <w:szCs w:val="16"/>
        </w:rPr>
        <w:t xml:space="preserve">  Energo – Projekt financiran iz fondova EU – Obnova toplinarstva grada Rijeke</w:t>
      </w:r>
    </w:p>
    <w:p w:rsidR="00494271" w:rsidRPr="00A73102" w:rsidRDefault="00494271" w:rsidP="000E69DA">
      <w:pPr>
        <w:tabs>
          <w:tab w:val="left" w:pos="284"/>
          <w:tab w:val="left" w:pos="567"/>
          <w:tab w:val="left" w:pos="851"/>
        </w:tabs>
        <w:jc w:val="both"/>
        <w:rPr>
          <w:rFonts w:ascii="Arial" w:hAnsi="Arial"/>
          <w:b/>
        </w:rPr>
      </w:pPr>
    </w:p>
    <w:p w:rsidR="00845713" w:rsidRPr="00A73102" w:rsidRDefault="00845713" w:rsidP="005F32BA">
      <w:pPr>
        <w:tabs>
          <w:tab w:val="left" w:pos="284"/>
          <w:tab w:val="left" w:pos="567"/>
          <w:tab w:val="left" w:pos="851"/>
        </w:tabs>
        <w:jc w:val="both"/>
        <w:rPr>
          <w:rFonts w:ascii="Arial" w:hAnsi="Arial"/>
          <w:b/>
        </w:rPr>
      </w:pPr>
    </w:p>
    <w:p w:rsidR="005F32BA" w:rsidRPr="007F0E49" w:rsidRDefault="005F32BA" w:rsidP="005F32BA">
      <w:pPr>
        <w:tabs>
          <w:tab w:val="left" w:pos="284"/>
          <w:tab w:val="left" w:pos="567"/>
          <w:tab w:val="left" w:pos="851"/>
        </w:tabs>
        <w:jc w:val="both"/>
        <w:rPr>
          <w:rFonts w:ascii="Arial" w:hAnsi="Arial"/>
          <w:b/>
          <w:sz w:val="22"/>
          <w:szCs w:val="22"/>
        </w:rPr>
      </w:pPr>
      <w:r w:rsidRPr="007F0E49">
        <w:rPr>
          <w:rFonts w:ascii="Arial" w:hAnsi="Arial"/>
          <w:b/>
          <w:sz w:val="22"/>
          <w:szCs w:val="22"/>
        </w:rPr>
        <w:t xml:space="preserve">Bilješka broj 8 </w:t>
      </w:r>
      <w:r w:rsidRPr="007F0E49">
        <w:rPr>
          <w:rFonts w:ascii="Arial" w:hAnsi="Arial" w:cs="Arial"/>
          <w:b/>
          <w:sz w:val="22"/>
          <w:szCs w:val="22"/>
        </w:rPr>
        <w:t>–</w:t>
      </w:r>
      <w:r w:rsidRPr="007F0E49">
        <w:rPr>
          <w:rFonts w:ascii="Arial" w:hAnsi="Arial"/>
          <w:b/>
          <w:sz w:val="22"/>
          <w:szCs w:val="22"/>
        </w:rPr>
        <w:t xml:space="preserve"> Dane suglasnosti</w:t>
      </w:r>
    </w:p>
    <w:p w:rsidR="000E58B7" w:rsidRPr="007F0E49" w:rsidRDefault="000E58B7" w:rsidP="00E530E9">
      <w:pPr>
        <w:jc w:val="both"/>
        <w:rPr>
          <w:rFonts w:ascii="Arial" w:hAnsi="Arial" w:cs="Arial"/>
          <w:sz w:val="22"/>
          <w:szCs w:val="22"/>
        </w:rPr>
      </w:pPr>
    </w:p>
    <w:p w:rsidR="00685D02" w:rsidRPr="00685D02" w:rsidRDefault="000E58B7" w:rsidP="00B15886">
      <w:pPr>
        <w:jc w:val="both"/>
        <w:rPr>
          <w:rFonts w:ascii="Arial" w:hAnsi="Arial" w:cs="Arial"/>
          <w:sz w:val="22"/>
          <w:szCs w:val="22"/>
        </w:rPr>
      </w:pPr>
      <w:r w:rsidRPr="00685D02">
        <w:rPr>
          <w:rFonts w:ascii="Arial" w:hAnsi="Arial" w:cs="Arial"/>
          <w:sz w:val="22"/>
          <w:szCs w:val="22"/>
        </w:rPr>
        <w:t>Tijekom 2022. godine Gradsko vijeće Grada Rijeke donijelo je na sjednici 31. ožujka 2022. godine Odluku o davanju suglasnosti za zaduženje i davanju jamstva za ispunjenje obveza TD Energo d.o.o. kod Erste&amp;Steiermarkische Bank d.d. u iznosu 30.000.000 kuna, radi sufinanciranja vlastite komponente u realizaciji EU projekta Obnova toplinarstva grada Rijeke. Temeljem Odluke dano je jamstvo za ispunjenje preuzetih obveza TD Energo d.o.o. u visini 80% ukupnog kredita, odnosno u iznosu od 24.000.000 kuna, uvećano za pripadajuće kamate i ostale troškove.</w:t>
      </w:r>
    </w:p>
    <w:p w:rsidR="000E58B7" w:rsidRPr="00685D02" w:rsidRDefault="000E58B7" w:rsidP="00B15886">
      <w:pPr>
        <w:jc w:val="both"/>
        <w:rPr>
          <w:rFonts w:ascii="Arial" w:hAnsi="Arial" w:cs="Arial"/>
          <w:sz w:val="22"/>
          <w:szCs w:val="22"/>
        </w:rPr>
      </w:pPr>
      <w:r w:rsidRPr="00685D02">
        <w:rPr>
          <w:rFonts w:ascii="Arial" w:hAnsi="Arial" w:cs="Arial"/>
          <w:sz w:val="22"/>
          <w:szCs w:val="22"/>
        </w:rPr>
        <w:t>Prema uvjetima iz ugovora, Energo d.o.o. će sredstva kredita po isteku roka korištenja otplaćivati u roku od 15 godina u jednakim tromjesečnim ratama. Kamatna stopa je fiksna i iznosi 2,3% godišnje</w:t>
      </w:r>
      <w:r w:rsidRPr="007F0E49">
        <w:rPr>
          <w:sz w:val="22"/>
          <w:szCs w:val="22"/>
        </w:rPr>
        <w:t>.</w:t>
      </w:r>
      <w:r w:rsidRPr="007F0E49">
        <w:rPr>
          <w:b/>
          <w:bCs/>
          <w:sz w:val="22"/>
          <w:szCs w:val="22"/>
        </w:rPr>
        <w:t xml:space="preserve"> </w:t>
      </w:r>
    </w:p>
    <w:p w:rsidR="000E58B7" w:rsidRPr="007F0E49" w:rsidRDefault="000E58B7" w:rsidP="00B15886">
      <w:pPr>
        <w:pStyle w:val="Header"/>
        <w:ind w:left="340"/>
        <w:jc w:val="both"/>
        <w:rPr>
          <w:b/>
          <w:bCs/>
          <w:sz w:val="22"/>
          <w:szCs w:val="22"/>
        </w:rPr>
      </w:pPr>
    </w:p>
    <w:p w:rsidR="00E530E9" w:rsidRPr="007F0E49" w:rsidRDefault="00847265" w:rsidP="00B15886">
      <w:pPr>
        <w:jc w:val="both"/>
        <w:rPr>
          <w:rFonts w:ascii="Arial" w:hAnsi="Arial" w:cs="Arial"/>
          <w:sz w:val="22"/>
          <w:szCs w:val="22"/>
        </w:rPr>
      </w:pPr>
      <w:r w:rsidRPr="007F0E49">
        <w:rPr>
          <w:rFonts w:ascii="Arial" w:hAnsi="Arial" w:cs="Arial"/>
          <w:sz w:val="22"/>
          <w:szCs w:val="22"/>
        </w:rPr>
        <w:t>Grad Rijeka je r</w:t>
      </w:r>
      <w:r w:rsidR="003B440F" w:rsidRPr="007F0E49">
        <w:rPr>
          <w:rFonts w:ascii="Arial" w:hAnsi="Arial" w:cs="Arial"/>
          <w:sz w:val="22"/>
          <w:szCs w:val="22"/>
        </w:rPr>
        <w:t>anijih</w:t>
      </w:r>
      <w:r w:rsidR="00874ED2" w:rsidRPr="007F0E49">
        <w:rPr>
          <w:rFonts w:ascii="Arial" w:hAnsi="Arial" w:cs="Arial"/>
          <w:sz w:val="22"/>
          <w:szCs w:val="22"/>
        </w:rPr>
        <w:t xml:space="preserve"> godina</w:t>
      </w:r>
      <w:r w:rsidR="0043606E" w:rsidRPr="007F0E49">
        <w:rPr>
          <w:rFonts w:ascii="Arial" w:hAnsi="Arial" w:cs="Arial"/>
          <w:sz w:val="22"/>
          <w:szCs w:val="22"/>
        </w:rPr>
        <w:t xml:space="preserve"> </w:t>
      </w:r>
      <w:r w:rsidRPr="007F0E49">
        <w:rPr>
          <w:rFonts w:ascii="Arial" w:hAnsi="Arial" w:cs="Arial"/>
          <w:sz w:val="22"/>
          <w:szCs w:val="22"/>
        </w:rPr>
        <w:t>dao suglasnosti ustanovi</w:t>
      </w:r>
      <w:r w:rsidR="00E530E9" w:rsidRPr="007F0E49">
        <w:rPr>
          <w:rFonts w:ascii="Arial" w:hAnsi="Arial" w:cs="Arial"/>
          <w:sz w:val="22"/>
          <w:szCs w:val="22"/>
        </w:rPr>
        <w:t xml:space="preserve"> Dječ</w:t>
      </w:r>
      <w:r w:rsidR="003C598F" w:rsidRPr="007F0E49">
        <w:rPr>
          <w:rFonts w:ascii="Arial" w:hAnsi="Arial" w:cs="Arial"/>
          <w:sz w:val="22"/>
          <w:szCs w:val="22"/>
        </w:rPr>
        <w:t>ji vrtić Rijeka</w:t>
      </w:r>
      <w:r w:rsidR="00E530E9" w:rsidRPr="007F0E49">
        <w:rPr>
          <w:rFonts w:ascii="Arial" w:hAnsi="Arial" w:cs="Arial"/>
          <w:sz w:val="22"/>
          <w:szCs w:val="22"/>
        </w:rPr>
        <w:t xml:space="preserve"> </w:t>
      </w:r>
      <w:r w:rsidR="0043606E" w:rsidRPr="007F0E49">
        <w:rPr>
          <w:rFonts w:ascii="Arial" w:hAnsi="Arial" w:cs="Arial"/>
          <w:sz w:val="22"/>
          <w:szCs w:val="22"/>
        </w:rPr>
        <w:t>te</w:t>
      </w:r>
      <w:r w:rsidR="00E530E9" w:rsidRPr="007F0E49">
        <w:rPr>
          <w:rFonts w:ascii="Arial" w:hAnsi="Arial" w:cs="Arial"/>
          <w:sz w:val="22"/>
          <w:szCs w:val="22"/>
        </w:rPr>
        <w:t xml:space="preserve"> trgovačkim d</w:t>
      </w:r>
      <w:r w:rsidR="00AB63B4" w:rsidRPr="007F0E49">
        <w:rPr>
          <w:rFonts w:ascii="Arial" w:hAnsi="Arial" w:cs="Arial"/>
          <w:sz w:val="22"/>
          <w:szCs w:val="22"/>
        </w:rPr>
        <w:t>ruštvima u većinskom vlasništvu:</w:t>
      </w:r>
      <w:r w:rsidR="00E530E9" w:rsidRPr="007F0E49">
        <w:rPr>
          <w:rFonts w:ascii="Arial" w:hAnsi="Arial" w:cs="Arial"/>
          <w:sz w:val="22"/>
          <w:szCs w:val="22"/>
        </w:rPr>
        <w:t xml:space="preserve"> Rijeka promet d.d.</w:t>
      </w:r>
      <w:r w:rsidR="006A03E7" w:rsidRPr="007F0E49">
        <w:rPr>
          <w:rFonts w:ascii="Arial" w:hAnsi="Arial" w:cs="Arial"/>
          <w:sz w:val="22"/>
          <w:szCs w:val="22"/>
        </w:rPr>
        <w:t xml:space="preserve"> (sada Rijeka plus d.o.o</w:t>
      </w:r>
      <w:r w:rsidR="007C03DF" w:rsidRPr="007F0E49">
        <w:rPr>
          <w:rFonts w:ascii="Arial" w:hAnsi="Arial" w:cs="Arial"/>
          <w:sz w:val="22"/>
          <w:szCs w:val="22"/>
        </w:rPr>
        <w:t>)</w:t>
      </w:r>
      <w:r w:rsidR="00E530E9" w:rsidRPr="007F0E49">
        <w:rPr>
          <w:rFonts w:ascii="Arial" w:hAnsi="Arial" w:cs="Arial"/>
          <w:sz w:val="22"/>
          <w:szCs w:val="22"/>
        </w:rPr>
        <w:t>, Rijeka sp</w:t>
      </w:r>
      <w:r w:rsidR="00B0568A" w:rsidRPr="007F0E49">
        <w:rPr>
          <w:rFonts w:ascii="Arial" w:hAnsi="Arial" w:cs="Arial"/>
          <w:sz w:val="22"/>
          <w:szCs w:val="22"/>
        </w:rPr>
        <w:t>ort d.o.o., Rijeka plus d.o.o.,</w:t>
      </w:r>
      <w:r w:rsidR="00DB19BF" w:rsidRPr="007F0E49">
        <w:rPr>
          <w:rFonts w:ascii="Arial" w:hAnsi="Arial" w:cs="Arial"/>
          <w:sz w:val="22"/>
          <w:szCs w:val="22"/>
        </w:rPr>
        <w:t xml:space="preserve"> Energo d.o.o. i komunalnim društvima</w:t>
      </w:r>
      <w:r w:rsidR="00B0568A" w:rsidRPr="007F0E49">
        <w:rPr>
          <w:rFonts w:ascii="Arial" w:hAnsi="Arial" w:cs="Arial"/>
          <w:sz w:val="22"/>
          <w:szCs w:val="22"/>
        </w:rPr>
        <w:t xml:space="preserve"> </w:t>
      </w:r>
      <w:r w:rsidR="00E530E9" w:rsidRPr="007F0E49">
        <w:rPr>
          <w:rFonts w:ascii="Arial" w:hAnsi="Arial" w:cs="Arial"/>
          <w:sz w:val="22"/>
          <w:szCs w:val="22"/>
        </w:rPr>
        <w:t xml:space="preserve">Vodovod </w:t>
      </w:r>
      <w:r w:rsidR="00B0568A" w:rsidRPr="007F0E49">
        <w:rPr>
          <w:rFonts w:ascii="Arial" w:hAnsi="Arial" w:cs="Arial"/>
          <w:sz w:val="22"/>
          <w:szCs w:val="22"/>
        </w:rPr>
        <w:t>i kanalizacija d.o.o.,</w:t>
      </w:r>
      <w:r w:rsidR="00FF20E5" w:rsidRPr="007F0E49">
        <w:rPr>
          <w:rFonts w:ascii="Arial" w:hAnsi="Arial" w:cs="Arial"/>
          <w:sz w:val="22"/>
          <w:szCs w:val="22"/>
        </w:rPr>
        <w:t xml:space="preserve"> Autotrolej d.o.o.</w:t>
      </w:r>
      <w:r w:rsidR="001A2666" w:rsidRPr="007F0E49">
        <w:rPr>
          <w:rFonts w:ascii="Arial" w:hAnsi="Arial" w:cs="Arial"/>
          <w:sz w:val="22"/>
          <w:szCs w:val="22"/>
        </w:rPr>
        <w:t xml:space="preserve"> i </w:t>
      </w:r>
      <w:r w:rsidR="00E530E9" w:rsidRPr="007F0E49">
        <w:rPr>
          <w:rFonts w:ascii="Arial" w:hAnsi="Arial" w:cs="Arial"/>
          <w:sz w:val="22"/>
          <w:szCs w:val="22"/>
        </w:rPr>
        <w:t>Čistoća d.o.o.</w:t>
      </w:r>
      <w:r w:rsidR="001A2666" w:rsidRPr="007F0E49">
        <w:rPr>
          <w:rFonts w:ascii="Arial" w:hAnsi="Arial" w:cs="Arial"/>
          <w:sz w:val="22"/>
          <w:szCs w:val="22"/>
        </w:rPr>
        <w:t>.</w:t>
      </w:r>
    </w:p>
    <w:p w:rsidR="000E58B7" w:rsidRPr="007F0E49" w:rsidRDefault="000E58B7" w:rsidP="00B15886">
      <w:pPr>
        <w:jc w:val="both"/>
        <w:rPr>
          <w:rFonts w:ascii="Arial" w:hAnsi="Arial" w:cs="Arial"/>
          <w:sz w:val="22"/>
          <w:szCs w:val="22"/>
        </w:rPr>
      </w:pPr>
    </w:p>
    <w:p w:rsidR="000E58B7" w:rsidRPr="007F0E49" w:rsidRDefault="000E58B7" w:rsidP="00B15886">
      <w:pPr>
        <w:jc w:val="both"/>
        <w:rPr>
          <w:rFonts w:ascii="Arial" w:hAnsi="Arial" w:cs="Arial"/>
          <w:sz w:val="22"/>
          <w:szCs w:val="22"/>
        </w:rPr>
      </w:pPr>
      <w:r w:rsidRPr="007F0E49">
        <w:rPr>
          <w:rFonts w:ascii="Arial" w:hAnsi="Arial" w:cs="Arial"/>
          <w:sz w:val="22"/>
          <w:szCs w:val="22"/>
        </w:rPr>
        <w:t xml:space="preserve">Stanje kredita po osnovi danih suglasnosti za dugoročno zaduženje pravnim osobama na dan 31. prosinca 2022. godine po osnovi glavnice </w:t>
      </w:r>
      <w:r w:rsidRPr="007F0E49">
        <w:rPr>
          <w:rFonts w:ascii="Arial" w:hAnsi="Arial" w:cs="Arial"/>
          <w:color w:val="000000"/>
          <w:sz w:val="22"/>
          <w:szCs w:val="22"/>
        </w:rPr>
        <w:t>iznosi 447.948.600,54</w:t>
      </w:r>
      <w:r w:rsidRPr="007F0E49">
        <w:rPr>
          <w:rFonts w:ascii="Arial" w:hAnsi="Arial" w:cs="Arial"/>
          <w:sz w:val="22"/>
          <w:szCs w:val="22"/>
        </w:rPr>
        <w:t xml:space="preserve"> kuna. </w:t>
      </w:r>
    </w:p>
    <w:p w:rsidR="000E58B7" w:rsidRDefault="000E58B7" w:rsidP="00B15886">
      <w:pPr>
        <w:jc w:val="both"/>
        <w:rPr>
          <w:rFonts w:ascii="Arial" w:hAnsi="Arial" w:cs="Arial"/>
          <w:sz w:val="22"/>
          <w:szCs w:val="22"/>
        </w:rPr>
      </w:pPr>
    </w:p>
    <w:p w:rsidR="00C16E28" w:rsidRPr="007F0E49" w:rsidRDefault="00C16E28" w:rsidP="00B15886">
      <w:pPr>
        <w:jc w:val="both"/>
        <w:rPr>
          <w:rFonts w:ascii="Arial" w:hAnsi="Arial" w:cs="Arial"/>
          <w:sz w:val="22"/>
          <w:szCs w:val="22"/>
        </w:rPr>
      </w:pPr>
    </w:p>
    <w:p w:rsidR="001164CB" w:rsidRPr="007F0E49" w:rsidRDefault="001164CB" w:rsidP="000E69DA">
      <w:pPr>
        <w:tabs>
          <w:tab w:val="left" w:pos="284"/>
          <w:tab w:val="left" w:pos="567"/>
          <w:tab w:val="left" w:pos="851"/>
        </w:tabs>
        <w:jc w:val="both"/>
        <w:rPr>
          <w:rFonts w:ascii="Arial" w:hAnsi="Arial"/>
          <w:b/>
          <w:sz w:val="22"/>
          <w:szCs w:val="22"/>
        </w:rPr>
      </w:pPr>
    </w:p>
    <w:p w:rsidR="000E69DA" w:rsidRPr="007F0E49" w:rsidRDefault="000E69DA" w:rsidP="000E69DA">
      <w:pPr>
        <w:tabs>
          <w:tab w:val="left" w:pos="284"/>
          <w:tab w:val="left" w:pos="567"/>
          <w:tab w:val="left" w:pos="851"/>
        </w:tabs>
        <w:jc w:val="both"/>
        <w:rPr>
          <w:rFonts w:ascii="Arial" w:hAnsi="Arial" w:cs="Arial"/>
          <w:b/>
          <w:sz w:val="22"/>
          <w:szCs w:val="22"/>
        </w:rPr>
      </w:pPr>
      <w:r w:rsidRPr="007F0E49">
        <w:rPr>
          <w:rFonts w:ascii="Arial" w:hAnsi="Arial"/>
          <w:b/>
          <w:sz w:val="22"/>
          <w:szCs w:val="22"/>
        </w:rPr>
        <w:t xml:space="preserve">Bilješka broj </w:t>
      </w:r>
      <w:r w:rsidR="005F32BA" w:rsidRPr="007F0E49">
        <w:rPr>
          <w:rFonts w:ascii="Arial" w:hAnsi="Arial"/>
          <w:b/>
          <w:sz w:val="22"/>
          <w:szCs w:val="22"/>
        </w:rPr>
        <w:t>9</w:t>
      </w:r>
      <w:r w:rsidRPr="007F0E49">
        <w:rPr>
          <w:rFonts w:ascii="Arial" w:hAnsi="Arial"/>
          <w:b/>
          <w:sz w:val="22"/>
          <w:szCs w:val="22"/>
        </w:rPr>
        <w:t xml:space="preserve"> </w:t>
      </w:r>
      <w:r w:rsidRPr="007F0E49">
        <w:rPr>
          <w:rFonts w:ascii="Arial" w:hAnsi="Arial" w:cs="Arial"/>
          <w:b/>
          <w:sz w:val="22"/>
          <w:szCs w:val="22"/>
        </w:rPr>
        <w:t>–</w:t>
      </w:r>
      <w:r w:rsidRPr="007F0E49">
        <w:rPr>
          <w:rFonts w:ascii="Arial" w:hAnsi="Arial"/>
          <w:b/>
          <w:sz w:val="22"/>
          <w:szCs w:val="22"/>
        </w:rPr>
        <w:t xml:space="preserve"> </w:t>
      </w:r>
      <w:r w:rsidRPr="007F0E49">
        <w:rPr>
          <w:rFonts w:ascii="Arial" w:hAnsi="Arial" w:cs="Arial"/>
          <w:b/>
          <w:sz w:val="22"/>
          <w:szCs w:val="22"/>
        </w:rPr>
        <w:t>Sudski sporovi u tijeku</w:t>
      </w:r>
      <w:r w:rsidR="009015D8" w:rsidRPr="007F0E49">
        <w:rPr>
          <w:rFonts w:ascii="Arial" w:hAnsi="Arial" w:cs="Arial"/>
          <w:b/>
          <w:sz w:val="22"/>
          <w:szCs w:val="22"/>
        </w:rPr>
        <w:t xml:space="preserve"> </w:t>
      </w:r>
    </w:p>
    <w:p w:rsidR="000E69DA" w:rsidRPr="007F0E49" w:rsidRDefault="000E69DA" w:rsidP="000E69DA">
      <w:pPr>
        <w:tabs>
          <w:tab w:val="left" w:pos="284"/>
          <w:tab w:val="left" w:pos="567"/>
          <w:tab w:val="left" w:pos="851"/>
        </w:tabs>
        <w:ind w:left="1440"/>
        <w:jc w:val="both"/>
        <w:rPr>
          <w:rFonts w:ascii="Arial" w:hAnsi="Arial"/>
          <w:sz w:val="22"/>
          <w:szCs w:val="22"/>
        </w:rPr>
      </w:pPr>
    </w:p>
    <w:p w:rsidR="000E69DA" w:rsidRPr="007F0E49" w:rsidRDefault="000E69DA" w:rsidP="000E69DA">
      <w:pPr>
        <w:jc w:val="both"/>
        <w:rPr>
          <w:rFonts w:ascii="Arial" w:hAnsi="Arial" w:cs="Arial"/>
          <w:sz w:val="22"/>
          <w:szCs w:val="22"/>
        </w:rPr>
      </w:pPr>
      <w:r w:rsidRPr="007F0E49">
        <w:rPr>
          <w:rFonts w:ascii="Arial" w:hAnsi="Arial" w:cs="Arial"/>
          <w:sz w:val="22"/>
          <w:szCs w:val="22"/>
        </w:rPr>
        <w:t xml:space="preserve">Prema podacima </w:t>
      </w:r>
      <w:r w:rsidR="00AE0ACF" w:rsidRPr="007F0E49">
        <w:rPr>
          <w:rFonts w:ascii="Arial" w:hAnsi="Arial" w:cs="Arial"/>
          <w:sz w:val="22"/>
          <w:szCs w:val="22"/>
        </w:rPr>
        <w:t xml:space="preserve">nadležnih </w:t>
      </w:r>
      <w:r w:rsidRPr="007F0E49">
        <w:rPr>
          <w:rFonts w:ascii="Arial" w:hAnsi="Arial" w:cs="Arial"/>
          <w:sz w:val="22"/>
          <w:szCs w:val="22"/>
        </w:rPr>
        <w:t>odjela gradske uprave u kojima se vode službene evidencije o sudskim sporovima u kojima je Grad jedna od stranaka</w:t>
      </w:r>
      <w:r w:rsidR="00AE0ACF" w:rsidRPr="007F0E49">
        <w:rPr>
          <w:rFonts w:ascii="Arial" w:hAnsi="Arial" w:cs="Arial"/>
          <w:sz w:val="22"/>
          <w:szCs w:val="22"/>
        </w:rPr>
        <w:t>,</w:t>
      </w:r>
      <w:r w:rsidRPr="007F0E49">
        <w:rPr>
          <w:rFonts w:ascii="Arial" w:hAnsi="Arial" w:cs="Arial"/>
          <w:sz w:val="22"/>
          <w:szCs w:val="22"/>
        </w:rPr>
        <w:t xml:space="preserve"> a za potrebe iskazivanja podatka u izvanbilančnoj evidenciji i u ovim Bilj</w:t>
      </w:r>
      <w:r w:rsidR="004770A8" w:rsidRPr="007F0E49">
        <w:rPr>
          <w:rFonts w:ascii="Arial" w:hAnsi="Arial" w:cs="Arial"/>
          <w:sz w:val="22"/>
          <w:szCs w:val="22"/>
        </w:rPr>
        <w:t>eškama, na dan 31. prosinca 2022</w:t>
      </w:r>
      <w:r w:rsidRPr="007F0E49">
        <w:rPr>
          <w:rFonts w:ascii="Arial" w:hAnsi="Arial" w:cs="Arial"/>
          <w:sz w:val="22"/>
          <w:szCs w:val="22"/>
        </w:rPr>
        <w:t xml:space="preserve">., Grad u </w:t>
      </w:r>
      <w:r w:rsidR="00181666" w:rsidRPr="007F0E49">
        <w:rPr>
          <w:rFonts w:ascii="Arial" w:hAnsi="Arial" w:cs="Arial"/>
          <w:sz w:val="22"/>
          <w:szCs w:val="22"/>
        </w:rPr>
        <w:t xml:space="preserve">aktivnoj ulozi tužitelja vodi </w:t>
      </w:r>
      <w:r w:rsidR="00DF7251" w:rsidRPr="007F0E49">
        <w:rPr>
          <w:rFonts w:ascii="Arial" w:hAnsi="Arial" w:cs="Arial"/>
          <w:sz w:val="22"/>
          <w:szCs w:val="22"/>
        </w:rPr>
        <w:t>903</w:t>
      </w:r>
      <w:r w:rsidRPr="007F0E49">
        <w:rPr>
          <w:rFonts w:ascii="Arial" w:hAnsi="Arial" w:cs="Arial"/>
          <w:sz w:val="22"/>
          <w:szCs w:val="22"/>
        </w:rPr>
        <w:t xml:space="preserve"> sudsk</w:t>
      </w:r>
      <w:r w:rsidR="00B251B9" w:rsidRPr="007F0E49">
        <w:rPr>
          <w:rFonts w:ascii="Arial" w:hAnsi="Arial" w:cs="Arial"/>
          <w:sz w:val="22"/>
          <w:szCs w:val="22"/>
        </w:rPr>
        <w:t>a</w:t>
      </w:r>
      <w:r w:rsidRPr="007F0E49">
        <w:rPr>
          <w:rFonts w:ascii="Arial" w:hAnsi="Arial" w:cs="Arial"/>
          <w:sz w:val="22"/>
          <w:szCs w:val="22"/>
        </w:rPr>
        <w:t xml:space="preserve"> spor</w:t>
      </w:r>
      <w:r w:rsidR="007C4A80" w:rsidRPr="007F0E49">
        <w:rPr>
          <w:rFonts w:ascii="Arial" w:hAnsi="Arial" w:cs="Arial"/>
          <w:sz w:val="22"/>
          <w:szCs w:val="22"/>
        </w:rPr>
        <w:t>a</w:t>
      </w:r>
      <w:r w:rsidR="009E45EC" w:rsidRPr="007F0E49">
        <w:rPr>
          <w:rFonts w:ascii="Arial" w:hAnsi="Arial" w:cs="Arial"/>
          <w:sz w:val="22"/>
          <w:szCs w:val="22"/>
        </w:rPr>
        <w:t xml:space="preserve"> </w:t>
      </w:r>
      <w:r w:rsidR="0040179D" w:rsidRPr="007F0E49">
        <w:rPr>
          <w:rFonts w:ascii="Arial" w:hAnsi="Arial" w:cs="Arial"/>
          <w:sz w:val="22"/>
          <w:szCs w:val="22"/>
        </w:rPr>
        <w:t xml:space="preserve">vrijednosti </w:t>
      </w:r>
      <w:r w:rsidR="0040179D" w:rsidRPr="007F0E49">
        <w:rPr>
          <w:rFonts w:ascii="Arial" w:hAnsi="Arial" w:cs="Arial"/>
          <w:i/>
          <w:sz w:val="22"/>
          <w:szCs w:val="22"/>
        </w:rPr>
        <w:t>potencijalne imovin</w:t>
      </w:r>
      <w:r w:rsidR="007C4A80" w:rsidRPr="007F0E49">
        <w:rPr>
          <w:rFonts w:ascii="Arial" w:hAnsi="Arial" w:cs="Arial"/>
          <w:i/>
          <w:sz w:val="22"/>
          <w:szCs w:val="22"/>
        </w:rPr>
        <w:t>e</w:t>
      </w:r>
      <w:r w:rsidR="00AE0ACF" w:rsidRPr="007F0E49">
        <w:rPr>
          <w:rFonts w:ascii="Arial" w:hAnsi="Arial" w:cs="Arial"/>
          <w:sz w:val="22"/>
          <w:szCs w:val="22"/>
        </w:rPr>
        <w:t xml:space="preserve"> </w:t>
      </w:r>
      <w:r w:rsidR="007C4A80" w:rsidRPr="007F0E49">
        <w:rPr>
          <w:rFonts w:ascii="Arial" w:hAnsi="Arial" w:cs="Arial"/>
          <w:sz w:val="22"/>
          <w:szCs w:val="22"/>
        </w:rPr>
        <w:t xml:space="preserve">u iznosu od </w:t>
      </w:r>
      <w:r w:rsidR="00DF7251" w:rsidRPr="007F0E49">
        <w:rPr>
          <w:rFonts w:ascii="Arial" w:hAnsi="Arial" w:cs="Arial"/>
          <w:sz w:val="22"/>
          <w:szCs w:val="22"/>
        </w:rPr>
        <w:t>39.110.457,72</w:t>
      </w:r>
      <w:r w:rsidR="00A81A6F" w:rsidRPr="007F0E49">
        <w:rPr>
          <w:rFonts w:ascii="Arial" w:hAnsi="Arial" w:cs="Arial"/>
          <w:sz w:val="22"/>
          <w:szCs w:val="22"/>
        </w:rPr>
        <w:t xml:space="preserve"> kn, a u ulozi tuženika vodi </w:t>
      </w:r>
      <w:r w:rsidR="00DF7251" w:rsidRPr="007F0E49">
        <w:rPr>
          <w:rFonts w:ascii="Arial" w:hAnsi="Arial" w:cs="Arial"/>
          <w:sz w:val="22"/>
          <w:szCs w:val="22"/>
        </w:rPr>
        <w:t>256</w:t>
      </w:r>
      <w:r w:rsidRPr="007F0E49">
        <w:rPr>
          <w:rFonts w:ascii="Arial" w:hAnsi="Arial" w:cs="Arial"/>
          <w:sz w:val="22"/>
          <w:szCs w:val="22"/>
        </w:rPr>
        <w:t xml:space="preserve"> sudsk</w:t>
      </w:r>
      <w:r w:rsidR="00AE0ACF" w:rsidRPr="007F0E49">
        <w:rPr>
          <w:rFonts w:ascii="Arial" w:hAnsi="Arial" w:cs="Arial"/>
          <w:sz w:val="22"/>
          <w:szCs w:val="22"/>
        </w:rPr>
        <w:t>ih</w:t>
      </w:r>
      <w:r w:rsidRPr="007F0E49">
        <w:rPr>
          <w:rFonts w:ascii="Arial" w:hAnsi="Arial" w:cs="Arial"/>
          <w:sz w:val="22"/>
          <w:szCs w:val="22"/>
        </w:rPr>
        <w:t xml:space="preserve"> spor</w:t>
      </w:r>
      <w:r w:rsidR="00AE0ACF" w:rsidRPr="007F0E49">
        <w:rPr>
          <w:rFonts w:ascii="Arial" w:hAnsi="Arial" w:cs="Arial"/>
          <w:sz w:val="22"/>
          <w:szCs w:val="22"/>
        </w:rPr>
        <w:t>ova</w:t>
      </w:r>
      <w:r w:rsidR="00B50D77" w:rsidRPr="007F0E49">
        <w:rPr>
          <w:rFonts w:ascii="Arial" w:hAnsi="Arial" w:cs="Arial"/>
          <w:sz w:val="22"/>
          <w:szCs w:val="22"/>
        </w:rPr>
        <w:t>, vrijednosti</w:t>
      </w:r>
      <w:r w:rsidRPr="007F0E49">
        <w:rPr>
          <w:rFonts w:ascii="Arial" w:hAnsi="Arial" w:cs="Arial"/>
          <w:sz w:val="22"/>
          <w:szCs w:val="22"/>
        </w:rPr>
        <w:t xml:space="preserve"> </w:t>
      </w:r>
      <w:r w:rsidR="00AE0ACF" w:rsidRPr="007F0E49">
        <w:rPr>
          <w:rFonts w:ascii="Arial" w:hAnsi="Arial" w:cs="Arial"/>
          <w:i/>
          <w:sz w:val="22"/>
          <w:szCs w:val="22"/>
        </w:rPr>
        <w:t>potencijalne obvez</w:t>
      </w:r>
      <w:r w:rsidR="00B50D77" w:rsidRPr="007F0E49">
        <w:rPr>
          <w:rFonts w:ascii="Arial" w:hAnsi="Arial" w:cs="Arial"/>
          <w:i/>
          <w:sz w:val="22"/>
          <w:szCs w:val="22"/>
        </w:rPr>
        <w:t>e</w:t>
      </w:r>
      <w:r w:rsidR="00AE0ACF" w:rsidRPr="007F0E49">
        <w:rPr>
          <w:rFonts w:ascii="Arial" w:hAnsi="Arial" w:cs="Arial"/>
          <w:sz w:val="22"/>
          <w:szCs w:val="22"/>
        </w:rPr>
        <w:t xml:space="preserve"> </w:t>
      </w:r>
      <w:r w:rsidR="0040179D" w:rsidRPr="007F0E49">
        <w:rPr>
          <w:rFonts w:ascii="Arial" w:hAnsi="Arial" w:cs="Arial"/>
          <w:sz w:val="22"/>
          <w:szCs w:val="22"/>
        </w:rPr>
        <w:t xml:space="preserve">u iznosu </w:t>
      </w:r>
      <w:r w:rsidRPr="007F0E49">
        <w:rPr>
          <w:rFonts w:ascii="Arial" w:hAnsi="Arial" w:cs="Arial"/>
          <w:sz w:val="22"/>
          <w:szCs w:val="22"/>
        </w:rPr>
        <w:t xml:space="preserve">od </w:t>
      </w:r>
      <w:r w:rsidR="00DF7251" w:rsidRPr="007F0E49">
        <w:rPr>
          <w:rFonts w:ascii="Arial" w:hAnsi="Arial" w:cs="Arial"/>
          <w:sz w:val="22"/>
          <w:szCs w:val="22"/>
        </w:rPr>
        <w:t>36.544.884,97</w:t>
      </w:r>
      <w:r w:rsidRPr="007F0E49">
        <w:rPr>
          <w:rFonts w:ascii="Arial" w:hAnsi="Arial" w:cs="Arial"/>
          <w:sz w:val="22"/>
          <w:szCs w:val="22"/>
        </w:rPr>
        <w:t xml:space="preserve"> kn.</w:t>
      </w:r>
    </w:p>
    <w:p w:rsidR="00D7692F" w:rsidRPr="007F0E49" w:rsidRDefault="00D7692F" w:rsidP="000E69DA">
      <w:pPr>
        <w:jc w:val="both"/>
        <w:rPr>
          <w:rFonts w:ascii="Arial" w:hAnsi="Arial" w:cs="Arial"/>
          <w:sz w:val="22"/>
          <w:szCs w:val="22"/>
        </w:rPr>
      </w:pPr>
    </w:p>
    <w:p w:rsidR="00D7692F" w:rsidRPr="007F0E49" w:rsidRDefault="00D7692F" w:rsidP="000E69DA">
      <w:pPr>
        <w:jc w:val="both"/>
        <w:rPr>
          <w:rFonts w:ascii="Arial" w:hAnsi="Arial" w:cs="Arial"/>
          <w:sz w:val="22"/>
          <w:szCs w:val="22"/>
        </w:rPr>
      </w:pPr>
    </w:p>
    <w:p w:rsidR="000E69DA" w:rsidRPr="00A73102" w:rsidRDefault="008E4991" w:rsidP="000E69DA">
      <w:pPr>
        <w:jc w:val="both"/>
        <w:rPr>
          <w:rFonts w:ascii="Arial" w:hAnsi="Arial" w:cs="Arial"/>
        </w:rPr>
      </w:pPr>
      <w:r w:rsidRPr="00A73102">
        <w:rPr>
          <w:rFonts w:ascii="Arial" w:hAnsi="Arial" w:cs="Arial"/>
        </w:rPr>
        <w:t xml:space="preserve">Tablica 4. </w:t>
      </w:r>
      <w:r w:rsidR="000E69DA" w:rsidRPr="00A73102">
        <w:rPr>
          <w:rFonts w:ascii="Arial" w:hAnsi="Arial" w:cs="Arial"/>
        </w:rPr>
        <w:t>Rekapitulacija sudskih sporova u tijeku na da</w:t>
      </w:r>
      <w:r w:rsidR="00977CD0" w:rsidRPr="00A73102">
        <w:rPr>
          <w:rFonts w:ascii="Arial" w:hAnsi="Arial" w:cs="Arial"/>
        </w:rPr>
        <w:t>n 31.12.2022</w:t>
      </w:r>
      <w:r w:rsidR="000E69DA" w:rsidRPr="00A73102">
        <w:rPr>
          <w:rFonts w:ascii="Arial" w:hAnsi="Arial" w:cs="Arial"/>
        </w:rPr>
        <w:t>.</w:t>
      </w:r>
    </w:p>
    <w:tbl>
      <w:tblPr>
        <w:tblStyle w:val="TableGrid"/>
        <w:tblW w:w="0" w:type="auto"/>
        <w:tblLook w:val="04A0" w:firstRow="1" w:lastRow="0" w:firstColumn="1" w:lastColumn="0" w:noHBand="0" w:noVBand="1"/>
      </w:tblPr>
      <w:tblGrid>
        <w:gridCol w:w="2830"/>
        <w:gridCol w:w="2694"/>
        <w:gridCol w:w="1886"/>
        <w:gridCol w:w="2218"/>
      </w:tblGrid>
      <w:tr w:rsidR="000E69DA" w:rsidRPr="00A73102" w:rsidTr="002A4F07">
        <w:tc>
          <w:tcPr>
            <w:tcW w:w="2830" w:type="dxa"/>
            <w:shd w:val="clear" w:color="auto" w:fill="D5DCE4" w:themeFill="text2" w:themeFillTint="33"/>
            <w:vAlign w:val="center"/>
          </w:tcPr>
          <w:p w:rsidR="000E69DA" w:rsidRPr="00A73102" w:rsidRDefault="000E69DA" w:rsidP="000E69DA">
            <w:pPr>
              <w:jc w:val="center"/>
              <w:rPr>
                <w:rFonts w:ascii="Arial" w:hAnsi="Arial" w:cs="Arial"/>
                <w:b/>
                <w:sz w:val="18"/>
                <w:lang w:val="hr-HR"/>
              </w:rPr>
            </w:pPr>
            <w:r w:rsidRPr="00A73102">
              <w:rPr>
                <w:rFonts w:ascii="Arial" w:hAnsi="Arial" w:cs="Arial"/>
                <w:b/>
                <w:sz w:val="18"/>
                <w:lang w:val="hr-HR"/>
              </w:rPr>
              <w:t>Tužitelj</w:t>
            </w:r>
          </w:p>
        </w:tc>
        <w:tc>
          <w:tcPr>
            <w:tcW w:w="2694" w:type="dxa"/>
            <w:shd w:val="clear" w:color="auto" w:fill="D5DCE4" w:themeFill="text2" w:themeFillTint="33"/>
            <w:vAlign w:val="center"/>
          </w:tcPr>
          <w:p w:rsidR="000E69DA" w:rsidRPr="00A73102" w:rsidRDefault="000E69DA" w:rsidP="000E69DA">
            <w:pPr>
              <w:jc w:val="center"/>
              <w:rPr>
                <w:rFonts w:ascii="Arial" w:hAnsi="Arial" w:cs="Arial"/>
                <w:b/>
                <w:sz w:val="18"/>
                <w:lang w:val="hr-HR"/>
              </w:rPr>
            </w:pPr>
            <w:r w:rsidRPr="00A73102">
              <w:rPr>
                <w:rFonts w:ascii="Arial" w:hAnsi="Arial" w:cs="Arial"/>
                <w:b/>
                <w:sz w:val="18"/>
                <w:lang w:val="hr-HR"/>
              </w:rPr>
              <w:t>Tuženik</w:t>
            </w:r>
          </w:p>
        </w:tc>
        <w:tc>
          <w:tcPr>
            <w:tcW w:w="1886" w:type="dxa"/>
            <w:shd w:val="clear" w:color="auto" w:fill="D5DCE4" w:themeFill="text2" w:themeFillTint="33"/>
            <w:vAlign w:val="center"/>
          </w:tcPr>
          <w:p w:rsidR="000E69DA" w:rsidRPr="00A73102" w:rsidRDefault="000E69DA" w:rsidP="000E69DA">
            <w:pPr>
              <w:jc w:val="center"/>
              <w:rPr>
                <w:rFonts w:ascii="Arial" w:hAnsi="Arial" w:cs="Arial"/>
                <w:b/>
                <w:sz w:val="18"/>
                <w:lang w:val="hr-HR"/>
              </w:rPr>
            </w:pPr>
            <w:r w:rsidRPr="00A73102">
              <w:rPr>
                <w:rFonts w:ascii="Arial" w:hAnsi="Arial" w:cs="Arial"/>
                <w:b/>
                <w:sz w:val="18"/>
                <w:lang w:val="hr-HR"/>
              </w:rPr>
              <w:t>Ukupan broj sudskih sporova</w:t>
            </w:r>
          </w:p>
        </w:tc>
        <w:tc>
          <w:tcPr>
            <w:tcW w:w="2218" w:type="dxa"/>
            <w:shd w:val="clear" w:color="auto" w:fill="D5DCE4" w:themeFill="text2" w:themeFillTint="33"/>
            <w:vAlign w:val="center"/>
          </w:tcPr>
          <w:p w:rsidR="000E69DA" w:rsidRPr="00A73102" w:rsidRDefault="000E69DA" w:rsidP="000E69DA">
            <w:pPr>
              <w:jc w:val="center"/>
              <w:rPr>
                <w:rFonts w:ascii="Arial" w:hAnsi="Arial" w:cs="Arial"/>
                <w:b/>
                <w:sz w:val="18"/>
                <w:lang w:val="hr-HR"/>
              </w:rPr>
            </w:pPr>
            <w:r w:rsidRPr="00A73102">
              <w:rPr>
                <w:rFonts w:ascii="Arial" w:hAnsi="Arial" w:cs="Arial"/>
                <w:b/>
                <w:sz w:val="18"/>
                <w:lang w:val="hr-HR"/>
              </w:rPr>
              <w:t>Iznos glavnice (u kn)</w:t>
            </w:r>
          </w:p>
        </w:tc>
      </w:tr>
      <w:tr w:rsidR="000E69DA" w:rsidRPr="00A73102" w:rsidTr="00E04F3B">
        <w:tc>
          <w:tcPr>
            <w:tcW w:w="2830" w:type="dxa"/>
            <w:vAlign w:val="center"/>
          </w:tcPr>
          <w:p w:rsidR="000E69DA" w:rsidRPr="00A73102" w:rsidRDefault="000E69DA" w:rsidP="000E69DA">
            <w:pPr>
              <w:jc w:val="center"/>
              <w:rPr>
                <w:rFonts w:ascii="Arial" w:hAnsi="Arial" w:cs="Arial"/>
                <w:sz w:val="18"/>
                <w:lang w:val="hr-HR"/>
              </w:rPr>
            </w:pPr>
            <w:r w:rsidRPr="00A73102">
              <w:rPr>
                <w:rFonts w:ascii="Arial" w:hAnsi="Arial" w:cs="Arial"/>
                <w:sz w:val="18"/>
                <w:lang w:val="hr-HR"/>
              </w:rPr>
              <w:t>Grad Rijeka</w:t>
            </w:r>
          </w:p>
        </w:tc>
        <w:tc>
          <w:tcPr>
            <w:tcW w:w="2694" w:type="dxa"/>
            <w:vAlign w:val="center"/>
          </w:tcPr>
          <w:p w:rsidR="000E69DA" w:rsidRPr="00A73102" w:rsidRDefault="000E69DA" w:rsidP="000E69DA">
            <w:pPr>
              <w:jc w:val="center"/>
              <w:rPr>
                <w:rFonts w:ascii="Arial" w:hAnsi="Arial" w:cs="Arial"/>
                <w:sz w:val="18"/>
                <w:lang w:val="hr-HR"/>
              </w:rPr>
            </w:pPr>
            <w:r w:rsidRPr="00A73102">
              <w:rPr>
                <w:rFonts w:ascii="Arial" w:hAnsi="Arial" w:cs="Arial"/>
                <w:sz w:val="18"/>
                <w:lang w:val="hr-HR"/>
              </w:rPr>
              <w:t>Podaci se nalaze u Tablici u Dodatku 1. uz Bilješke*</w:t>
            </w:r>
          </w:p>
        </w:tc>
        <w:tc>
          <w:tcPr>
            <w:tcW w:w="1886" w:type="dxa"/>
            <w:vAlign w:val="center"/>
          </w:tcPr>
          <w:p w:rsidR="000E69DA" w:rsidRPr="00A73102" w:rsidRDefault="00DF7251" w:rsidP="000E69DA">
            <w:pPr>
              <w:jc w:val="center"/>
              <w:rPr>
                <w:rFonts w:ascii="Arial" w:hAnsi="Arial" w:cs="Arial"/>
                <w:sz w:val="18"/>
                <w:lang w:val="hr-HR"/>
              </w:rPr>
            </w:pPr>
            <w:r w:rsidRPr="00A73102">
              <w:rPr>
                <w:rFonts w:ascii="Arial" w:hAnsi="Arial" w:cs="Arial"/>
                <w:sz w:val="18"/>
                <w:lang w:val="hr-HR"/>
              </w:rPr>
              <w:t>903</w:t>
            </w:r>
          </w:p>
        </w:tc>
        <w:tc>
          <w:tcPr>
            <w:tcW w:w="2218" w:type="dxa"/>
            <w:vAlign w:val="center"/>
          </w:tcPr>
          <w:p w:rsidR="000E69DA" w:rsidRPr="00A73102" w:rsidRDefault="00DF7251" w:rsidP="000E69DA">
            <w:pPr>
              <w:jc w:val="center"/>
              <w:rPr>
                <w:rFonts w:ascii="Arial" w:hAnsi="Arial" w:cs="Arial"/>
                <w:sz w:val="18"/>
                <w:lang w:val="hr-HR"/>
              </w:rPr>
            </w:pPr>
            <w:r w:rsidRPr="00A73102">
              <w:rPr>
                <w:rFonts w:ascii="Arial" w:hAnsi="Arial" w:cs="Arial"/>
                <w:sz w:val="18"/>
                <w:lang w:val="hr-HR"/>
              </w:rPr>
              <w:t>3</w:t>
            </w:r>
            <w:r w:rsidR="006D7569" w:rsidRPr="00A73102">
              <w:rPr>
                <w:rFonts w:ascii="Arial" w:hAnsi="Arial" w:cs="Arial"/>
                <w:sz w:val="18"/>
                <w:lang w:val="hr-HR"/>
              </w:rPr>
              <w:t>9.110.457,7</w:t>
            </w:r>
            <w:r w:rsidRPr="00A73102">
              <w:rPr>
                <w:rFonts w:ascii="Arial" w:hAnsi="Arial" w:cs="Arial"/>
                <w:sz w:val="18"/>
                <w:lang w:val="hr-HR"/>
              </w:rPr>
              <w:t>2</w:t>
            </w:r>
          </w:p>
        </w:tc>
      </w:tr>
      <w:tr w:rsidR="000E69DA" w:rsidRPr="00A73102" w:rsidTr="00E04F3B">
        <w:tc>
          <w:tcPr>
            <w:tcW w:w="2830" w:type="dxa"/>
            <w:vAlign w:val="center"/>
          </w:tcPr>
          <w:p w:rsidR="000E69DA" w:rsidRPr="00A73102" w:rsidRDefault="000E69DA" w:rsidP="000E69DA">
            <w:pPr>
              <w:jc w:val="center"/>
              <w:rPr>
                <w:rFonts w:ascii="Arial" w:hAnsi="Arial" w:cs="Arial"/>
                <w:sz w:val="18"/>
                <w:lang w:val="hr-HR"/>
              </w:rPr>
            </w:pPr>
            <w:r w:rsidRPr="00A73102">
              <w:rPr>
                <w:rFonts w:ascii="Arial" w:hAnsi="Arial" w:cs="Arial"/>
                <w:sz w:val="18"/>
                <w:lang w:val="hr-HR"/>
              </w:rPr>
              <w:t>Podaci se nalaze u Tablici u Dodatku 2. uz Bilješke*</w:t>
            </w:r>
          </w:p>
        </w:tc>
        <w:tc>
          <w:tcPr>
            <w:tcW w:w="2694" w:type="dxa"/>
            <w:vAlign w:val="center"/>
          </w:tcPr>
          <w:p w:rsidR="000E69DA" w:rsidRPr="00A73102" w:rsidRDefault="000E69DA" w:rsidP="000E69DA">
            <w:pPr>
              <w:jc w:val="center"/>
              <w:rPr>
                <w:rFonts w:ascii="Arial" w:hAnsi="Arial" w:cs="Arial"/>
                <w:sz w:val="18"/>
                <w:lang w:val="hr-HR"/>
              </w:rPr>
            </w:pPr>
            <w:r w:rsidRPr="00A73102">
              <w:rPr>
                <w:rFonts w:ascii="Arial" w:hAnsi="Arial" w:cs="Arial"/>
                <w:sz w:val="18"/>
                <w:lang w:val="hr-HR"/>
              </w:rPr>
              <w:t>Grad Rijeka</w:t>
            </w:r>
          </w:p>
        </w:tc>
        <w:tc>
          <w:tcPr>
            <w:tcW w:w="1886" w:type="dxa"/>
            <w:vAlign w:val="center"/>
          </w:tcPr>
          <w:p w:rsidR="000E69DA" w:rsidRPr="00A73102" w:rsidRDefault="00DF7251" w:rsidP="000E69DA">
            <w:pPr>
              <w:jc w:val="center"/>
              <w:rPr>
                <w:rFonts w:ascii="Arial" w:hAnsi="Arial" w:cs="Arial"/>
                <w:sz w:val="18"/>
                <w:lang w:val="hr-HR"/>
              </w:rPr>
            </w:pPr>
            <w:r w:rsidRPr="00A73102">
              <w:rPr>
                <w:rFonts w:ascii="Arial" w:hAnsi="Arial" w:cs="Arial"/>
                <w:sz w:val="18"/>
                <w:lang w:val="hr-HR"/>
              </w:rPr>
              <w:t>256</w:t>
            </w:r>
          </w:p>
        </w:tc>
        <w:tc>
          <w:tcPr>
            <w:tcW w:w="2218" w:type="dxa"/>
            <w:vAlign w:val="center"/>
          </w:tcPr>
          <w:p w:rsidR="000E69DA" w:rsidRPr="00A73102" w:rsidRDefault="00977CD0" w:rsidP="000E69DA">
            <w:pPr>
              <w:jc w:val="center"/>
              <w:rPr>
                <w:rFonts w:ascii="Arial" w:hAnsi="Arial" w:cs="Arial"/>
                <w:sz w:val="18"/>
                <w:lang w:val="hr-HR"/>
              </w:rPr>
            </w:pPr>
            <w:r w:rsidRPr="00A73102">
              <w:rPr>
                <w:rFonts w:ascii="Arial" w:hAnsi="Arial" w:cs="Arial"/>
                <w:sz w:val="18"/>
                <w:lang w:val="hr-HR"/>
              </w:rPr>
              <w:t>36.544.884,97</w:t>
            </w:r>
          </w:p>
        </w:tc>
      </w:tr>
    </w:tbl>
    <w:p w:rsidR="000E69DA" w:rsidRPr="00A73102" w:rsidRDefault="000E69DA" w:rsidP="000E69DA">
      <w:pPr>
        <w:jc w:val="both"/>
        <w:rPr>
          <w:rFonts w:ascii="Arial" w:hAnsi="Arial" w:cs="Arial"/>
          <w:i/>
          <w:color w:val="000000"/>
          <w:sz w:val="16"/>
          <w:szCs w:val="16"/>
          <w:lang w:eastAsia="en-US"/>
        </w:rPr>
      </w:pPr>
      <w:r w:rsidRPr="00A73102">
        <w:rPr>
          <w:rFonts w:ascii="Arial" w:hAnsi="Arial" w:cs="Arial"/>
          <w:i/>
          <w:color w:val="000000"/>
          <w:sz w:val="18"/>
          <w:szCs w:val="18"/>
          <w:lang w:eastAsia="en-US"/>
        </w:rPr>
        <w:t>*</w:t>
      </w:r>
      <w:r w:rsidRPr="00A73102">
        <w:rPr>
          <w:rFonts w:ascii="Arial" w:hAnsi="Arial" w:cs="Arial"/>
          <w:i/>
          <w:color w:val="000000"/>
          <w:sz w:val="16"/>
          <w:szCs w:val="16"/>
          <w:lang w:eastAsia="en-US"/>
        </w:rPr>
        <w:t>Tablice s iskazanim analitičkim podacima po svakom pojedinom sudskom sporu nalaze se u Dodatku 1. i Dodatku 2. u prilogu ovih Bilješki</w:t>
      </w:r>
    </w:p>
    <w:p w:rsidR="00845713" w:rsidRPr="00A73102" w:rsidRDefault="00845713" w:rsidP="000E69DA">
      <w:pPr>
        <w:tabs>
          <w:tab w:val="left" w:pos="284"/>
          <w:tab w:val="left" w:pos="567"/>
          <w:tab w:val="left" w:pos="851"/>
        </w:tabs>
        <w:jc w:val="both"/>
        <w:rPr>
          <w:rFonts w:ascii="Arial" w:hAnsi="Arial" w:cs="Arial"/>
          <w:b/>
        </w:rPr>
      </w:pPr>
    </w:p>
    <w:p w:rsidR="00B10A53" w:rsidRPr="00A73102" w:rsidRDefault="00B10A53" w:rsidP="007C3B30">
      <w:pPr>
        <w:tabs>
          <w:tab w:val="left" w:pos="284"/>
          <w:tab w:val="left" w:pos="567"/>
          <w:tab w:val="left" w:pos="851"/>
        </w:tabs>
        <w:jc w:val="both"/>
        <w:rPr>
          <w:rFonts w:ascii="Arial" w:hAnsi="Arial" w:cs="Arial"/>
          <w:b/>
        </w:rPr>
      </w:pPr>
    </w:p>
    <w:p w:rsidR="00B10A53" w:rsidRDefault="00B10A53" w:rsidP="007C3B30">
      <w:pPr>
        <w:tabs>
          <w:tab w:val="left" w:pos="284"/>
          <w:tab w:val="left" w:pos="567"/>
          <w:tab w:val="left" w:pos="851"/>
        </w:tabs>
        <w:jc w:val="both"/>
        <w:rPr>
          <w:rFonts w:ascii="Arial" w:hAnsi="Arial" w:cs="Arial"/>
          <w:b/>
        </w:rPr>
      </w:pPr>
    </w:p>
    <w:p w:rsidR="00C16E28" w:rsidRPr="00A73102" w:rsidRDefault="00C16E28" w:rsidP="007C3B30">
      <w:pPr>
        <w:tabs>
          <w:tab w:val="left" w:pos="284"/>
          <w:tab w:val="left" w:pos="567"/>
          <w:tab w:val="left" w:pos="851"/>
        </w:tabs>
        <w:jc w:val="both"/>
        <w:rPr>
          <w:rFonts w:ascii="Arial" w:hAnsi="Arial" w:cs="Arial"/>
          <w:b/>
        </w:rPr>
      </w:pPr>
    </w:p>
    <w:p w:rsidR="00B10A53" w:rsidRPr="00A73102" w:rsidRDefault="00B10A53" w:rsidP="007C3B30">
      <w:pPr>
        <w:tabs>
          <w:tab w:val="left" w:pos="284"/>
          <w:tab w:val="left" w:pos="567"/>
          <w:tab w:val="left" w:pos="851"/>
        </w:tabs>
        <w:jc w:val="both"/>
        <w:rPr>
          <w:rFonts w:ascii="Arial" w:hAnsi="Arial" w:cs="Arial"/>
          <w:b/>
        </w:rPr>
      </w:pPr>
    </w:p>
    <w:p w:rsidR="000E69DA" w:rsidRPr="007F0E49" w:rsidRDefault="000E69DA" w:rsidP="007C3B30">
      <w:pPr>
        <w:tabs>
          <w:tab w:val="left" w:pos="284"/>
          <w:tab w:val="left" w:pos="567"/>
          <w:tab w:val="left" w:pos="851"/>
        </w:tabs>
        <w:jc w:val="both"/>
        <w:rPr>
          <w:rFonts w:ascii="Arial" w:hAnsi="Arial" w:cs="Arial"/>
          <w:b/>
          <w:color w:val="FF0000"/>
          <w:sz w:val="22"/>
          <w:szCs w:val="22"/>
        </w:rPr>
      </w:pPr>
      <w:r w:rsidRPr="007F0E49">
        <w:rPr>
          <w:rFonts w:ascii="Arial" w:hAnsi="Arial" w:cs="Arial"/>
          <w:b/>
          <w:sz w:val="22"/>
          <w:szCs w:val="22"/>
        </w:rPr>
        <w:lastRenderedPageBreak/>
        <w:t xml:space="preserve">Bilješka broj </w:t>
      </w:r>
      <w:r w:rsidR="001821F8" w:rsidRPr="007F0E49">
        <w:rPr>
          <w:rFonts w:ascii="Arial" w:hAnsi="Arial" w:cs="Arial"/>
          <w:b/>
          <w:sz w:val="22"/>
          <w:szCs w:val="22"/>
        </w:rPr>
        <w:t>10</w:t>
      </w:r>
      <w:r w:rsidRPr="007F0E49">
        <w:rPr>
          <w:rFonts w:ascii="Arial" w:hAnsi="Arial" w:cs="Arial"/>
          <w:b/>
          <w:sz w:val="22"/>
          <w:szCs w:val="22"/>
        </w:rPr>
        <w:t xml:space="preserve"> – Instrumenti osiguranja plaćanja</w:t>
      </w:r>
      <w:r w:rsidR="0040635A" w:rsidRPr="007F0E49">
        <w:rPr>
          <w:rFonts w:ascii="Arial" w:hAnsi="Arial" w:cs="Arial"/>
          <w:b/>
          <w:sz w:val="22"/>
          <w:szCs w:val="22"/>
        </w:rPr>
        <w:t xml:space="preserve"> </w:t>
      </w:r>
    </w:p>
    <w:p w:rsidR="007C3B30" w:rsidRPr="007F0E49" w:rsidRDefault="007C3B30" w:rsidP="007C3B30">
      <w:pPr>
        <w:tabs>
          <w:tab w:val="left" w:pos="284"/>
          <w:tab w:val="left" w:pos="567"/>
          <w:tab w:val="left" w:pos="851"/>
        </w:tabs>
        <w:jc w:val="both"/>
        <w:rPr>
          <w:rFonts w:ascii="Arial" w:hAnsi="Arial" w:cs="Arial"/>
          <w:b/>
          <w:sz w:val="22"/>
          <w:szCs w:val="22"/>
        </w:rPr>
      </w:pPr>
    </w:p>
    <w:p w:rsidR="000E69DA" w:rsidRPr="007F0E49" w:rsidRDefault="000E69DA" w:rsidP="000E69DA">
      <w:pPr>
        <w:jc w:val="both"/>
        <w:rPr>
          <w:rFonts w:ascii="Arial" w:hAnsi="Arial" w:cs="Arial"/>
          <w:sz w:val="22"/>
          <w:szCs w:val="22"/>
        </w:rPr>
      </w:pPr>
      <w:r w:rsidRPr="007F0E49">
        <w:rPr>
          <w:rFonts w:ascii="Arial" w:hAnsi="Arial" w:cs="Arial"/>
          <w:sz w:val="22"/>
          <w:szCs w:val="22"/>
        </w:rPr>
        <w:t>Odjel gradske uprave za financije vodi analitičku evidenciju izdanih i primljenih vrijednosnih papira i drugih financijskih instrumenata. Prema članku 25. Odluke o izvršavanj</w:t>
      </w:r>
      <w:r w:rsidR="00771CF1" w:rsidRPr="007F0E49">
        <w:rPr>
          <w:rFonts w:ascii="Arial" w:hAnsi="Arial" w:cs="Arial"/>
          <w:sz w:val="22"/>
          <w:szCs w:val="22"/>
        </w:rPr>
        <w:t>u proračuna Grada Rijeke za 2022</w:t>
      </w:r>
      <w:r w:rsidRPr="007F0E49">
        <w:rPr>
          <w:rFonts w:ascii="Arial" w:hAnsi="Arial" w:cs="Arial"/>
          <w:sz w:val="22"/>
          <w:szCs w:val="22"/>
        </w:rPr>
        <w:t>. godinu (Službene</w:t>
      </w:r>
      <w:r w:rsidR="00942F43" w:rsidRPr="007F0E49">
        <w:rPr>
          <w:rFonts w:ascii="Arial" w:hAnsi="Arial" w:cs="Arial"/>
          <w:sz w:val="22"/>
          <w:szCs w:val="22"/>
        </w:rPr>
        <w:t xml:space="preserve"> novine Grada Rijeke, broj 16/21, 5/22, 8/22 i 14/22</w:t>
      </w:r>
      <w:r w:rsidRPr="007F0E49">
        <w:rPr>
          <w:rFonts w:ascii="Arial" w:hAnsi="Arial" w:cs="Arial"/>
          <w:sz w:val="22"/>
          <w:szCs w:val="22"/>
        </w:rPr>
        <w:t xml:space="preserve">), odjeli gradske uprave obvezni su Odjelu gradske uprave za financije dostaviti primljene instrumente osiguranja plaćanja </w:t>
      </w:r>
      <w:r w:rsidR="00136936" w:rsidRPr="007F0E49">
        <w:rPr>
          <w:rFonts w:ascii="Arial" w:hAnsi="Arial" w:cs="Arial"/>
          <w:sz w:val="22"/>
          <w:szCs w:val="22"/>
        </w:rPr>
        <w:t xml:space="preserve">od strane </w:t>
      </w:r>
      <w:r w:rsidRPr="007F0E49">
        <w:rPr>
          <w:rFonts w:ascii="Arial" w:hAnsi="Arial" w:cs="Arial"/>
          <w:sz w:val="22"/>
          <w:szCs w:val="22"/>
        </w:rPr>
        <w:t>pravnih osoba kao sredstvo osiguranja naplate potraživanja ili izvođenja radova i usluga.</w:t>
      </w:r>
    </w:p>
    <w:p w:rsidR="00845713" w:rsidRPr="007F0E49" w:rsidRDefault="00845713" w:rsidP="000E69DA">
      <w:pPr>
        <w:jc w:val="both"/>
        <w:rPr>
          <w:rFonts w:ascii="Arial" w:hAnsi="Arial" w:cs="Arial"/>
          <w:sz w:val="22"/>
          <w:szCs w:val="22"/>
          <w:highlight w:val="yellow"/>
        </w:rPr>
      </w:pPr>
    </w:p>
    <w:p w:rsidR="000E69DA" w:rsidRPr="007F0E49" w:rsidRDefault="000E69DA" w:rsidP="000E69DA">
      <w:pPr>
        <w:jc w:val="both"/>
        <w:rPr>
          <w:rFonts w:ascii="Arial" w:hAnsi="Arial" w:cs="Arial"/>
          <w:sz w:val="22"/>
          <w:szCs w:val="22"/>
          <w:u w:val="single"/>
        </w:rPr>
      </w:pPr>
      <w:r w:rsidRPr="007F0E49">
        <w:rPr>
          <w:rFonts w:ascii="Arial" w:hAnsi="Arial" w:cs="Arial"/>
          <w:sz w:val="22"/>
          <w:szCs w:val="22"/>
        </w:rPr>
        <w:t>Prema analitičkoj evid</w:t>
      </w:r>
      <w:r w:rsidR="00942F43" w:rsidRPr="007F0E49">
        <w:rPr>
          <w:rFonts w:ascii="Arial" w:hAnsi="Arial" w:cs="Arial"/>
          <w:sz w:val="22"/>
          <w:szCs w:val="22"/>
        </w:rPr>
        <w:t>enciji, stanje na dan 31.12.2022</w:t>
      </w:r>
      <w:r w:rsidRPr="007F0E49">
        <w:rPr>
          <w:rFonts w:ascii="Arial" w:hAnsi="Arial" w:cs="Arial"/>
          <w:sz w:val="22"/>
          <w:szCs w:val="22"/>
        </w:rPr>
        <w:t xml:space="preserve">., Grad Rijeka </w:t>
      </w:r>
      <w:r w:rsidRPr="007F0E49">
        <w:rPr>
          <w:rFonts w:ascii="Arial" w:hAnsi="Arial" w:cs="Arial"/>
          <w:sz w:val="22"/>
          <w:szCs w:val="22"/>
          <w:u w:val="single"/>
        </w:rPr>
        <w:t xml:space="preserve">izdao je: </w:t>
      </w:r>
    </w:p>
    <w:p w:rsidR="000E69DA" w:rsidRPr="007F0E49" w:rsidRDefault="00942F43" w:rsidP="00D907B7">
      <w:pPr>
        <w:numPr>
          <w:ilvl w:val="0"/>
          <w:numId w:val="8"/>
        </w:numPr>
        <w:ind w:left="357" w:hanging="357"/>
        <w:contextualSpacing/>
        <w:jc w:val="both"/>
        <w:rPr>
          <w:rFonts w:ascii="Arial" w:hAnsi="Arial" w:cs="Arial"/>
          <w:sz w:val="22"/>
          <w:szCs w:val="22"/>
        </w:rPr>
      </w:pPr>
      <w:r w:rsidRPr="007F0E49">
        <w:rPr>
          <w:rFonts w:ascii="Arial" w:hAnsi="Arial" w:cs="Arial"/>
          <w:sz w:val="22"/>
          <w:szCs w:val="22"/>
        </w:rPr>
        <w:t>43</w:t>
      </w:r>
      <w:r w:rsidR="007C3B30" w:rsidRPr="007F0E49">
        <w:rPr>
          <w:rFonts w:ascii="Arial" w:hAnsi="Arial" w:cs="Arial"/>
          <w:sz w:val="22"/>
          <w:szCs w:val="22"/>
        </w:rPr>
        <w:t xml:space="preserve"> zadužnice</w:t>
      </w:r>
      <w:r w:rsidR="000E69DA" w:rsidRPr="007F0E49">
        <w:rPr>
          <w:rFonts w:ascii="Arial" w:hAnsi="Arial" w:cs="Arial"/>
          <w:sz w:val="22"/>
          <w:szCs w:val="22"/>
        </w:rPr>
        <w:t xml:space="preserve"> u HRK, ukupne vrijednosti </w:t>
      </w:r>
      <w:r w:rsidRPr="007F0E49">
        <w:rPr>
          <w:rFonts w:ascii="Arial" w:hAnsi="Arial" w:cs="Arial"/>
          <w:sz w:val="22"/>
          <w:szCs w:val="22"/>
        </w:rPr>
        <w:t>278.777.486,11</w:t>
      </w:r>
      <w:r w:rsidR="00A81A6F" w:rsidRPr="007F0E49">
        <w:rPr>
          <w:rFonts w:ascii="Arial" w:hAnsi="Arial" w:cs="Arial"/>
          <w:sz w:val="22"/>
          <w:szCs w:val="22"/>
        </w:rPr>
        <w:t xml:space="preserve"> </w:t>
      </w:r>
      <w:r w:rsidR="000E69DA" w:rsidRPr="007F0E49">
        <w:rPr>
          <w:rFonts w:ascii="Arial" w:hAnsi="Arial" w:cs="Arial"/>
          <w:sz w:val="22"/>
          <w:szCs w:val="22"/>
        </w:rPr>
        <w:t>kn</w:t>
      </w:r>
    </w:p>
    <w:p w:rsidR="000E69DA" w:rsidRPr="007F0E49" w:rsidRDefault="000E69DA" w:rsidP="00D907B7">
      <w:pPr>
        <w:numPr>
          <w:ilvl w:val="0"/>
          <w:numId w:val="8"/>
        </w:numPr>
        <w:ind w:left="357" w:hanging="357"/>
        <w:contextualSpacing/>
        <w:jc w:val="both"/>
        <w:rPr>
          <w:rFonts w:ascii="Arial" w:hAnsi="Arial" w:cs="Arial"/>
          <w:sz w:val="22"/>
          <w:szCs w:val="22"/>
        </w:rPr>
      </w:pPr>
      <w:r w:rsidRPr="007F0E49">
        <w:rPr>
          <w:rFonts w:ascii="Arial" w:hAnsi="Arial" w:cs="Arial"/>
          <w:sz w:val="22"/>
          <w:szCs w:val="22"/>
        </w:rPr>
        <w:t>2 zadužnice u EUR, ukupne vrijednosti 2.730.526,76 EUR</w:t>
      </w:r>
    </w:p>
    <w:p w:rsidR="00942F43" w:rsidRPr="007F0E49" w:rsidRDefault="00942F43" w:rsidP="00D907B7">
      <w:pPr>
        <w:numPr>
          <w:ilvl w:val="0"/>
          <w:numId w:val="8"/>
        </w:numPr>
        <w:ind w:left="357" w:hanging="357"/>
        <w:contextualSpacing/>
        <w:jc w:val="both"/>
        <w:rPr>
          <w:rFonts w:ascii="Arial" w:hAnsi="Arial" w:cs="Arial"/>
          <w:sz w:val="22"/>
          <w:szCs w:val="22"/>
        </w:rPr>
      </w:pPr>
      <w:r w:rsidRPr="007F0E49">
        <w:rPr>
          <w:rFonts w:ascii="Arial" w:hAnsi="Arial" w:cs="Arial"/>
          <w:sz w:val="22"/>
          <w:szCs w:val="22"/>
        </w:rPr>
        <w:t>1 jamstvo u HRK vrijednost 24.000.000,00 kn</w:t>
      </w:r>
    </w:p>
    <w:p w:rsidR="00C06DAB" w:rsidRPr="007F0E49" w:rsidRDefault="00942F43" w:rsidP="00D907B7">
      <w:pPr>
        <w:numPr>
          <w:ilvl w:val="0"/>
          <w:numId w:val="8"/>
        </w:numPr>
        <w:ind w:left="357" w:hanging="357"/>
        <w:contextualSpacing/>
        <w:jc w:val="both"/>
        <w:rPr>
          <w:rFonts w:ascii="Arial" w:hAnsi="Arial" w:cs="Arial"/>
          <w:sz w:val="22"/>
          <w:szCs w:val="22"/>
        </w:rPr>
      </w:pPr>
      <w:r w:rsidRPr="007F0E49">
        <w:rPr>
          <w:rFonts w:ascii="Arial" w:hAnsi="Arial" w:cs="Arial"/>
          <w:sz w:val="22"/>
          <w:szCs w:val="22"/>
        </w:rPr>
        <w:t>14</w:t>
      </w:r>
      <w:r w:rsidR="00C06DAB" w:rsidRPr="007F0E49">
        <w:rPr>
          <w:rFonts w:ascii="Arial" w:hAnsi="Arial" w:cs="Arial"/>
          <w:sz w:val="22"/>
          <w:szCs w:val="22"/>
        </w:rPr>
        <w:t xml:space="preserve"> bjanko mjenica</w:t>
      </w:r>
    </w:p>
    <w:p w:rsidR="000E69DA" w:rsidRPr="007F0E49" w:rsidRDefault="000E69DA" w:rsidP="000E69DA">
      <w:pPr>
        <w:jc w:val="both"/>
        <w:rPr>
          <w:rFonts w:ascii="Arial" w:hAnsi="Arial" w:cs="Arial"/>
          <w:sz w:val="22"/>
          <w:szCs w:val="22"/>
          <w:highlight w:val="yellow"/>
        </w:rPr>
      </w:pPr>
    </w:p>
    <w:p w:rsidR="0042392F" w:rsidRPr="007F0E49" w:rsidRDefault="0042392F" w:rsidP="000E69DA">
      <w:pPr>
        <w:jc w:val="both"/>
        <w:rPr>
          <w:rFonts w:ascii="Arial" w:hAnsi="Arial" w:cs="Arial"/>
          <w:sz w:val="22"/>
          <w:szCs w:val="22"/>
          <w:highlight w:val="yellow"/>
        </w:rPr>
      </w:pPr>
    </w:p>
    <w:p w:rsidR="000E69DA" w:rsidRPr="007F0E49" w:rsidRDefault="000E69DA" w:rsidP="00845713">
      <w:pPr>
        <w:jc w:val="both"/>
        <w:rPr>
          <w:rFonts w:ascii="Arial" w:hAnsi="Arial" w:cs="Arial"/>
          <w:sz w:val="22"/>
          <w:szCs w:val="22"/>
          <w:u w:val="single"/>
        </w:rPr>
      </w:pPr>
      <w:r w:rsidRPr="007F0E49">
        <w:rPr>
          <w:rFonts w:ascii="Arial" w:hAnsi="Arial" w:cs="Arial"/>
          <w:sz w:val="22"/>
          <w:szCs w:val="22"/>
        </w:rPr>
        <w:t>Prema analitičkoj evid</w:t>
      </w:r>
      <w:r w:rsidR="00942F43" w:rsidRPr="007F0E49">
        <w:rPr>
          <w:rFonts w:ascii="Arial" w:hAnsi="Arial" w:cs="Arial"/>
          <w:sz w:val="22"/>
          <w:szCs w:val="22"/>
        </w:rPr>
        <w:t>enciji, stanje na dan 31.12.2022</w:t>
      </w:r>
      <w:r w:rsidRPr="007F0E49">
        <w:rPr>
          <w:rFonts w:ascii="Arial" w:hAnsi="Arial" w:cs="Arial"/>
          <w:sz w:val="22"/>
          <w:szCs w:val="22"/>
        </w:rPr>
        <w:t xml:space="preserve">., Grad Rijeka </w:t>
      </w:r>
      <w:r w:rsidRPr="007F0E49">
        <w:rPr>
          <w:rFonts w:ascii="Arial" w:hAnsi="Arial" w:cs="Arial"/>
          <w:sz w:val="22"/>
          <w:szCs w:val="22"/>
          <w:u w:val="single"/>
        </w:rPr>
        <w:t xml:space="preserve">primio je: </w:t>
      </w:r>
    </w:p>
    <w:p w:rsidR="000E69DA" w:rsidRPr="007F0E49" w:rsidRDefault="00942F43" w:rsidP="00D907B7">
      <w:pPr>
        <w:numPr>
          <w:ilvl w:val="0"/>
          <w:numId w:val="9"/>
        </w:numPr>
        <w:ind w:left="357" w:hanging="357"/>
        <w:contextualSpacing/>
        <w:jc w:val="both"/>
        <w:rPr>
          <w:rFonts w:ascii="Arial" w:hAnsi="Arial" w:cs="Arial"/>
          <w:sz w:val="22"/>
          <w:szCs w:val="22"/>
        </w:rPr>
      </w:pPr>
      <w:r w:rsidRPr="007F0E49">
        <w:rPr>
          <w:rFonts w:ascii="Arial" w:hAnsi="Arial" w:cs="Arial"/>
          <w:sz w:val="22"/>
          <w:szCs w:val="22"/>
        </w:rPr>
        <w:t xml:space="preserve">625 </w:t>
      </w:r>
      <w:r w:rsidR="00496890" w:rsidRPr="007F0E49">
        <w:rPr>
          <w:rFonts w:ascii="Arial" w:hAnsi="Arial" w:cs="Arial"/>
          <w:sz w:val="22"/>
          <w:szCs w:val="22"/>
        </w:rPr>
        <w:t>bankarskih</w:t>
      </w:r>
      <w:r w:rsidR="000E69DA" w:rsidRPr="007F0E49">
        <w:rPr>
          <w:rFonts w:ascii="Arial" w:hAnsi="Arial" w:cs="Arial"/>
          <w:sz w:val="22"/>
          <w:szCs w:val="22"/>
        </w:rPr>
        <w:t xml:space="preserve"> garancija u HRK ukupne vrijednosti </w:t>
      </w:r>
      <w:r w:rsidRPr="007F0E49">
        <w:rPr>
          <w:rFonts w:ascii="Arial" w:hAnsi="Arial" w:cs="Arial"/>
          <w:sz w:val="22"/>
          <w:szCs w:val="22"/>
        </w:rPr>
        <w:t>200.735.533,26</w:t>
      </w:r>
      <w:r w:rsidR="000E69DA" w:rsidRPr="007F0E49">
        <w:rPr>
          <w:rFonts w:ascii="Arial" w:hAnsi="Arial" w:cs="Arial"/>
          <w:sz w:val="22"/>
          <w:szCs w:val="22"/>
        </w:rPr>
        <w:t xml:space="preserve"> kn</w:t>
      </w:r>
    </w:p>
    <w:p w:rsidR="000E69DA" w:rsidRPr="007F0E49" w:rsidRDefault="00942F43" w:rsidP="00D907B7">
      <w:pPr>
        <w:numPr>
          <w:ilvl w:val="0"/>
          <w:numId w:val="9"/>
        </w:numPr>
        <w:ind w:left="357" w:hanging="357"/>
        <w:contextualSpacing/>
        <w:jc w:val="both"/>
        <w:rPr>
          <w:rFonts w:ascii="Arial" w:hAnsi="Arial" w:cs="Arial"/>
          <w:sz w:val="22"/>
          <w:szCs w:val="22"/>
        </w:rPr>
      </w:pPr>
      <w:r w:rsidRPr="007F0E49">
        <w:rPr>
          <w:rFonts w:ascii="Arial" w:hAnsi="Arial" w:cs="Arial"/>
          <w:sz w:val="22"/>
          <w:szCs w:val="22"/>
        </w:rPr>
        <w:t>15</w:t>
      </w:r>
      <w:r w:rsidR="000E69DA" w:rsidRPr="007F0E49">
        <w:rPr>
          <w:rFonts w:ascii="Arial" w:hAnsi="Arial" w:cs="Arial"/>
          <w:sz w:val="22"/>
          <w:szCs w:val="22"/>
        </w:rPr>
        <w:t xml:space="preserve"> bankarskih garancija u EUR ukupne vrijednosti </w:t>
      </w:r>
      <w:r w:rsidRPr="007F0E49">
        <w:rPr>
          <w:rFonts w:ascii="Arial" w:hAnsi="Arial" w:cs="Arial"/>
          <w:sz w:val="22"/>
          <w:szCs w:val="22"/>
        </w:rPr>
        <w:t>593.120,61</w:t>
      </w:r>
      <w:r w:rsidR="000E69DA" w:rsidRPr="007F0E49">
        <w:rPr>
          <w:rFonts w:ascii="Arial" w:hAnsi="Arial" w:cs="Arial"/>
          <w:sz w:val="22"/>
          <w:szCs w:val="22"/>
        </w:rPr>
        <w:t xml:space="preserve"> EUR</w:t>
      </w:r>
    </w:p>
    <w:p w:rsidR="000E69DA" w:rsidRPr="007F0E49" w:rsidRDefault="00942F43" w:rsidP="00D907B7">
      <w:pPr>
        <w:numPr>
          <w:ilvl w:val="0"/>
          <w:numId w:val="9"/>
        </w:numPr>
        <w:ind w:left="357" w:hanging="357"/>
        <w:contextualSpacing/>
        <w:jc w:val="both"/>
        <w:rPr>
          <w:rFonts w:ascii="Arial" w:hAnsi="Arial" w:cs="Arial"/>
          <w:sz w:val="22"/>
          <w:szCs w:val="22"/>
        </w:rPr>
      </w:pPr>
      <w:r w:rsidRPr="007F0E49">
        <w:rPr>
          <w:rFonts w:ascii="Arial" w:hAnsi="Arial" w:cs="Arial"/>
          <w:sz w:val="22"/>
          <w:szCs w:val="22"/>
        </w:rPr>
        <w:t xml:space="preserve">4221 </w:t>
      </w:r>
      <w:r w:rsidR="000E69DA" w:rsidRPr="007F0E49">
        <w:rPr>
          <w:rFonts w:ascii="Arial" w:hAnsi="Arial" w:cs="Arial"/>
          <w:sz w:val="22"/>
          <w:szCs w:val="22"/>
        </w:rPr>
        <w:t xml:space="preserve">zadužnice ukupne vrijednosti </w:t>
      </w:r>
      <w:r w:rsidRPr="007F0E49">
        <w:rPr>
          <w:rFonts w:ascii="Arial" w:hAnsi="Arial" w:cs="Arial"/>
          <w:sz w:val="22"/>
          <w:szCs w:val="22"/>
        </w:rPr>
        <w:t>372.077.036,91</w:t>
      </w:r>
      <w:r w:rsidR="000E69DA" w:rsidRPr="007F0E49">
        <w:rPr>
          <w:rFonts w:ascii="Arial" w:hAnsi="Arial" w:cs="Arial"/>
          <w:sz w:val="22"/>
          <w:szCs w:val="22"/>
        </w:rPr>
        <w:t xml:space="preserve"> kn</w:t>
      </w:r>
    </w:p>
    <w:p w:rsidR="001F2662" w:rsidRPr="007F0E49" w:rsidRDefault="00942F43" w:rsidP="000E69DA">
      <w:pPr>
        <w:numPr>
          <w:ilvl w:val="0"/>
          <w:numId w:val="9"/>
        </w:numPr>
        <w:ind w:left="357" w:hanging="357"/>
        <w:contextualSpacing/>
        <w:jc w:val="both"/>
        <w:rPr>
          <w:rFonts w:ascii="Arial" w:hAnsi="Arial" w:cs="Arial"/>
          <w:sz w:val="22"/>
          <w:szCs w:val="22"/>
        </w:rPr>
      </w:pPr>
      <w:r w:rsidRPr="007F0E49">
        <w:rPr>
          <w:rFonts w:ascii="Arial" w:hAnsi="Arial" w:cs="Arial"/>
          <w:sz w:val="22"/>
          <w:szCs w:val="22"/>
        </w:rPr>
        <w:t>171</w:t>
      </w:r>
      <w:r w:rsidR="00496890" w:rsidRPr="007F0E49">
        <w:rPr>
          <w:rFonts w:ascii="Arial" w:hAnsi="Arial" w:cs="Arial"/>
          <w:sz w:val="22"/>
          <w:szCs w:val="22"/>
        </w:rPr>
        <w:t xml:space="preserve"> novčanih</w:t>
      </w:r>
      <w:r w:rsidR="000E69DA" w:rsidRPr="007F0E49">
        <w:rPr>
          <w:rFonts w:ascii="Arial" w:hAnsi="Arial" w:cs="Arial"/>
          <w:sz w:val="22"/>
          <w:szCs w:val="22"/>
        </w:rPr>
        <w:t xml:space="preserve"> pologa ukupne vrijednosti </w:t>
      </w:r>
      <w:r w:rsidRPr="007F0E49">
        <w:rPr>
          <w:rFonts w:ascii="Arial" w:hAnsi="Arial" w:cs="Arial"/>
          <w:sz w:val="22"/>
          <w:szCs w:val="22"/>
        </w:rPr>
        <w:t>9.907.913,68</w:t>
      </w:r>
      <w:r w:rsidR="000E69DA" w:rsidRPr="007F0E49">
        <w:rPr>
          <w:rFonts w:ascii="Arial" w:hAnsi="Arial" w:cs="Arial"/>
          <w:sz w:val="22"/>
          <w:szCs w:val="22"/>
        </w:rPr>
        <w:t xml:space="preserve"> kn</w:t>
      </w:r>
    </w:p>
    <w:p w:rsidR="00C06DAB" w:rsidRPr="007F0E49" w:rsidRDefault="00942F43" w:rsidP="000E69DA">
      <w:pPr>
        <w:numPr>
          <w:ilvl w:val="0"/>
          <w:numId w:val="9"/>
        </w:numPr>
        <w:ind w:left="357" w:hanging="357"/>
        <w:contextualSpacing/>
        <w:jc w:val="both"/>
        <w:rPr>
          <w:rFonts w:ascii="Arial" w:hAnsi="Arial" w:cs="Arial"/>
          <w:sz w:val="22"/>
          <w:szCs w:val="22"/>
        </w:rPr>
      </w:pPr>
      <w:r w:rsidRPr="007F0E49">
        <w:rPr>
          <w:rFonts w:ascii="Arial" w:hAnsi="Arial" w:cs="Arial"/>
          <w:sz w:val="22"/>
          <w:szCs w:val="22"/>
        </w:rPr>
        <w:t>11.413</w:t>
      </w:r>
      <w:r w:rsidR="00C06DAB" w:rsidRPr="007F0E49">
        <w:rPr>
          <w:rFonts w:ascii="Arial" w:hAnsi="Arial" w:cs="Arial"/>
          <w:sz w:val="22"/>
          <w:szCs w:val="22"/>
        </w:rPr>
        <w:t xml:space="preserve"> bjanko mjenica</w:t>
      </w:r>
    </w:p>
    <w:p w:rsidR="00455C7A" w:rsidRPr="007F0E49" w:rsidRDefault="00455C7A" w:rsidP="000E69DA">
      <w:pPr>
        <w:tabs>
          <w:tab w:val="left" w:pos="284"/>
          <w:tab w:val="left" w:pos="567"/>
          <w:tab w:val="left" w:pos="851"/>
        </w:tabs>
        <w:jc w:val="both"/>
        <w:rPr>
          <w:rFonts w:ascii="Arial" w:hAnsi="Arial" w:cs="Arial"/>
          <w:b/>
          <w:sz w:val="22"/>
          <w:szCs w:val="22"/>
        </w:rPr>
      </w:pPr>
    </w:p>
    <w:p w:rsidR="00EF6533" w:rsidRDefault="00EF6533" w:rsidP="000E69DA">
      <w:pPr>
        <w:tabs>
          <w:tab w:val="left" w:pos="284"/>
          <w:tab w:val="left" w:pos="567"/>
          <w:tab w:val="left" w:pos="851"/>
        </w:tabs>
        <w:jc w:val="both"/>
        <w:rPr>
          <w:rFonts w:ascii="Arial" w:hAnsi="Arial" w:cs="Arial"/>
          <w:b/>
          <w:sz w:val="22"/>
          <w:szCs w:val="22"/>
        </w:rPr>
      </w:pPr>
    </w:p>
    <w:p w:rsidR="001E0171" w:rsidRPr="007F0E49" w:rsidRDefault="001E0171" w:rsidP="000E69DA">
      <w:pPr>
        <w:tabs>
          <w:tab w:val="left" w:pos="284"/>
          <w:tab w:val="left" w:pos="567"/>
          <w:tab w:val="left" w:pos="851"/>
        </w:tabs>
        <w:jc w:val="both"/>
        <w:rPr>
          <w:rFonts w:ascii="Arial" w:hAnsi="Arial" w:cs="Arial"/>
          <w:b/>
          <w:sz w:val="22"/>
          <w:szCs w:val="22"/>
        </w:rPr>
      </w:pPr>
    </w:p>
    <w:p w:rsidR="003306CD" w:rsidRPr="007F0E49" w:rsidRDefault="001F2662" w:rsidP="000E69DA">
      <w:pPr>
        <w:tabs>
          <w:tab w:val="left" w:pos="284"/>
          <w:tab w:val="left" w:pos="567"/>
          <w:tab w:val="left" w:pos="851"/>
        </w:tabs>
        <w:jc w:val="both"/>
        <w:rPr>
          <w:rFonts w:ascii="Arial" w:hAnsi="Arial" w:cs="Arial"/>
          <w:b/>
          <w:sz w:val="22"/>
          <w:szCs w:val="22"/>
        </w:rPr>
      </w:pPr>
      <w:r w:rsidRPr="007F0E49">
        <w:rPr>
          <w:rFonts w:ascii="Arial" w:hAnsi="Arial" w:cs="Arial"/>
          <w:b/>
          <w:sz w:val="22"/>
          <w:szCs w:val="22"/>
        </w:rPr>
        <w:t>Bilješka broj 11</w:t>
      </w:r>
      <w:r w:rsidR="000E69DA" w:rsidRPr="007F0E49">
        <w:rPr>
          <w:rFonts w:ascii="Arial" w:hAnsi="Arial" w:cs="Arial"/>
          <w:b/>
          <w:sz w:val="22"/>
          <w:szCs w:val="22"/>
        </w:rPr>
        <w:t xml:space="preserve"> – Hipoteke (založno pravo) </w:t>
      </w:r>
    </w:p>
    <w:p w:rsidR="002A4F07" w:rsidRPr="007F0E49" w:rsidRDefault="002A4F07" w:rsidP="000E69DA">
      <w:pPr>
        <w:tabs>
          <w:tab w:val="left" w:pos="284"/>
          <w:tab w:val="left" w:pos="567"/>
          <w:tab w:val="left" w:pos="851"/>
        </w:tabs>
        <w:jc w:val="both"/>
        <w:rPr>
          <w:rFonts w:ascii="Arial" w:hAnsi="Arial" w:cs="Arial"/>
          <w:b/>
          <w:sz w:val="22"/>
          <w:szCs w:val="22"/>
          <w:highlight w:val="yellow"/>
        </w:rPr>
      </w:pPr>
    </w:p>
    <w:p w:rsidR="00EE2FBC" w:rsidRPr="007F0E49" w:rsidRDefault="00EE2FBC" w:rsidP="00EE2FBC">
      <w:pPr>
        <w:tabs>
          <w:tab w:val="left" w:pos="0"/>
          <w:tab w:val="left" w:pos="567"/>
          <w:tab w:val="left" w:pos="851"/>
        </w:tabs>
        <w:jc w:val="both"/>
        <w:rPr>
          <w:rFonts w:ascii="Arial" w:hAnsi="Arial" w:cs="Arial"/>
          <w:sz w:val="22"/>
          <w:szCs w:val="22"/>
        </w:rPr>
      </w:pPr>
      <w:r w:rsidRPr="007F0E49">
        <w:rPr>
          <w:rFonts w:ascii="Arial" w:hAnsi="Arial" w:cs="Arial"/>
          <w:sz w:val="22"/>
          <w:szCs w:val="22"/>
        </w:rPr>
        <w:t>Hipotekom ili z</w:t>
      </w:r>
      <w:r w:rsidR="00D07085" w:rsidRPr="007F0E49">
        <w:rPr>
          <w:rFonts w:ascii="Arial" w:hAnsi="Arial" w:cs="Arial"/>
          <w:sz w:val="22"/>
          <w:szCs w:val="22"/>
        </w:rPr>
        <w:t>aložnim pravom opterećene su sl</w:t>
      </w:r>
      <w:r w:rsidRPr="007F0E49">
        <w:rPr>
          <w:rFonts w:ascii="Arial" w:hAnsi="Arial" w:cs="Arial"/>
          <w:sz w:val="22"/>
          <w:szCs w:val="22"/>
        </w:rPr>
        <w:t>jedeće nekretnine u vlasništvu Grada:</w:t>
      </w:r>
    </w:p>
    <w:p w:rsidR="00EE2FBC" w:rsidRPr="007F0E49" w:rsidRDefault="00EE2FBC" w:rsidP="00EE2FBC">
      <w:pPr>
        <w:tabs>
          <w:tab w:val="left" w:pos="284"/>
          <w:tab w:val="left" w:pos="567"/>
          <w:tab w:val="left" w:pos="851"/>
        </w:tabs>
        <w:jc w:val="both"/>
        <w:rPr>
          <w:rFonts w:ascii="Arial" w:hAnsi="Arial" w:cs="Arial"/>
          <w:sz w:val="22"/>
          <w:szCs w:val="22"/>
        </w:rPr>
      </w:pPr>
    </w:p>
    <w:p w:rsidR="00EE2FBC" w:rsidRPr="007F0E49" w:rsidRDefault="00EE2FBC" w:rsidP="00EE2FBC">
      <w:pPr>
        <w:numPr>
          <w:ilvl w:val="0"/>
          <w:numId w:val="20"/>
        </w:numPr>
        <w:tabs>
          <w:tab w:val="left" w:pos="284"/>
          <w:tab w:val="left" w:pos="851"/>
        </w:tabs>
        <w:ind w:left="0"/>
        <w:contextualSpacing/>
        <w:jc w:val="both"/>
        <w:rPr>
          <w:rFonts w:ascii="Arial" w:hAnsi="Arial" w:cs="Arial"/>
          <w:sz w:val="22"/>
          <w:szCs w:val="22"/>
        </w:rPr>
      </w:pPr>
      <w:r w:rsidRPr="007F0E49">
        <w:rPr>
          <w:rFonts w:ascii="Arial" w:hAnsi="Arial" w:cs="Arial"/>
          <w:sz w:val="22"/>
          <w:szCs w:val="22"/>
        </w:rPr>
        <w:t>Nekretnine Plivališta SFK Kantrida na temelju Sporazuma o zasnivanju založnog prava na nekretninama i pravu na neposrednu ovrhu od 3. siječnja 2017. godine, u korist Privredne banke Zagreb d.d., a radi osiguranja novčane tražbine Privredne banke Zagreb d.d. na ime glavnice po kreditu u iznosu od 189.773.099,15 kn s pripadajućim kamatama, naknadama i troškovima sukladno zaključenom Ugovoru o dugoročnom kreditu broj 5010609829.</w:t>
      </w:r>
    </w:p>
    <w:p w:rsidR="00EE2FBC" w:rsidRPr="007F0E49" w:rsidRDefault="00EE2FBC" w:rsidP="00EE2FBC">
      <w:pPr>
        <w:tabs>
          <w:tab w:val="left" w:pos="284"/>
          <w:tab w:val="left" w:pos="567"/>
          <w:tab w:val="left" w:pos="851"/>
        </w:tabs>
        <w:jc w:val="both"/>
        <w:rPr>
          <w:rFonts w:ascii="Arial" w:hAnsi="Arial" w:cs="Arial"/>
          <w:sz w:val="22"/>
          <w:szCs w:val="22"/>
        </w:rPr>
      </w:pPr>
    </w:p>
    <w:p w:rsidR="00EE2FBC" w:rsidRPr="007F0E49" w:rsidRDefault="00EE2FBC" w:rsidP="00EE2FBC">
      <w:pPr>
        <w:numPr>
          <w:ilvl w:val="0"/>
          <w:numId w:val="12"/>
        </w:numPr>
        <w:tabs>
          <w:tab w:val="left" w:pos="284"/>
          <w:tab w:val="left" w:pos="567"/>
          <w:tab w:val="left" w:pos="851"/>
        </w:tabs>
        <w:ind w:left="0"/>
        <w:contextualSpacing/>
        <w:jc w:val="both"/>
        <w:rPr>
          <w:rFonts w:ascii="Arial" w:hAnsi="Arial" w:cs="Arial"/>
          <w:sz w:val="22"/>
          <w:szCs w:val="22"/>
        </w:rPr>
      </w:pPr>
      <w:r w:rsidRPr="007F0E49">
        <w:rPr>
          <w:rFonts w:ascii="Arial" w:hAnsi="Arial" w:cs="Arial"/>
          <w:sz w:val="22"/>
          <w:szCs w:val="22"/>
        </w:rPr>
        <w:t>Nekretnina k.č. 388/562 šuma površine 5123 m2, zk.ul. 1349 KO Hosti, vrijednost zemljišta 2.254.120,00 kn, temeljem Ugovora br. 130926087159 o dugoročnom kreditu na 25.000.000 kn, zaključenog 11.11.2013. između OTP BANKE, korisnika: DV RIJEKA i zalogodavca: GRAD RIJEKA. Uvjete odobrava i sredstva osigurava: Hrvatska banka za obnovu i razvitak Zagreb</w:t>
      </w:r>
    </w:p>
    <w:p w:rsidR="00EE2FBC" w:rsidRPr="007F0E49" w:rsidRDefault="00EE2FBC" w:rsidP="00EE2FBC">
      <w:pPr>
        <w:tabs>
          <w:tab w:val="left" w:pos="567"/>
        </w:tabs>
        <w:spacing w:after="200" w:line="276" w:lineRule="auto"/>
        <w:contextualSpacing/>
        <w:jc w:val="both"/>
        <w:rPr>
          <w:rFonts w:ascii="Arial" w:hAnsi="Arial" w:cs="Arial"/>
          <w:sz w:val="22"/>
          <w:szCs w:val="22"/>
        </w:rPr>
      </w:pPr>
      <w:r w:rsidRPr="007F0E49">
        <w:rPr>
          <w:rFonts w:ascii="Arial" w:hAnsi="Arial" w:cs="Arial"/>
          <w:sz w:val="22"/>
          <w:szCs w:val="22"/>
        </w:rPr>
        <w:t>Namjena: za realizaciju kapitalnog projekta Dječji vrtić Pehlin.</w:t>
      </w:r>
    </w:p>
    <w:p w:rsidR="00EE2FBC" w:rsidRPr="007F0E49" w:rsidRDefault="00EE2FBC" w:rsidP="00EE2FBC">
      <w:pPr>
        <w:tabs>
          <w:tab w:val="left" w:pos="567"/>
        </w:tabs>
        <w:spacing w:after="200" w:line="276" w:lineRule="auto"/>
        <w:contextualSpacing/>
        <w:jc w:val="both"/>
        <w:rPr>
          <w:rFonts w:ascii="Arial" w:hAnsi="Arial" w:cs="Arial"/>
          <w:sz w:val="22"/>
          <w:szCs w:val="22"/>
        </w:rPr>
      </w:pPr>
      <w:r w:rsidRPr="007F0E49">
        <w:rPr>
          <w:rFonts w:ascii="Arial" w:hAnsi="Arial" w:cs="Arial"/>
          <w:sz w:val="22"/>
          <w:szCs w:val="22"/>
        </w:rPr>
        <w:t xml:space="preserve">Odluka o davanju suglasnosti za zaduženje DV Rijeka donijeta na Gradskom vijeću Grada Rijeke 25. srpnja 2013., objavljena u SN PGŽ 27/13. </w:t>
      </w:r>
    </w:p>
    <w:p w:rsidR="00136936" w:rsidRPr="007F0E49" w:rsidRDefault="00136936" w:rsidP="00EE2FBC">
      <w:pPr>
        <w:tabs>
          <w:tab w:val="left" w:pos="567"/>
        </w:tabs>
        <w:spacing w:after="200" w:line="276" w:lineRule="auto"/>
        <w:contextualSpacing/>
        <w:jc w:val="both"/>
        <w:rPr>
          <w:rFonts w:ascii="Arial" w:hAnsi="Arial" w:cs="Arial"/>
          <w:sz w:val="22"/>
          <w:szCs w:val="22"/>
        </w:rPr>
      </w:pPr>
    </w:p>
    <w:p w:rsidR="00EE2FBC" w:rsidRPr="007F0E49" w:rsidRDefault="00EE2FBC" w:rsidP="00EE2FBC">
      <w:pPr>
        <w:numPr>
          <w:ilvl w:val="0"/>
          <w:numId w:val="12"/>
        </w:numPr>
        <w:tabs>
          <w:tab w:val="left" w:pos="567"/>
        </w:tabs>
        <w:spacing w:after="200" w:line="276" w:lineRule="auto"/>
        <w:ind w:left="17" w:hanging="357"/>
        <w:contextualSpacing/>
        <w:jc w:val="both"/>
        <w:rPr>
          <w:rFonts w:ascii="Arial" w:hAnsi="Arial" w:cs="Arial"/>
          <w:sz w:val="22"/>
          <w:szCs w:val="22"/>
        </w:rPr>
      </w:pPr>
      <w:r w:rsidRPr="007F0E49">
        <w:rPr>
          <w:rFonts w:ascii="Arial" w:hAnsi="Arial" w:cs="Arial"/>
          <w:sz w:val="22"/>
          <w:szCs w:val="22"/>
        </w:rPr>
        <w:t>Zgrada Municipium i dvorište - na temelju Sporazuma o osiguranju novčane tražbine zasnivanjem založnog prava (hipoteke) na nekretnini od 28. lipnja 2004., uknjižuje se pravo zaloga na nekretninama Grada Rijeke 1/1 i to na: kč. 328/1 zgrada Municipium i dvorište Trg riječke rezolucije i k.č. 328/2 dvorište za iznos kunske protuvrijednosti EUR 1.028.744,41 s pripadajućim kamatama, naknadama i troškovima, a za korist: Erste &amp; Steiermarkische bank d.d. Rijeka.</w:t>
      </w:r>
    </w:p>
    <w:p w:rsidR="00EE2FBC" w:rsidRPr="007F0E49" w:rsidRDefault="00EE2FBC" w:rsidP="00EE2FBC">
      <w:pPr>
        <w:tabs>
          <w:tab w:val="left" w:pos="567"/>
        </w:tabs>
        <w:spacing w:after="200" w:line="276" w:lineRule="auto"/>
        <w:ind w:left="17"/>
        <w:contextualSpacing/>
        <w:jc w:val="both"/>
        <w:rPr>
          <w:rFonts w:ascii="Arial" w:hAnsi="Arial" w:cs="Arial"/>
          <w:sz w:val="22"/>
          <w:szCs w:val="22"/>
        </w:rPr>
      </w:pPr>
      <w:r w:rsidRPr="007F0E49">
        <w:rPr>
          <w:rFonts w:ascii="Arial" w:hAnsi="Arial" w:cs="Arial"/>
          <w:sz w:val="22"/>
          <w:szCs w:val="22"/>
        </w:rPr>
        <w:t>Temelj: Ugovor o dugoročnom kreditu br. 5101600 od 19. travnja 2001. g. odobrenom KANAL RI d.o.o. (korisnik kredita) u kojem je Grad Rijeka založni dužnik te Aneksa br.1 istog Ugovora.</w:t>
      </w:r>
    </w:p>
    <w:p w:rsidR="00136936" w:rsidRPr="007F0E49" w:rsidRDefault="00136936" w:rsidP="00EE2FBC">
      <w:pPr>
        <w:tabs>
          <w:tab w:val="left" w:pos="567"/>
        </w:tabs>
        <w:spacing w:after="200" w:line="276" w:lineRule="auto"/>
        <w:contextualSpacing/>
        <w:jc w:val="both"/>
        <w:rPr>
          <w:rFonts w:ascii="Arial" w:hAnsi="Arial" w:cs="Arial"/>
          <w:sz w:val="22"/>
          <w:szCs w:val="22"/>
        </w:rPr>
      </w:pPr>
    </w:p>
    <w:p w:rsidR="00D4590D" w:rsidRPr="007F0E49" w:rsidRDefault="00EE2FBC" w:rsidP="00EE2FBC">
      <w:pPr>
        <w:tabs>
          <w:tab w:val="left" w:pos="567"/>
        </w:tabs>
        <w:spacing w:after="200" w:line="276" w:lineRule="auto"/>
        <w:contextualSpacing/>
        <w:jc w:val="both"/>
        <w:rPr>
          <w:rFonts w:ascii="Arial" w:hAnsi="Arial" w:cs="Arial"/>
          <w:sz w:val="22"/>
          <w:szCs w:val="22"/>
        </w:rPr>
      </w:pPr>
      <w:r w:rsidRPr="007F0E49">
        <w:rPr>
          <w:rFonts w:ascii="Arial" w:hAnsi="Arial" w:cs="Arial"/>
          <w:sz w:val="22"/>
          <w:szCs w:val="22"/>
        </w:rPr>
        <w:tab/>
        <w:t xml:space="preserve">U nastavku se daje pregled zabilježenih hipoteka </w:t>
      </w:r>
      <w:r w:rsidRPr="007F0E49">
        <w:rPr>
          <w:rFonts w:ascii="Arial" w:hAnsi="Arial" w:cs="Arial"/>
          <w:b/>
          <w:sz w:val="22"/>
          <w:szCs w:val="22"/>
        </w:rPr>
        <w:t xml:space="preserve">na imovini trećih osoba </w:t>
      </w:r>
      <w:r w:rsidRPr="007F0E49">
        <w:rPr>
          <w:rFonts w:ascii="Arial" w:hAnsi="Arial" w:cs="Arial"/>
          <w:sz w:val="22"/>
          <w:szCs w:val="22"/>
        </w:rPr>
        <w:t>(tuđoj imovini), u korist Grada, kojima se osigurava namirenje novčane tražbine po predmetima Odjela gradske uprave za komunalni sustav, Odjela gradske uprave za razvoj, urbanizam, ekologiju i gospodarenje zemljištem i Odjela gradske uprave za gospodarenje imovinom.</w:t>
      </w:r>
    </w:p>
    <w:p w:rsidR="00EE2FBC" w:rsidRPr="001E0171" w:rsidRDefault="00EE2FBC" w:rsidP="00136936">
      <w:pPr>
        <w:tabs>
          <w:tab w:val="left" w:pos="567"/>
        </w:tabs>
        <w:spacing w:after="200" w:line="276" w:lineRule="auto"/>
        <w:contextualSpacing/>
        <w:jc w:val="both"/>
        <w:rPr>
          <w:rFonts w:ascii="Arial" w:hAnsi="Arial" w:cs="Arial"/>
          <w:sz w:val="22"/>
          <w:szCs w:val="22"/>
        </w:rPr>
      </w:pPr>
      <w:r w:rsidRPr="001E0171">
        <w:rPr>
          <w:rFonts w:ascii="Arial" w:hAnsi="Arial" w:cs="Arial"/>
          <w:b/>
          <w:sz w:val="22"/>
          <w:szCs w:val="22"/>
        </w:rPr>
        <w:lastRenderedPageBreak/>
        <w:t xml:space="preserve">Odjel gradske uprave za komunalni sustav </w:t>
      </w:r>
    </w:p>
    <w:p w:rsidR="00EE2FBC" w:rsidRPr="00A73102" w:rsidRDefault="00EE2FBC" w:rsidP="00EE2FBC">
      <w:pPr>
        <w:ind w:left="720"/>
        <w:jc w:val="both"/>
        <w:rPr>
          <w:rFonts w:ascii="Arial" w:hAnsi="Arial" w:cs="Arial"/>
          <w:i/>
          <w:sz w:val="22"/>
          <w:szCs w:val="22"/>
        </w:rPr>
      </w:pPr>
    </w:p>
    <w:p w:rsidR="00803355" w:rsidRDefault="00EE2FBC" w:rsidP="00EE2FBC">
      <w:pPr>
        <w:jc w:val="both"/>
        <w:rPr>
          <w:rFonts w:ascii="Arial" w:hAnsi="Arial" w:cs="Arial"/>
          <w:i/>
        </w:rPr>
      </w:pPr>
      <w:r w:rsidRPr="00A73102">
        <w:rPr>
          <w:rFonts w:ascii="Arial" w:hAnsi="Arial" w:cs="Arial"/>
          <w:i/>
        </w:rPr>
        <w:t xml:space="preserve">Hipoteke na imovini obveznika radi osiguranja obročne otplate komunalnog doprinosa </w:t>
      </w:r>
    </w:p>
    <w:p w:rsidR="001E0171" w:rsidRPr="00A73102" w:rsidRDefault="001E0171" w:rsidP="00EE2FBC">
      <w:pPr>
        <w:jc w:val="both"/>
        <w:rPr>
          <w:rFonts w:ascii="Arial" w:hAnsi="Arial" w:cs="Arial"/>
          <w:i/>
        </w:rPr>
      </w:pPr>
    </w:p>
    <w:p w:rsidR="00EE2FBC" w:rsidRPr="00A73102" w:rsidRDefault="00601C46" w:rsidP="00EE2FBC">
      <w:pPr>
        <w:jc w:val="both"/>
        <w:rPr>
          <w:rFonts w:ascii="Arial" w:hAnsi="Arial" w:cs="Arial"/>
          <w:i/>
        </w:rPr>
      </w:pPr>
      <w:r w:rsidRPr="00A73102">
        <w:rPr>
          <w:noProof/>
          <w:lang w:val="en-US" w:eastAsia="en-US"/>
        </w:rPr>
        <w:drawing>
          <wp:inline distT="0" distB="0" distL="0" distR="0">
            <wp:extent cx="6191885" cy="1156413"/>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885" cy="1156413"/>
                    </a:xfrm>
                    <a:prstGeom prst="rect">
                      <a:avLst/>
                    </a:prstGeom>
                    <a:noFill/>
                    <a:ln>
                      <a:noFill/>
                    </a:ln>
                  </pic:spPr>
                </pic:pic>
              </a:graphicData>
            </a:graphic>
          </wp:inline>
        </w:drawing>
      </w:r>
    </w:p>
    <w:p w:rsidR="001D7FE6" w:rsidRPr="00A73102" w:rsidRDefault="001D7FE6" w:rsidP="00EE2FBC">
      <w:pPr>
        <w:jc w:val="both"/>
        <w:rPr>
          <w:rFonts w:ascii="Arial" w:hAnsi="Arial" w:cs="Arial"/>
          <w:i/>
        </w:rPr>
      </w:pPr>
    </w:p>
    <w:p w:rsidR="00C0295F" w:rsidRPr="00A73102" w:rsidRDefault="00C0295F" w:rsidP="00EF6533">
      <w:pPr>
        <w:tabs>
          <w:tab w:val="left" w:pos="567"/>
        </w:tabs>
        <w:spacing w:after="200" w:line="276" w:lineRule="auto"/>
        <w:contextualSpacing/>
        <w:jc w:val="both"/>
        <w:rPr>
          <w:rFonts w:ascii="Arial" w:hAnsi="Arial" w:cs="Arial"/>
          <w:highlight w:val="yellow"/>
        </w:rPr>
      </w:pPr>
    </w:p>
    <w:p w:rsidR="001E0171" w:rsidRDefault="00EE2FBC" w:rsidP="00803355">
      <w:pPr>
        <w:tabs>
          <w:tab w:val="left" w:pos="567"/>
        </w:tabs>
        <w:spacing w:after="200" w:line="276" w:lineRule="auto"/>
        <w:contextualSpacing/>
        <w:rPr>
          <w:rFonts w:ascii="Arial" w:hAnsi="Arial" w:cs="Arial"/>
          <w:i/>
        </w:rPr>
      </w:pPr>
      <w:r w:rsidRPr="00A73102">
        <w:rPr>
          <w:rFonts w:ascii="Arial" w:hAnsi="Arial" w:cs="Arial"/>
          <w:i/>
        </w:rPr>
        <w:t xml:space="preserve">Hipoteke na imovini obveznika radi osiguranja </w:t>
      </w:r>
      <w:r w:rsidR="00A74A1C" w:rsidRPr="00A73102">
        <w:rPr>
          <w:rFonts w:ascii="Arial" w:hAnsi="Arial" w:cs="Arial"/>
          <w:i/>
        </w:rPr>
        <w:t>naplate komunalne naknade, naknad</w:t>
      </w:r>
      <w:r w:rsidR="00601C46" w:rsidRPr="00A73102">
        <w:rPr>
          <w:rFonts w:ascii="Arial" w:hAnsi="Arial" w:cs="Arial"/>
          <w:i/>
        </w:rPr>
        <w:t>e za uređenje voda i spomeničke</w:t>
      </w:r>
      <w:r w:rsidR="00803355" w:rsidRPr="00A73102">
        <w:rPr>
          <w:rFonts w:ascii="Arial" w:hAnsi="Arial" w:cs="Arial"/>
          <w:i/>
        </w:rPr>
        <w:t xml:space="preserve"> </w:t>
      </w:r>
      <w:r w:rsidR="00A74A1C" w:rsidRPr="00A73102">
        <w:rPr>
          <w:rFonts w:ascii="Arial" w:hAnsi="Arial" w:cs="Arial"/>
          <w:i/>
        </w:rPr>
        <w:t>rente</w:t>
      </w:r>
    </w:p>
    <w:p w:rsidR="00803355" w:rsidRPr="00A73102" w:rsidRDefault="00EE2FBC" w:rsidP="00803355">
      <w:pPr>
        <w:tabs>
          <w:tab w:val="left" w:pos="567"/>
        </w:tabs>
        <w:spacing w:after="200" w:line="276" w:lineRule="auto"/>
        <w:contextualSpacing/>
        <w:rPr>
          <w:rFonts w:ascii="Arial" w:hAnsi="Arial" w:cs="Arial"/>
          <w:i/>
        </w:rPr>
      </w:pPr>
      <w:r w:rsidRPr="00A73102">
        <w:rPr>
          <w:rFonts w:ascii="Arial" w:hAnsi="Arial" w:cs="Arial"/>
          <w:i/>
        </w:rPr>
        <w:t xml:space="preserve"> </w:t>
      </w:r>
    </w:p>
    <w:p w:rsidR="00136936" w:rsidRPr="00A73102" w:rsidRDefault="00915268" w:rsidP="00803355">
      <w:pPr>
        <w:tabs>
          <w:tab w:val="left" w:pos="567"/>
        </w:tabs>
        <w:spacing w:after="200" w:line="276" w:lineRule="auto"/>
        <w:contextualSpacing/>
        <w:rPr>
          <w:rFonts w:ascii="Arial" w:hAnsi="Arial" w:cs="Arial"/>
        </w:rPr>
      </w:pPr>
      <w:r w:rsidRPr="00A73102">
        <w:rPr>
          <w:noProof/>
          <w:lang w:val="en-US" w:eastAsia="en-US"/>
        </w:rPr>
        <w:drawing>
          <wp:inline distT="0" distB="0" distL="0" distR="0">
            <wp:extent cx="6191885" cy="433094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1885" cy="4330949"/>
                    </a:xfrm>
                    <a:prstGeom prst="rect">
                      <a:avLst/>
                    </a:prstGeom>
                    <a:noFill/>
                    <a:ln>
                      <a:noFill/>
                    </a:ln>
                  </pic:spPr>
                </pic:pic>
              </a:graphicData>
            </a:graphic>
          </wp:inline>
        </w:drawing>
      </w:r>
    </w:p>
    <w:p w:rsidR="00136936" w:rsidRPr="00A73102" w:rsidRDefault="00136936" w:rsidP="00136936">
      <w:pPr>
        <w:tabs>
          <w:tab w:val="left" w:pos="567"/>
        </w:tabs>
        <w:spacing w:after="200" w:line="276" w:lineRule="auto"/>
        <w:contextualSpacing/>
        <w:jc w:val="both"/>
        <w:rPr>
          <w:rFonts w:ascii="Arial" w:hAnsi="Arial" w:cs="Arial"/>
          <w:highlight w:val="yellow"/>
        </w:rPr>
      </w:pPr>
    </w:p>
    <w:p w:rsidR="00C0295F" w:rsidRPr="00A73102" w:rsidRDefault="00C0295F" w:rsidP="00136936">
      <w:pPr>
        <w:tabs>
          <w:tab w:val="left" w:pos="567"/>
        </w:tabs>
        <w:spacing w:after="200" w:line="276" w:lineRule="auto"/>
        <w:contextualSpacing/>
        <w:jc w:val="both"/>
        <w:rPr>
          <w:rFonts w:ascii="Arial" w:hAnsi="Arial" w:cs="Arial"/>
          <w:b/>
        </w:rPr>
      </w:pPr>
    </w:p>
    <w:p w:rsidR="0042392F" w:rsidRPr="00A73102" w:rsidRDefault="0042392F" w:rsidP="00136936">
      <w:pPr>
        <w:tabs>
          <w:tab w:val="left" w:pos="567"/>
        </w:tabs>
        <w:spacing w:after="200" w:line="276" w:lineRule="auto"/>
        <w:contextualSpacing/>
        <w:jc w:val="both"/>
        <w:rPr>
          <w:rFonts w:ascii="Arial" w:hAnsi="Arial" w:cs="Arial"/>
          <w:b/>
        </w:rPr>
      </w:pPr>
    </w:p>
    <w:p w:rsidR="00915268" w:rsidRPr="00A73102" w:rsidRDefault="00915268" w:rsidP="00136936">
      <w:pPr>
        <w:tabs>
          <w:tab w:val="left" w:pos="567"/>
        </w:tabs>
        <w:spacing w:after="200" w:line="276" w:lineRule="auto"/>
        <w:contextualSpacing/>
        <w:jc w:val="both"/>
        <w:rPr>
          <w:rFonts w:ascii="Arial" w:hAnsi="Arial" w:cs="Arial"/>
          <w:b/>
        </w:rPr>
      </w:pPr>
    </w:p>
    <w:p w:rsidR="00B10A53" w:rsidRDefault="00B10A53" w:rsidP="00136936">
      <w:pPr>
        <w:tabs>
          <w:tab w:val="left" w:pos="567"/>
        </w:tabs>
        <w:spacing w:after="200" w:line="276" w:lineRule="auto"/>
        <w:contextualSpacing/>
        <w:jc w:val="both"/>
        <w:rPr>
          <w:rFonts w:ascii="Arial" w:hAnsi="Arial" w:cs="Arial"/>
          <w:b/>
        </w:rPr>
      </w:pPr>
    </w:p>
    <w:p w:rsidR="001E0171" w:rsidRDefault="001E0171" w:rsidP="00136936">
      <w:pPr>
        <w:tabs>
          <w:tab w:val="left" w:pos="567"/>
        </w:tabs>
        <w:spacing w:after="200" w:line="276" w:lineRule="auto"/>
        <w:contextualSpacing/>
        <w:jc w:val="both"/>
        <w:rPr>
          <w:rFonts w:ascii="Arial" w:hAnsi="Arial" w:cs="Arial"/>
          <w:b/>
        </w:rPr>
      </w:pPr>
    </w:p>
    <w:p w:rsidR="001E0171" w:rsidRDefault="001E0171" w:rsidP="00136936">
      <w:pPr>
        <w:tabs>
          <w:tab w:val="left" w:pos="567"/>
        </w:tabs>
        <w:spacing w:after="200" w:line="276" w:lineRule="auto"/>
        <w:contextualSpacing/>
        <w:jc w:val="both"/>
        <w:rPr>
          <w:rFonts w:ascii="Arial" w:hAnsi="Arial" w:cs="Arial"/>
          <w:b/>
        </w:rPr>
      </w:pPr>
    </w:p>
    <w:p w:rsidR="001E0171" w:rsidRDefault="001E0171" w:rsidP="00136936">
      <w:pPr>
        <w:tabs>
          <w:tab w:val="left" w:pos="567"/>
        </w:tabs>
        <w:spacing w:after="200" w:line="276" w:lineRule="auto"/>
        <w:contextualSpacing/>
        <w:jc w:val="both"/>
        <w:rPr>
          <w:rFonts w:ascii="Arial" w:hAnsi="Arial" w:cs="Arial"/>
          <w:b/>
        </w:rPr>
      </w:pPr>
    </w:p>
    <w:p w:rsidR="001E0171" w:rsidRDefault="001E0171" w:rsidP="00136936">
      <w:pPr>
        <w:tabs>
          <w:tab w:val="left" w:pos="567"/>
        </w:tabs>
        <w:spacing w:after="200" w:line="276" w:lineRule="auto"/>
        <w:contextualSpacing/>
        <w:jc w:val="both"/>
        <w:rPr>
          <w:rFonts w:ascii="Arial" w:hAnsi="Arial" w:cs="Arial"/>
          <w:b/>
        </w:rPr>
      </w:pPr>
    </w:p>
    <w:p w:rsidR="001E0171" w:rsidRDefault="001E0171" w:rsidP="00136936">
      <w:pPr>
        <w:tabs>
          <w:tab w:val="left" w:pos="567"/>
        </w:tabs>
        <w:spacing w:after="200" w:line="276" w:lineRule="auto"/>
        <w:contextualSpacing/>
        <w:jc w:val="both"/>
        <w:rPr>
          <w:rFonts w:ascii="Arial" w:hAnsi="Arial" w:cs="Arial"/>
          <w:b/>
        </w:rPr>
      </w:pPr>
    </w:p>
    <w:p w:rsidR="001E0171" w:rsidRDefault="001E0171" w:rsidP="00136936">
      <w:pPr>
        <w:tabs>
          <w:tab w:val="left" w:pos="567"/>
        </w:tabs>
        <w:spacing w:after="200" w:line="276" w:lineRule="auto"/>
        <w:contextualSpacing/>
        <w:jc w:val="both"/>
        <w:rPr>
          <w:rFonts w:ascii="Arial" w:hAnsi="Arial" w:cs="Arial"/>
          <w:b/>
        </w:rPr>
      </w:pPr>
    </w:p>
    <w:p w:rsidR="001E0171" w:rsidRDefault="001E0171" w:rsidP="00136936">
      <w:pPr>
        <w:tabs>
          <w:tab w:val="left" w:pos="567"/>
        </w:tabs>
        <w:spacing w:after="200" w:line="276" w:lineRule="auto"/>
        <w:contextualSpacing/>
        <w:jc w:val="both"/>
        <w:rPr>
          <w:rFonts w:ascii="Arial" w:hAnsi="Arial" w:cs="Arial"/>
          <w:b/>
        </w:rPr>
      </w:pPr>
    </w:p>
    <w:p w:rsidR="001E0171" w:rsidRPr="00A73102" w:rsidRDefault="001E0171" w:rsidP="00136936">
      <w:pPr>
        <w:tabs>
          <w:tab w:val="left" w:pos="567"/>
        </w:tabs>
        <w:spacing w:after="200" w:line="276" w:lineRule="auto"/>
        <w:contextualSpacing/>
        <w:jc w:val="both"/>
        <w:rPr>
          <w:rFonts w:ascii="Arial" w:hAnsi="Arial" w:cs="Arial"/>
          <w:b/>
        </w:rPr>
      </w:pPr>
    </w:p>
    <w:p w:rsidR="00455C7A" w:rsidRPr="001E0171" w:rsidRDefault="00EE2FBC" w:rsidP="00136936">
      <w:pPr>
        <w:tabs>
          <w:tab w:val="left" w:pos="567"/>
        </w:tabs>
        <w:spacing w:after="200" w:line="276" w:lineRule="auto"/>
        <w:contextualSpacing/>
        <w:jc w:val="both"/>
        <w:rPr>
          <w:rFonts w:ascii="Arial" w:hAnsi="Arial" w:cs="Arial"/>
          <w:sz w:val="22"/>
          <w:szCs w:val="22"/>
        </w:rPr>
      </w:pPr>
      <w:r w:rsidRPr="001E0171">
        <w:rPr>
          <w:rFonts w:ascii="Arial" w:hAnsi="Arial" w:cs="Arial"/>
          <w:b/>
          <w:sz w:val="22"/>
          <w:szCs w:val="22"/>
        </w:rPr>
        <w:lastRenderedPageBreak/>
        <w:t>Odjel gradske uprave za razvoj, urbanizam, ekologiju i gospodarenje zemljištem</w:t>
      </w:r>
    </w:p>
    <w:p w:rsidR="00D4590D" w:rsidRPr="00A73102" w:rsidRDefault="00D4590D" w:rsidP="00EE2FBC">
      <w:pPr>
        <w:rPr>
          <w:rFonts w:ascii="Arial" w:hAnsi="Arial" w:cs="Arial"/>
          <w:bCs/>
          <w:i/>
          <w:color w:val="000000"/>
          <w:sz w:val="16"/>
          <w:szCs w:val="16"/>
        </w:rPr>
      </w:pPr>
    </w:p>
    <w:p w:rsidR="00136936" w:rsidRDefault="00EE2FBC" w:rsidP="00136936">
      <w:pPr>
        <w:rPr>
          <w:rFonts w:ascii="Arial" w:hAnsi="Arial" w:cs="Arial"/>
          <w:bCs/>
          <w:i/>
          <w:color w:val="000000"/>
        </w:rPr>
      </w:pPr>
      <w:r w:rsidRPr="00A73102">
        <w:rPr>
          <w:rFonts w:ascii="Arial" w:hAnsi="Arial" w:cs="Arial"/>
          <w:bCs/>
          <w:i/>
          <w:color w:val="000000"/>
        </w:rPr>
        <w:t>Hipoteke upisane na temelju ugovora o kupoprodaji/zamjeni zemljišta s obročnom otplatom</w:t>
      </w:r>
    </w:p>
    <w:p w:rsidR="001E0171" w:rsidRPr="00A73102" w:rsidRDefault="001E0171" w:rsidP="00136936">
      <w:pPr>
        <w:rPr>
          <w:rFonts w:ascii="Arial" w:hAnsi="Arial" w:cs="Arial"/>
          <w:bCs/>
          <w:i/>
          <w:color w:val="000000"/>
        </w:rPr>
      </w:pPr>
    </w:p>
    <w:p w:rsidR="00803355" w:rsidRPr="00A73102" w:rsidRDefault="00803355" w:rsidP="00136936">
      <w:pPr>
        <w:rPr>
          <w:rFonts w:ascii="Arial" w:hAnsi="Arial" w:cs="Arial"/>
          <w:bCs/>
          <w:i/>
          <w:color w:val="000000"/>
        </w:rPr>
      </w:pPr>
      <w:r w:rsidRPr="00A73102">
        <w:rPr>
          <w:noProof/>
          <w:lang w:val="en-US" w:eastAsia="en-US"/>
        </w:rPr>
        <w:drawing>
          <wp:inline distT="0" distB="0" distL="0" distR="0">
            <wp:extent cx="6191885" cy="5827035"/>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885" cy="5827035"/>
                    </a:xfrm>
                    <a:prstGeom prst="rect">
                      <a:avLst/>
                    </a:prstGeom>
                    <a:noFill/>
                    <a:ln>
                      <a:noFill/>
                    </a:ln>
                  </pic:spPr>
                </pic:pic>
              </a:graphicData>
            </a:graphic>
          </wp:inline>
        </w:drawing>
      </w:r>
    </w:p>
    <w:p w:rsidR="00915268" w:rsidRPr="00A73102" w:rsidRDefault="00915268" w:rsidP="00136936">
      <w:pPr>
        <w:rPr>
          <w:rFonts w:ascii="Arial" w:hAnsi="Arial" w:cs="Arial"/>
          <w:b/>
        </w:rPr>
      </w:pPr>
    </w:p>
    <w:p w:rsidR="00915268" w:rsidRPr="00A73102" w:rsidRDefault="00915268" w:rsidP="00136936">
      <w:pPr>
        <w:rPr>
          <w:rFonts w:ascii="Arial" w:hAnsi="Arial" w:cs="Arial"/>
          <w:b/>
        </w:rPr>
      </w:pPr>
    </w:p>
    <w:p w:rsidR="00915268" w:rsidRPr="00A73102" w:rsidRDefault="00915268" w:rsidP="00136936">
      <w:pPr>
        <w:rPr>
          <w:rFonts w:ascii="Arial" w:hAnsi="Arial" w:cs="Arial"/>
          <w:b/>
        </w:rPr>
      </w:pPr>
    </w:p>
    <w:p w:rsidR="00915268" w:rsidRPr="00A73102" w:rsidRDefault="00915268" w:rsidP="00136936">
      <w:pPr>
        <w:rPr>
          <w:rFonts w:ascii="Arial" w:hAnsi="Arial" w:cs="Arial"/>
          <w:b/>
        </w:rPr>
      </w:pPr>
    </w:p>
    <w:p w:rsidR="00915268" w:rsidRPr="00A73102" w:rsidRDefault="00915268" w:rsidP="00136936">
      <w:pPr>
        <w:rPr>
          <w:rFonts w:ascii="Arial" w:hAnsi="Arial" w:cs="Arial"/>
          <w:b/>
        </w:rPr>
      </w:pPr>
    </w:p>
    <w:p w:rsidR="00915268" w:rsidRPr="00A73102" w:rsidRDefault="00915268" w:rsidP="00136936">
      <w:pPr>
        <w:rPr>
          <w:rFonts w:ascii="Arial" w:hAnsi="Arial" w:cs="Arial"/>
          <w:b/>
        </w:rPr>
      </w:pPr>
    </w:p>
    <w:p w:rsidR="00915268" w:rsidRPr="00A73102" w:rsidRDefault="00915268" w:rsidP="00136936">
      <w:pPr>
        <w:rPr>
          <w:rFonts w:ascii="Arial" w:hAnsi="Arial" w:cs="Arial"/>
          <w:b/>
        </w:rPr>
      </w:pPr>
    </w:p>
    <w:p w:rsidR="00915268" w:rsidRPr="00A73102" w:rsidRDefault="00915268" w:rsidP="00136936">
      <w:pPr>
        <w:rPr>
          <w:rFonts w:ascii="Arial" w:hAnsi="Arial" w:cs="Arial"/>
          <w:b/>
        </w:rPr>
      </w:pPr>
    </w:p>
    <w:p w:rsidR="00915268" w:rsidRPr="00A73102" w:rsidRDefault="00915268" w:rsidP="00136936">
      <w:pPr>
        <w:rPr>
          <w:rFonts w:ascii="Arial" w:hAnsi="Arial" w:cs="Arial"/>
          <w:b/>
        </w:rPr>
      </w:pPr>
    </w:p>
    <w:p w:rsidR="00915268" w:rsidRPr="00A73102" w:rsidRDefault="00915268" w:rsidP="00136936">
      <w:pPr>
        <w:rPr>
          <w:rFonts w:ascii="Arial" w:hAnsi="Arial" w:cs="Arial"/>
          <w:b/>
        </w:rPr>
      </w:pPr>
    </w:p>
    <w:p w:rsidR="00915268" w:rsidRPr="00A73102" w:rsidRDefault="00915268" w:rsidP="00136936">
      <w:pPr>
        <w:rPr>
          <w:rFonts w:ascii="Arial" w:hAnsi="Arial" w:cs="Arial"/>
          <w:b/>
        </w:rPr>
      </w:pPr>
    </w:p>
    <w:p w:rsidR="00915268" w:rsidRPr="00A73102" w:rsidRDefault="00915268" w:rsidP="00136936">
      <w:pPr>
        <w:rPr>
          <w:rFonts w:ascii="Arial" w:hAnsi="Arial" w:cs="Arial"/>
          <w:b/>
        </w:rPr>
      </w:pPr>
    </w:p>
    <w:p w:rsidR="00915268" w:rsidRPr="00A73102" w:rsidRDefault="00915268" w:rsidP="00136936">
      <w:pPr>
        <w:rPr>
          <w:rFonts w:ascii="Arial" w:hAnsi="Arial" w:cs="Arial"/>
          <w:b/>
        </w:rPr>
      </w:pPr>
    </w:p>
    <w:p w:rsidR="00915268" w:rsidRPr="00A73102" w:rsidRDefault="00915268" w:rsidP="00136936">
      <w:pPr>
        <w:rPr>
          <w:rFonts w:ascii="Arial" w:hAnsi="Arial" w:cs="Arial"/>
          <w:b/>
        </w:rPr>
      </w:pPr>
    </w:p>
    <w:p w:rsidR="00915268" w:rsidRPr="00A73102" w:rsidRDefault="00915268" w:rsidP="00136936">
      <w:pPr>
        <w:rPr>
          <w:rFonts w:ascii="Arial" w:hAnsi="Arial" w:cs="Arial"/>
          <w:b/>
        </w:rPr>
      </w:pPr>
    </w:p>
    <w:p w:rsidR="00915268" w:rsidRPr="00A73102" w:rsidRDefault="00915268" w:rsidP="00136936">
      <w:pPr>
        <w:rPr>
          <w:rFonts w:ascii="Arial" w:hAnsi="Arial" w:cs="Arial"/>
          <w:b/>
        </w:rPr>
      </w:pPr>
    </w:p>
    <w:p w:rsidR="00915268" w:rsidRPr="00A73102" w:rsidRDefault="00915268" w:rsidP="00136936">
      <w:pPr>
        <w:rPr>
          <w:rFonts w:ascii="Arial" w:hAnsi="Arial" w:cs="Arial"/>
          <w:b/>
        </w:rPr>
      </w:pPr>
    </w:p>
    <w:p w:rsidR="00780348" w:rsidRDefault="00780348" w:rsidP="00136936">
      <w:pPr>
        <w:rPr>
          <w:rFonts w:ascii="Arial" w:hAnsi="Arial" w:cs="Arial"/>
          <w:b/>
        </w:rPr>
      </w:pPr>
    </w:p>
    <w:p w:rsidR="00455C7A" w:rsidRPr="001E0171" w:rsidRDefault="00EE2FBC" w:rsidP="00136936">
      <w:pPr>
        <w:rPr>
          <w:rFonts w:ascii="Arial" w:hAnsi="Arial" w:cs="Arial"/>
          <w:sz w:val="22"/>
          <w:szCs w:val="22"/>
        </w:rPr>
      </w:pPr>
      <w:r w:rsidRPr="001E0171">
        <w:rPr>
          <w:rFonts w:ascii="Arial" w:hAnsi="Arial" w:cs="Arial"/>
          <w:b/>
          <w:sz w:val="22"/>
          <w:szCs w:val="22"/>
        </w:rPr>
        <w:lastRenderedPageBreak/>
        <w:t>Odjel gradske uprave za gospodarenje imovinom</w:t>
      </w:r>
    </w:p>
    <w:p w:rsidR="00D07085" w:rsidRDefault="00D07085" w:rsidP="00EE2FBC">
      <w:pPr>
        <w:rPr>
          <w:rFonts w:ascii="Arial" w:hAnsi="Arial" w:cs="Arial"/>
          <w:i/>
        </w:rPr>
      </w:pPr>
    </w:p>
    <w:p w:rsidR="00601C46" w:rsidRDefault="00EE2FBC" w:rsidP="00EE2FBC">
      <w:pPr>
        <w:rPr>
          <w:rFonts w:ascii="Arial" w:hAnsi="Arial" w:cs="Arial"/>
          <w:i/>
        </w:rPr>
      </w:pPr>
      <w:r w:rsidRPr="00A73102">
        <w:rPr>
          <w:rFonts w:ascii="Arial" w:hAnsi="Arial" w:cs="Arial"/>
          <w:i/>
        </w:rPr>
        <w:t xml:space="preserve">Upis prava zaloga na nekretninama (hipoteke) radi osiguranja namirenja tražbine </w:t>
      </w:r>
      <w:r w:rsidR="00D07085">
        <w:rPr>
          <w:rFonts w:ascii="Arial" w:hAnsi="Arial" w:cs="Arial"/>
          <w:i/>
        </w:rPr>
        <w:t>temeljem</w:t>
      </w:r>
      <w:r w:rsidRPr="00A73102">
        <w:rPr>
          <w:rFonts w:ascii="Arial" w:hAnsi="Arial" w:cs="Arial"/>
          <w:i/>
        </w:rPr>
        <w:t xml:space="preserve"> ugovora o zakup</w:t>
      </w:r>
      <w:r w:rsidR="00136936" w:rsidRPr="00A73102">
        <w:rPr>
          <w:rFonts w:ascii="Arial" w:hAnsi="Arial" w:cs="Arial"/>
          <w:i/>
        </w:rPr>
        <w:t>u</w:t>
      </w:r>
    </w:p>
    <w:p w:rsidR="001E0171" w:rsidRPr="00A73102" w:rsidRDefault="001E0171" w:rsidP="00EE2FBC">
      <w:pPr>
        <w:rPr>
          <w:rFonts w:ascii="Arial" w:hAnsi="Arial" w:cs="Arial"/>
          <w:i/>
        </w:rPr>
      </w:pPr>
    </w:p>
    <w:p w:rsidR="008675DC" w:rsidRPr="00A73102" w:rsidRDefault="00B56C50" w:rsidP="00EE2FBC">
      <w:pPr>
        <w:rPr>
          <w:rFonts w:ascii="Arial" w:hAnsi="Arial" w:cs="Arial"/>
          <w:i/>
        </w:rPr>
      </w:pPr>
      <w:r w:rsidRPr="00B56C50">
        <w:rPr>
          <w:noProof/>
          <w:lang w:val="en-US" w:eastAsia="en-US"/>
        </w:rPr>
        <w:drawing>
          <wp:inline distT="0" distB="0" distL="0" distR="0">
            <wp:extent cx="6191885" cy="3702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885" cy="3702115"/>
                    </a:xfrm>
                    <a:prstGeom prst="rect">
                      <a:avLst/>
                    </a:prstGeom>
                    <a:noFill/>
                    <a:ln>
                      <a:noFill/>
                    </a:ln>
                  </pic:spPr>
                </pic:pic>
              </a:graphicData>
            </a:graphic>
          </wp:inline>
        </w:drawing>
      </w:r>
    </w:p>
    <w:p w:rsidR="00012BB8" w:rsidRPr="00A73102" w:rsidRDefault="00012BB8" w:rsidP="00EE2FBC">
      <w:pPr>
        <w:rPr>
          <w:rFonts w:ascii="Arial" w:hAnsi="Arial" w:cs="Arial"/>
          <w:i/>
        </w:rPr>
      </w:pPr>
    </w:p>
    <w:p w:rsidR="00EE2FBC" w:rsidRPr="00A73102" w:rsidRDefault="00EE2FBC" w:rsidP="00EE2FBC">
      <w:pPr>
        <w:rPr>
          <w:rFonts w:ascii="Arial" w:hAnsi="Arial" w:cs="Arial"/>
          <w:i/>
        </w:rPr>
      </w:pPr>
    </w:p>
    <w:p w:rsidR="00A96868" w:rsidRPr="00A73102" w:rsidRDefault="00A96868" w:rsidP="00484386">
      <w:pPr>
        <w:rPr>
          <w:rFonts w:ascii="Arial" w:hAnsi="Arial" w:cs="Arial"/>
          <w:sz w:val="22"/>
          <w:szCs w:val="22"/>
          <w:highlight w:val="yellow"/>
        </w:rPr>
      </w:pPr>
    </w:p>
    <w:p w:rsidR="00F3365F" w:rsidRPr="00A73102" w:rsidRDefault="00F3365F" w:rsidP="00484386">
      <w:pPr>
        <w:rPr>
          <w:highlight w:val="yellow"/>
        </w:rPr>
      </w:pPr>
    </w:p>
    <w:p w:rsidR="00F3365F" w:rsidRPr="00A73102" w:rsidRDefault="00F3365F" w:rsidP="00484386">
      <w:pPr>
        <w:rPr>
          <w:highlight w:val="yellow"/>
        </w:rPr>
      </w:pPr>
    </w:p>
    <w:p w:rsidR="00F3365F" w:rsidRPr="00A73102" w:rsidRDefault="00F3365F" w:rsidP="00484386">
      <w:pPr>
        <w:rPr>
          <w:highlight w:val="yellow"/>
        </w:rPr>
      </w:pPr>
    </w:p>
    <w:p w:rsidR="00F3365F" w:rsidRPr="00A73102" w:rsidRDefault="00F3365F" w:rsidP="00484386">
      <w:pPr>
        <w:rPr>
          <w:highlight w:val="yellow"/>
        </w:rPr>
      </w:pPr>
    </w:p>
    <w:p w:rsidR="00F3365F" w:rsidRPr="00A73102" w:rsidRDefault="00F3365F" w:rsidP="00484386">
      <w:pPr>
        <w:rPr>
          <w:highlight w:val="yellow"/>
        </w:rPr>
      </w:pPr>
    </w:p>
    <w:p w:rsidR="00F3365F" w:rsidRPr="00A73102" w:rsidRDefault="00F3365F" w:rsidP="00484386">
      <w:pPr>
        <w:rPr>
          <w:highlight w:val="yellow"/>
        </w:rPr>
      </w:pPr>
    </w:p>
    <w:p w:rsidR="00F3365F" w:rsidRPr="00A73102" w:rsidRDefault="00F3365F" w:rsidP="00484386">
      <w:pPr>
        <w:rPr>
          <w:highlight w:val="yellow"/>
        </w:rPr>
      </w:pPr>
    </w:p>
    <w:p w:rsidR="00F3365F" w:rsidRPr="00A73102" w:rsidRDefault="00F3365F" w:rsidP="00484386">
      <w:pPr>
        <w:rPr>
          <w:highlight w:val="yellow"/>
        </w:rPr>
      </w:pPr>
    </w:p>
    <w:p w:rsidR="00803355" w:rsidRPr="00A73102" w:rsidRDefault="00803355" w:rsidP="00484386">
      <w:pPr>
        <w:rPr>
          <w:highlight w:val="yellow"/>
        </w:rPr>
      </w:pPr>
    </w:p>
    <w:p w:rsidR="00803355" w:rsidRPr="00A73102" w:rsidRDefault="00803355" w:rsidP="00484386">
      <w:pPr>
        <w:rPr>
          <w:highlight w:val="yellow"/>
        </w:rPr>
      </w:pPr>
    </w:p>
    <w:p w:rsidR="00803355" w:rsidRPr="00A73102" w:rsidRDefault="00803355" w:rsidP="00484386">
      <w:pPr>
        <w:rPr>
          <w:highlight w:val="yellow"/>
        </w:rPr>
      </w:pPr>
    </w:p>
    <w:p w:rsidR="00803355" w:rsidRPr="00A73102" w:rsidRDefault="00803355" w:rsidP="00484386">
      <w:pPr>
        <w:rPr>
          <w:highlight w:val="yellow"/>
        </w:rPr>
      </w:pPr>
    </w:p>
    <w:p w:rsidR="00803355" w:rsidRPr="00A73102" w:rsidRDefault="00803355" w:rsidP="00484386">
      <w:pPr>
        <w:rPr>
          <w:highlight w:val="yellow"/>
        </w:rPr>
      </w:pPr>
    </w:p>
    <w:p w:rsidR="00803355" w:rsidRPr="00A73102" w:rsidRDefault="00803355" w:rsidP="00484386">
      <w:pPr>
        <w:rPr>
          <w:highlight w:val="yellow"/>
        </w:rPr>
      </w:pPr>
    </w:p>
    <w:p w:rsidR="00803355" w:rsidRPr="00A73102" w:rsidRDefault="00803355" w:rsidP="00484386">
      <w:pPr>
        <w:rPr>
          <w:highlight w:val="yellow"/>
        </w:rPr>
      </w:pPr>
    </w:p>
    <w:p w:rsidR="00803355" w:rsidRPr="00A73102" w:rsidRDefault="00803355" w:rsidP="00484386">
      <w:pPr>
        <w:rPr>
          <w:highlight w:val="yellow"/>
        </w:rPr>
      </w:pPr>
    </w:p>
    <w:p w:rsidR="00803355" w:rsidRPr="00A73102" w:rsidRDefault="00803355" w:rsidP="00484386">
      <w:pPr>
        <w:rPr>
          <w:highlight w:val="yellow"/>
        </w:rPr>
      </w:pPr>
    </w:p>
    <w:p w:rsidR="00803355" w:rsidRPr="00A73102" w:rsidRDefault="00803355" w:rsidP="00484386">
      <w:pPr>
        <w:rPr>
          <w:highlight w:val="yellow"/>
        </w:rPr>
      </w:pPr>
    </w:p>
    <w:p w:rsidR="00803355" w:rsidRPr="00A73102" w:rsidRDefault="00803355" w:rsidP="00484386">
      <w:pPr>
        <w:rPr>
          <w:highlight w:val="yellow"/>
        </w:rPr>
      </w:pPr>
    </w:p>
    <w:p w:rsidR="00803355" w:rsidRPr="00A73102" w:rsidRDefault="00803355" w:rsidP="00484386">
      <w:pPr>
        <w:rPr>
          <w:highlight w:val="yellow"/>
        </w:rPr>
      </w:pPr>
    </w:p>
    <w:p w:rsidR="00803355" w:rsidRPr="00A73102" w:rsidRDefault="00803355" w:rsidP="00484386">
      <w:pPr>
        <w:rPr>
          <w:highlight w:val="yellow"/>
        </w:rPr>
      </w:pPr>
    </w:p>
    <w:p w:rsidR="00803355" w:rsidRPr="00A73102" w:rsidRDefault="00803355" w:rsidP="00484386">
      <w:pPr>
        <w:rPr>
          <w:highlight w:val="yellow"/>
        </w:rPr>
      </w:pPr>
    </w:p>
    <w:p w:rsidR="00803355" w:rsidRPr="00A73102" w:rsidRDefault="00803355" w:rsidP="00484386">
      <w:pPr>
        <w:rPr>
          <w:highlight w:val="yellow"/>
        </w:rPr>
      </w:pPr>
    </w:p>
    <w:p w:rsidR="00803355" w:rsidRPr="00A73102" w:rsidRDefault="00803355" w:rsidP="00484386">
      <w:pPr>
        <w:rPr>
          <w:highlight w:val="yellow"/>
        </w:rPr>
      </w:pPr>
    </w:p>
    <w:p w:rsidR="00803355" w:rsidRPr="00A73102" w:rsidRDefault="00803355" w:rsidP="00484386">
      <w:pPr>
        <w:rPr>
          <w:highlight w:val="yellow"/>
        </w:rPr>
      </w:pPr>
    </w:p>
    <w:p w:rsidR="00803355" w:rsidRPr="00A73102" w:rsidRDefault="00803355" w:rsidP="00484386">
      <w:pPr>
        <w:rPr>
          <w:highlight w:val="yellow"/>
        </w:rPr>
      </w:pPr>
    </w:p>
    <w:p w:rsidR="00803355" w:rsidRPr="00A73102" w:rsidRDefault="00803355" w:rsidP="00484386">
      <w:pPr>
        <w:rPr>
          <w:highlight w:val="yellow"/>
        </w:rPr>
      </w:pPr>
    </w:p>
    <w:p w:rsidR="00803355" w:rsidRPr="00A73102" w:rsidRDefault="00803355" w:rsidP="00484386">
      <w:pPr>
        <w:rPr>
          <w:highlight w:val="yellow"/>
        </w:rPr>
      </w:pPr>
    </w:p>
    <w:p w:rsidR="00803355" w:rsidRPr="00A73102" w:rsidRDefault="00803355" w:rsidP="00484386">
      <w:pPr>
        <w:rPr>
          <w:highlight w:val="yellow"/>
        </w:rPr>
      </w:pPr>
    </w:p>
    <w:p w:rsidR="00E068D9" w:rsidRPr="00A73102" w:rsidRDefault="00E068D9" w:rsidP="00484386">
      <w:pPr>
        <w:rPr>
          <w:rFonts w:ascii="Arial" w:hAnsi="Arial" w:cs="Arial"/>
          <w:sz w:val="22"/>
          <w:szCs w:val="22"/>
          <w:highlight w:val="yellow"/>
        </w:rPr>
      </w:pPr>
    </w:p>
    <w:p w:rsidR="007D3676" w:rsidRPr="00BC6599" w:rsidRDefault="000E69DA" w:rsidP="007D3676">
      <w:pPr>
        <w:keepNext/>
        <w:numPr>
          <w:ilvl w:val="0"/>
          <w:numId w:val="2"/>
        </w:numPr>
        <w:tabs>
          <w:tab w:val="num" w:pos="426"/>
        </w:tabs>
        <w:ind w:hanging="720"/>
        <w:jc w:val="both"/>
        <w:outlineLvl w:val="0"/>
        <w:rPr>
          <w:rFonts w:ascii="Arial" w:hAnsi="Arial"/>
          <w:b/>
          <w:color w:val="1F3864" w:themeColor="accent5" w:themeShade="80"/>
          <w:sz w:val="24"/>
          <w:szCs w:val="24"/>
        </w:rPr>
      </w:pPr>
      <w:r w:rsidRPr="00BC6599">
        <w:rPr>
          <w:rFonts w:ascii="Arial" w:hAnsi="Arial"/>
          <w:b/>
          <w:color w:val="1F3864" w:themeColor="accent5" w:themeShade="80"/>
          <w:sz w:val="24"/>
          <w:szCs w:val="24"/>
        </w:rPr>
        <w:lastRenderedPageBreak/>
        <w:t>IZVJEŠTAJ O PRIHODIMA I RASHODIMA, PRIMICIMA I IZDACIMA</w:t>
      </w:r>
      <w:r w:rsidR="00D268E1" w:rsidRPr="00BC6599">
        <w:rPr>
          <w:rFonts w:ascii="Arial" w:hAnsi="Arial"/>
          <w:b/>
          <w:color w:val="1F3864" w:themeColor="accent5" w:themeShade="80"/>
          <w:sz w:val="24"/>
          <w:szCs w:val="24"/>
        </w:rPr>
        <w:t xml:space="preserve"> </w:t>
      </w:r>
    </w:p>
    <w:p w:rsidR="00876767" w:rsidRPr="00A73102" w:rsidRDefault="00876767" w:rsidP="00876767">
      <w:pPr>
        <w:keepNext/>
        <w:ind w:left="720"/>
        <w:jc w:val="both"/>
        <w:outlineLvl w:val="0"/>
        <w:rPr>
          <w:rFonts w:ascii="Arial" w:hAnsi="Arial"/>
          <w:b/>
          <w:color w:val="1F3864" w:themeColor="accent5" w:themeShade="80"/>
          <w:sz w:val="24"/>
          <w:szCs w:val="24"/>
        </w:rPr>
      </w:pPr>
    </w:p>
    <w:p w:rsidR="00876767" w:rsidRPr="00A73102" w:rsidRDefault="00876767" w:rsidP="00876767">
      <w:pPr>
        <w:keepNext/>
        <w:jc w:val="both"/>
        <w:outlineLvl w:val="0"/>
        <w:rPr>
          <w:rFonts w:ascii="Arial" w:hAnsi="Arial"/>
          <w:b/>
          <w:color w:val="1F3864" w:themeColor="accent5" w:themeShade="80"/>
          <w:sz w:val="24"/>
          <w:szCs w:val="24"/>
        </w:rPr>
      </w:pPr>
    </w:p>
    <w:p w:rsidR="004240AA" w:rsidRPr="007F0E49" w:rsidRDefault="000E69DA" w:rsidP="005E6799">
      <w:pPr>
        <w:jc w:val="both"/>
        <w:rPr>
          <w:rFonts w:ascii="Arial" w:hAnsi="Arial"/>
          <w:sz w:val="22"/>
          <w:szCs w:val="22"/>
        </w:rPr>
      </w:pPr>
      <w:r w:rsidRPr="007F0E49">
        <w:rPr>
          <w:rFonts w:ascii="Arial" w:hAnsi="Arial"/>
          <w:b/>
          <w:sz w:val="22"/>
          <w:szCs w:val="22"/>
        </w:rPr>
        <w:t>U</w:t>
      </w:r>
      <w:r w:rsidR="00DD7D01" w:rsidRPr="007F0E49">
        <w:rPr>
          <w:rFonts w:ascii="Arial" w:hAnsi="Arial"/>
          <w:b/>
          <w:sz w:val="22"/>
          <w:szCs w:val="22"/>
        </w:rPr>
        <w:t>kupni prihodi i primici (X678</w:t>
      </w:r>
      <w:r w:rsidRPr="007F0E49">
        <w:rPr>
          <w:rFonts w:ascii="Arial" w:hAnsi="Arial"/>
          <w:b/>
          <w:sz w:val="22"/>
          <w:szCs w:val="22"/>
        </w:rPr>
        <w:t>)</w:t>
      </w:r>
      <w:r w:rsidRPr="007F0E49">
        <w:rPr>
          <w:rFonts w:ascii="Arial" w:hAnsi="Arial"/>
          <w:sz w:val="22"/>
          <w:szCs w:val="22"/>
        </w:rPr>
        <w:t xml:space="preserve"> ostvareni su u izvještajnom razdoblju u iznosu od </w:t>
      </w:r>
      <w:r w:rsidR="00DD7D01" w:rsidRPr="007F0E49">
        <w:rPr>
          <w:rFonts w:ascii="Arial" w:hAnsi="Arial"/>
          <w:sz w:val="22"/>
          <w:szCs w:val="22"/>
        </w:rPr>
        <w:t>897</w:t>
      </w:r>
      <w:r w:rsidR="00B06D81" w:rsidRPr="007F0E49">
        <w:rPr>
          <w:rFonts w:ascii="Arial" w:hAnsi="Arial"/>
          <w:sz w:val="22"/>
          <w:szCs w:val="22"/>
        </w:rPr>
        <w:t>.</w:t>
      </w:r>
      <w:r w:rsidR="00DD7D01" w:rsidRPr="007F0E49">
        <w:rPr>
          <w:rFonts w:ascii="Arial" w:hAnsi="Arial"/>
          <w:sz w:val="22"/>
          <w:szCs w:val="22"/>
        </w:rPr>
        <w:t>973</w:t>
      </w:r>
      <w:r w:rsidR="00B06D81" w:rsidRPr="007F0E49">
        <w:rPr>
          <w:rFonts w:ascii="Arial" w:hAnsi="Arial"/>
          <w:sz w:val="22"/>
          <w:szCs w:val="22"/>
        </w:rPr>
        <w:t>.</w:t>
      </w:r>
      <w:r w:rsidR="00DD7D01" w:rsidRPr="007F0E49">
        <w:rPr>
          <w:rFonts w:ascii="Arial" w:hAnsi="Arial"/>
          <w:sz w:val="22"/>
          <w:szCs w:val="22"/>
        </w:rPr>
        <w:t>680,81</w:t>
      </w:r>
      <w:r w:rsidR="00E76E2A" w:rsidRPr="007F0E49">
        <w:rPr>
          <w:rFonts w:ascii="Arial" w:hAnsi="Arial"/>
          <w:sz w:val="22"/>
          <w:szCs w:val="22"/>
        </w:rPr>
        <w:t xml:space="preserve"> kn</w:t>
      </w:r>
      <w:r w:rsidR="00692D03" w:rsidRPr="007F0E49">
        <w:rPr>
          <w:rFonts w:ascii="Arial" w:hAnsi="Arial"/>
          <w:sz w:val="22"/>
          <w:szCs w:val="22"/>
        </w:rPr>
        <w:t>,</w:t>
      </w:r>
      <w:r w:rsidR="00DD7D01" w:rsidRPr="007F0E49">
        <w:rPr>
          <w:rFonts w:ascii="Arial" w:hAnsi="Arial"/>
          <w:sz w:val="22"/>
          <w:szCs w:val="22"/>
        </w:rPr>
        <w:t xml:space="preserve"> 11,7</w:t>
      </w:r>
      <w:r w:rsidR="00E76E2A" w:rsidRPr="007F0E49">
        <w:rPr>
          <w:rFonts w:ascii="Arial" w:hAnsi="Arial"/>
          <w:sz w:val="22"/>
          <w:szCs w:val="22"/>
        </w:rPr>
        <w:t xml:space="preserve">% </w:t>
      </w:r>
      <w:r w:rsidR="00692D03" w:rsidRPr="007F0E49">
        <w:rPr>
          <w:rFonts w:ascii="Arial" w:hAnsi="Arial"/>
          <w:sz w:val="22"/>
          <w:szCs w:val="22"/>
        </w:rPr>
        <w:t xml:space="preserve">ili apsolutno iskazano, </w:t>
      </w:r>
      <w:r w:rsidR="00DD7D01" w:rsidRPr="007F0E49">
        <w:rPr>
          <w:rFonts w:ascii="Arial" w:hAnsi="Arial"/>
          <w:sz w:val="22"/>
          <w:szCs w:val="22"/>
        </w:rPr>
        <w:t>94.165.020,81</w:t>
      </w:r>
      <w:r w:rsidR="00692D03" w:rsidRPr="007F0E49">
        <w:rPr>
          <w:rFonts w:ascii="Arial" w:hAnsi="Arial"/>
          <w:sz w:val="22"/>
          <w:szCs w:val="22"/>
        </w:rPr>
        <w:t xml:space="preserve"> kn </w:t>
      </w:r>
      <w:r w:rsidR="00DD7D01" w:rsidRPr="007F0E49">
        <w:rPr>
          <w:rFonts w:ascii="Arial" w:hAnsi="Arial"/>
          <w:sz w:val="22"/>
          <w:szCs w:val="22"/>
        </w:rPr>
        <w:t>više</w:t>
      </w:r>
      <w:r w:rsidRPr="007F0E49">
        <w:rPr>
          <w:rFonts w:ascii="Arial" w:hAnsi="Arial"/>
          <w:sz w:val="22"/>
          <w:szCs w:val="22"/>
        </w:rPr>
        <w:t xml:space="preserve"> u odnosu na ostvarenje u is</w:t>
      </w:r>
      <w:r w:rsidR="00692D03" w:rsidRPr="007F0E49">
        <w:rPr>
          <w:rFonts w:ascii="Arial" w:hAnsi="Arial"/>
          <w:sz w:val="22"/>
          <w:szCs w:val="22"/>
        </w:rPr>
        <w:t>tom razdoblju prethodne godine.</w:t>
      </w:r>
      <w:r w:rsidRPr="007F0E49">
        <w:rPr>
          <w:rFonts w:ascii="Arial" w:hAnsi="Arial"/>
          <w:sz w:val="22"/>
          <w:szCs w:val="22"/>
        </w:rPr>
        <w:t xml:space="preserve"> </w:t>
      </w:r>
      <w:r w:rsidR="00911EC4" w:rsidRPr="007F0E49">
        <w:rPr>
          <w:rFonts w:ascii="Arial" w:hAnsi="Arial"/>
          <w:sz w:val="22"/>
          <w:szCs w:val="22"/>
        </w:rPr>
        <w:t xml:space="preserve">Prihodi poslovanja bilježe rast od </w:t>
      </w:r>
      <w:r w:rsidR="00DD7D01" w:rsidRPr="007F0E49">
        <w:rPr>
          <w:rFonts w:ascii="Arial" w:hAnsi="Arial"/>
          <w:sz w:val="22"/>
          <w:szCs w:val="22"/>
        </w:rPr>
        <w:t>10,7</w:t>
      </w:r>
      <w:r w:rsidR="00911EC4" w:rsidRPr="007F0E49">
        <w:rPr>
          <w:rFonts w:ascii="Arial" w:hAnsi="Arial"/>
          <w:sz w:val="22"/>
          <w:szCs w:val="22"/>
        </w:rPr>
        <w:t>%, prihodi od prodaje nefinancij</w:t>
      </w:r>
      <w:r w:rsidR="00DD7D01" w:rsidRPr="007F0E49">
        <w:rPr>
          <w:rFonts w:ascii="Arial" w:hAnsi="Arial"/>
          <w:sz w:val="22"/>
          <w:szCs w:val="22"/>
        </w:rPr>
        <w:t>ske imovine rast od 73,3</w:t>
      </w:r>
      <w:r w:rsidR="00911EC4" w:rsidRPr="007F0E49">
        <w:rPr>
          <w:rFonts w:ascii="Arial" w:hAnsi="Arial"/>
          <w:sz w:val="22"/>
          <w:szCs w:val="22"/>
        </w:rPr>
        <w:t xml:space="preserve">% dok </w:t>
      </w:r>
      <w:r w:rsidR="00AE6944" w:rsidRPr="007F0E49">
        <w:rPr>
          <w:rFonts w:ascii="Arial" w:hAnsi="Arial"/>
          <w:sz w:val="22"/>
          <w:szCs w:val="22"/>
        </w:rPr>
        <w:t>p</w:t>
      </w:r>
      <w:r w:rsidR="00A96868" w:rsidRPr="007F0E49">
        <w:rPr>
          <w:rFonts w:ascii="Arial" w:hAnsi="Arial"/>
          <w:sz w:val="22"/>
          <w:szCs w:val="22"/>
        </w:rPr>
        <w:t>rimici</w:t>
      </w:r>
      <w:r w:rsidRPr="007F0E49">
        <w:rPr>
          <w:rFonts w:ascii="Arial" w:hAnsi="Arial"/>
          <w:sz w:val="22"/>
          <w:szCs w:val="22"/>
        </w:rPr>
        <w:t xml:space="preserve"> od financijske im</w:t>
      </w:r>
      <w:r w:rsidR="00E76E2A" w:rsidRPr="007F0E49">
        <w:rPr>
          <w:rFonts w:ascii="Arial" w:hAnsi="Arial"/>
          <w:sz w:val="22"/>
          <w:szCs w:val="22"/>
        </w:rPr>
        <w:t xml:space="preserve">ovine i zaduživanja </w:t>
      </w:r>
      <w:r w:rsidR="00004D71" w:rsidRPr="007F0E49">
        <w:rPr>
          <w:rFonts w:ascii="Arial" w:hAnsi="Arial"/>
          <w:sz w:val="22"/>
          <w:szCs w:val="22"/>
        </w:rPr>
        <w:t>bilježe</w:t>
      </w:r>
      <w:r w:rsidR="00DF10F2" w:rsidRPr="007F0E49">
        <w:rPr>
          <w:rFonts w:ascii="Arial" w:hAnsi="Arial"/>
          <w:sz w:val="22"/>
          <w:szCs w:val="22"/>
        </w:rPr>
        <w:t xml:space="preserve"> </w:t>
      </w:r>
      <w:r w:rsidR="00004D71" w:rsidRPr="007F0E49">
        <w:rPr>
          <w:rFonts w:ascii="Arial" w:hAnsi="Arial"/>
          <w:sz w:val="22"/>
          <w:szCs w:val="22"/>
        </w:rPr>
        <w:t xml:space="preserve">pad od </w:t>
      </w:r>
      <w:r w:rsidR="004B16E6" w:rsidRPr="007F0E49">
        <w:rPr>
          <w:rFonts w:ascii="Arial" w:hAnsi="Arial"/>
          <w:sz w:val="22"/>
          <w:szCs w:val="22"/>
        </w:rPr>
        <w:t>25,4</w:t>
      </w:r>
      <w:r w:rsidRPr="007F0E49">
        <w:rPr>
          <w:rFonts w:ascii="Arial" w:hAnsi="Arial"/>
          <w:sz w:val="22"/>
          <w:szCs w:val="22"/>
        </w:rPr>
        <w:t>% u odnosu na ostvarenje u i</w:t>
      </w:r>
      <w:r w:rsidR="006A7C63" w:rsidRPr="007F0E49">
        <w:rPr>
          <w:rFonts w:ascii="Arial" w:hAnsi="Arial"/>
          <w:sz w:val="22"/>
          <w:szCs w:val="22"/>
        </w:rPr>
        <w:t>stom razdoblju prethodne godine</w:t>
      </w:r>
      <w:r w:rsidR="00A91E04" w:rsidRPr="007F0E49">
        <w:rPr>
          <w:rFonts w:ascii="Arial" w:hAnsi="Arial"/>
          <w:sz w:val="22"/>
          <w:szCs w:val="22"/>
        </w:rPr>
        <w:t>,</w:t>
      </w:r>
      <w:r w:rsidR="00520C3F" w:rsidRPr="007F0E49">
        <w:rPr>
          <w:rFonts w:ascii="Arial" w:hAnsi="Arial"/>
          <w:sz w:val="22"/>
          <w:szCs w:val="22"/>
        </w:rPr>
        <w:t xml:space="preserve"> najvećim dijelom</w:t>
      </w:r>
      <w:r w:rsidR="00907749" w:rsidRPr="007F0E49">
        <w:rPr>
          <w:rFonts w:ascii="Arial" w:hAnsi="Arial"/>
          <w:sz w:val="22"/>
          <w:szCs w:val="22"/>
        </w:rPr>
        <w:t xml:space="preserve"> </w:t>
      </w:r>
      <w:r w:rsidR="00A91E04" w:rsidRPr="007F0E49">
        <w:rPr>
          <w:rFonts w:ascii="Arial" w:hAnsi="Arial"/>
          <w:sz w:val="22"/>
          <w:szCs w:val="22"/>
        </w:rPr>
        <w:t xml:space="preserve">kod </w:t>
      </w:r>
      <w:r w:rsidR="00520C3F" w:rsidRPr="007F0E49">
        <w:rPr>
          <w:rFonts w:ascii="Arial" w:hAnsi="Arial"/>
          <w:sz w:val="22"/>
          <w:szCs w:val="22"/>
        </w:rPr>
        <w:t>primljenih kredita i zajmova</w:t>
      </w:r>
      <w:r w:rsidR="00A91E04" w:rsidRPr="007F0E49">
        <w:rPr>
          <w:rFonts w:ascii="Arial" w:hAnsi="Arial"/>
          <w:sz w:val="22"/>
          <w:szCs w:val="22"/>
        </w:rPr>
        <w:t xml:space="preserve"> koji su u izvještajnoj godini</w:t>
      </w:r>
      <w:r w:rsidR="003C0661" w:rsidRPr="007F0E49">
        <w:rPr>
          <w:rFonts w:ascii="Arial" w:hAnsi="Arial"/>
          <w:sz w:val="22"/>
          <w:szCs w:val="22"/>
        </w:rPr>
        <w:t xml:space="preserve"> </w:t>
      </w:r>
      <w:r w:rsidR="00E0383A" w:rsidRPr="007F0E49">
        <w:rPr>
          <w:rFonts w:ascii="Arial" w:hAnsi="Arial"/>
          <w:sz w:val="22"/>
          <w:szCs w:val="22"/>
        </w:rPr>
        <w:t>realizirani</w:t>
      </w:r>
      <w:r w:rsidR="003C0661" w:rsidRPr="007F0E49">
        <w:rPr>
          <w:rFonts w:ascii="Arial" w:hAnsi="Arial"/>
          <w:sz w:val="22"/>
          <w:szCs w:val="22"/>
        </w:rPr>
        <w:t xml:space="preserve"> </w:t>
      </w:r>
      <w:r w:rsidR="00A91E04" w:rsidRPr="007F0E49">
        <w:rPr>
          <w:rFonts w:ascii="Arial" w:hAnsi="Arial"/>
          <w:sz w:val="22"/>
          <w:szCs w:val="22"/>
        </w:rPr>
        <w:t>27,5%</w:t>
      </w:r>
      <w:r w:rsidR="003C0661" w:rsidRPr="007F0E49">
        <w:rPr>
          <w:rFonts w:ascii="Arial" w:hAnsi="Arial"/>
          <w:sz w:val="22"/>
          <w:szCs w:val="22"/>
        </w:rPr>
        <w:t xml:space="preserve"> manje</w:t>
      </w:r>
      <w:r w:rsidR="00E0383A" w:rsidRPr="007F0E49">
        <w:rPr>
          <w:rFonts w:ascii="Arial" w:hAnsi="Arial"/>
          <w:sz w:val="22"/>
          <w:szCs w:val="22"/>
        </w:rPr>
        <w:t>,</w:t>
      </w:r>
      <w:r w:rsidR="003C0661" w:rsidRPr="007F0E49">
        <w:rPr>
          <w:rFonts w:ascii="Arial" w:hAnsi="Arial"/>
          <w:sz w:val="22"/>
          <w:szCs w:val="22"/>
        </w:rPr>
        <w:t xml:space="preserve"> </w:t>
      </w:r>
      <w:r w:rsidR="00E0383A" w:rsidRPr="007F0E49">
        <w:rPr>
          <w:rFonts w:ascii="Arial" w:hAnsi="Arial"/>
          <w:sz w:val="22"/>
          <w:szCs w:val="22"/>
        </w:rPr>
        <w:t>odnosno</w:t>
      </w:r>
      <w:r w:rsidR="003C0661" w:rsidRPr="007F0E49">
        <w:rPr>
          <w:rFonts w:ascii="Arial" w:hAnsi="Arial"/>
          <w:sz w:val="22"/>
          <w:szCs w:val="22"/>
        </w:rPr>
        <w:t xml:space="preserve"> </w:t>
      </w:r>
      <w:r w:rsidR="00B822D2" w:rsidRPr="007F0E49">
        <w:rPr>
          <w:rFonts w:ascii="Arial" w:hAnsi="Arial"/>
          <w:sz w:val="22"/>
          <w:szCs w:val="22"/>
        </w:rPr>
        <w:t>8.605.357,36</w:t>
      </w:r>
      <w:r w:rsidR="003C0661" w:rsidRPr="007F0E49">
        <w:rPr>
          <w:rFonts w:ascii="Arial" w:hAnsi="Arial"/>
          <w:sz w:val="22"/>
          <w:szCs w:val="22"/>
        </w:rPr>
        <w:t xml:space="preserve"> kn</w:t>
      </w:r>
      <w:r w:rsidR="00A91E04" w:rsidRPr="007F0E49">
        <w:rPr>
          <w:rFonts w:ascii="Arial" w:hAnsi="Arial"/>
          <w:sz w:val="22"/>
          <w:szCs w:val="22"/>
        </w:rPr>
        <w:t xml:space="preserve"> </w:t>
      </w:r>
      <w:r w:rsidR="00E0383A" w:rsidRPr="007F0E49">
        <w:rPr>
          <w:rFonts w:ascii="Arial" w:hAnsi="Arial"/>
          <w:sz w:val="22"/>
          <w:szCs w:val="22"/>
        </w:rPr>
        <w:t xml:space="preserve">manje </w:t>
      </w:r>
      <w:r w:rsidR="00A91E04" w:rsidRPr="007F0E49">
        <w:rPr>
          <w:rFonts w:ascii="Arial" w:hAnsi="Arial"/>
          <w:sz w:val="22"/>
          <w:szCs w:val="22"/>
        </w:rPr>
        <w:t>u odnosu na prethodnu godinu.</w:t>
      </w:r>
      <w:r w:rsidR="001B00D6" w:rsidRPr="007F0E49">
        <w:rPr>
          <w:rFonts w:ascii="Arial" w:hAnsi="Arial"/>
          <w:sz w:val="22"/>
          <w:szCs w:val="22"/>
        </w:rPr>
        <w:t xml:space="preserve"> </w:t>
      </w:r>
    </w:p>
    <w:p w:rsidR="004240AA" w:rsidRPr="007F0E49" w:rsidRDefault="004240AA" w:rsidP="004240AA">
      <w:pPr>
        <w:jc w:val="both"/>
        <w:rPr>
          <w:rFonts w:ascii="Arial" w:hAnsi="Arial"/>
          <w:sz w:val="22"/>
          <w:szCs w:val="22"/>
        </w:rPr>
      </w:pPr>
    </w:p>
    <w:p w:rsidR="004240AA" w:rsidRPr="007F0E49" w:rsidRDefault="00B822D2" w:rsidP="004240AA">
      <w:pPr>
        <w:jc w:val="both"/>
        <w:rPr>
          <w:rFonts w:ascii="Arial" w:hAnsi="Arial"/>
          <w:sz w:val="22"/>
          <w:szCs w:val="22"/>
        </w:rPr>
      </w:pPr>
      <w:r w:rsidRPr="007F0E49">
        <w:rPr>
          <w:rFonts w:ascii="Arial" w:hAnsi="Arial"/>
          <w:b/>
          <w:sz w:val="22"/>
          <w:szCs w:val="22"/>
        </w:rPr>
        <w:t>Ukupni rashodi i izdaci (Y345</w:t>
      </w:r>
      <w:r w:rsidR="000E69DA" w:rsidRPr="007F0E49">
        <w:rPr>
          <w:rFonts w:ascii="Arial" w:hAnsi="Arial"/>
          <w:b/>
          <w:sz w:val="22"/>
          <w:szCs w:val="22"/>
        </w:rPr>
        <w:t>)</w:t>
      </w:r>
      <w:r w:rsidR="000E69DA" w:rsidRPr="007F0E49">
        <w:rPr>
          <w:rFonts w:ascii="Arial" w:hAnsi="Arial"/>
          <w:sz w:val="22"/>
          <w:szCs w:val="22"/>
        </w:rPr>
        <w:t xml:space="preserve"> </w:t>
      </w:r>
      <w:r w:rsidR="00743AE8" w:rsidRPr="007F0E49">
        <w:rPr>
          <w:rFonts w:ascii="Arial" w:hAnsi="Arial"/>
          <w:sz w:val="22"/>
          <w:szCs w:val="22"/>
        </w:rPr>
        <w:t xml:space="preserve">izvršeni </w:t>
      </w:r>
      <w:r w:rsidR="000E69DA" w:rsidRPr="007F0E49">
        <w:rPr>
          <w:rFonts w:ascii="Arial" w:hAnsi="Arial"/>
          <w:sz w:val="22"/>
          <w:szCs w:val="22"/>
        </w:rPr>
        <w:t xml:space="preserve">su u razdoblju od </w:t>
      </w:r>
      <w:r w:rsidRPr="007F0E49">
        <w:rPr>
          <w:rFonts w:ascii="Arial" w:hAnsi="Arial"/>
          <w:sz w:val="22"/>
          <w:szCs w:val="22"/>
        </w:rPr>
        <w:t>1. siječnja do 31. prosinca 2022</w:t>
      </w:r>
      <w:r w:rsidR="000E69DA" w:rsidRPr="007F0E49">
        <w:rPr>
          <w:rFonts w:ascii="Arial" w:hAnsi="Arial"/>
          <w:sz w:val="22"/>
          <w:szCs w:val="22"/>
        </w:rPr>
        <w:t xml:space="preserve">. godine u iznosu od </w:t>
      </w:r>
      <w:r w:rsidRPr="007F0E49">
        <w:rPr>
          <w:rFonts w:ascii="Arial" w:hAnsi="Arial"/>
          <w:sz w:val="22"/>
          <w:szCs w:val="22"/>
        </w:rPr>
        <w:t>806.110.136,68</w:t>
      </w:r>
      <w:r w:rsidR="000E69DA" w:rsidRPr="007F0E49">
        <w:rPr>
          <w:rFonts w:ascii="Arial" w:hAnsi="Arial"/>
          <w:sz w:val="22"/>
          <w:szCs w:val="22"/>
        </w:rPr>
        <w:t xml:space="preserve"> kn. U odnosu na prethodn</w:t>
      </w:r>
      <w:r w:rsidR="00743AE8" w:rsidRPr="007F0E49">
        <w:rPr>
          <w:rFonts w:ascii="Arial" w:hAnsi="Arial"/>
          <w:sz w:val="22"/>
          <w:szCs w:val="22"/>
        </w:rPr>
        <w:t>u</w:t>
      </w:r>
      <w:r w:rsidR="000E69DA" w:rsidRPr="007F0E49">
        <w:rPr>
          <w:rFonts w:ascii="Arial" w:hAnsi="Arial"/>
          <w:sz w:val="22"/>
          <w:szCs w:val="22"/>
        </w:rPr>
        <w:t xml:space="preserve"> godin</w:t>
      </w:r>
      <w:r w:rsidR="00743AE8" w:rsidRPr="007F0E49">
        <w:rPr>
          <w:rFonts w:ascii="Arial" w:hAnsi="Arial"/>
          <w:sz w:val="22"/>
          <w:szCs w:val="22"/>
        </w:rPr>
        <w:t>u</w:t>
      </w:r>
      <w:r w:rsidR="000E69DA" w:rsidRPr="007F0E49">
        <w:rPr>
          <w:rFonts w:ascii="Arial" w:hAnsi="Arial"/>
          <w:sz w:val="22"/>
          <w:szCs w:val="22"/>
        </w:rPr>
        <w:t xml:space="preserve"> </w:t>
      </w:r>
      <w:r w:rsidRPr="007F0E49">
        <w:rPr>
          <w:rFonts w:ascii="Arial" w:hAnsi="Arial"/>
          <w:sz w:val="22"/>
          <w:szCs w:val="22"/>
        </w:rPr>
        <w:t xml:space="preserve">više su </w:t>
      </w:r>
      <w:r w:rsidR="00743AE8" w:rsidRPr="007F0E49">
        <w:rPr>
          <w:rFonts w:ascii="Arial" w:hAnsi="Arial"/>
          <w:sz w:val="22"/>
          <w:szCs w:val="22"/>
        </w:rPr>
        <w:t>izvršeni</w:t>
      </w:r>
      <w:r w:rsidR="000E69DA" w:rsidRPr="007F0E49">
        <w:rPr>
          <w:rFonts w:ascii="Arial" w:hAnsi="Arial"/>
          <w:sz w:val="22"/>
          <w:szCs w:val="22"/>
        </w:rPr>
        <w:t xml:space="preserve"> za </w:t>
      </w:r>
      <w:r w:rsidRPr="007F0E49">
        <w:rPr>
          <w:rFonts w:ascii="Arial" w:hAnsi="Arial"/>
          <w:sz w:val="22"/>
          <w:szCs w:val="22"/>
        </w:rPr>
        <w:t>43.103.440,68 kn ili 5,6</w:t>
      </w:r>
      <w:r w:rsidR="000E69DA" w:rsidRPr="007F0E49">
        <w:rPr>
          <w:rFonts w:ascii="Arial" w:hAnsi="Arial"/>
          <w:sz w:val="22"/>
          <w:szCs w:val="22"/>
        </w:rPr>
        <w:t>%. U strukturi ostvarenja ukupnih rasho</w:t>
      </w:r>
      <w:r w:rsidR="00D021C7" w:rsidRPr="007F0E49">
        <w:rPr>
          <w:rFonts w:ascii="Arial" w:hAnsi="Arial"/>
          <w:sz w:val="22"/>
          <w:szCs w:val="22"/>
        </w:rPr>
        <w:t xml:space="preserve">da i izdataka rast je zabilježen kod </w:t>
      </w:r>
      <w:r w:rsidRPr="007F0E49">
        <w:rPr>
          <w:rFonts w:ascii="Arial" w:hAnsi="Arial"/>
          <w:sz w:val="22"/>
          <w:szCs w:val="22"/>
        </w:rPr>
        <w:t xml:space="preserve">rashoda poslovanja 7,6% i kod </w:t>
      </w:r>
      <w:r w:rsidR="00D021C7" w:rsidRPr="007F0E49">
        <w:rPr>
          <w:rFonts w:ascii="Arial" w:hAnsi="Arial"/>
          <w:sz w:val="22"/>
          <w:szCs w:val="22"/>
        </w:rPr>
        <w:t>izda</w:t>
      </w:r>
      <w:r w:rsidRPr="007F0E49">
        <w:rPr>
          <w:rFonts w:ascii="Arial" w:hAnsi="Arial"/>
          <w:sz w:val="22"/>
          <w:szCs w:val="22"/>
        </w:rPr>
        <w:t xml:space="preserve">taka za financijsku imovinu </w:t>
      </w:r>
      <w:r w:rsidR="00D021C7" w:rsidRPr="007F0E49">
        <w:rPr>
          <w:rFonts w:ascii="Arial" w:hAnsi="Arial"/>
          <w:sz w:val="22"/>
          <w:szCs w:val="22"/>
        </w:rPr>
        <w:t xml:space="preserve">za </w:t>
      </w:r>
      <w:r w:rsidRPr="007F0E49">
        <w:rPr>
          <w:rFonts w:ascii="Arial" w:hAnsi="Arial"/>
          <w:sz w:val="22"/>
          <w:szCs w:val="22"/>
        </w:rPr>
        <w:t>58,6</w:t>
      </w:r>
      <w:r w:rsidR="00D021C7" w:rsidRPr="007F0E49">
        <w:rPr>
          <w:rFonts w:ascii="Arial" w:hAnsi="Arial"/>
          <w:sz w:val="22"/>
          <w:szCs w:val="22"/>
        </w:rPr>
        <w:t xml:space="preserve">%. </w:t>
      </w:r>
      <w:r w:rsidRPr="007F0E49">
        <w:rPr>
          <w:rFonts w:ascii="Arial" w:hAnsi="Arial"/>
          <w:sz w:val="22"/>
          <w:szCs w:val="22"/>
        </w:rPr>
        <w:t>Rashodi za nabavu nefinancijske imovine bilježe</w:t>
      </w:r>
      <w:r w:rsidR="00D021C7" w:rsidRPr="007F0E49">
        <w:rPr>
          <w:rFonts w:ascii="Arial" w:hAnsi="Arial"/>
          <w:sz w:val="22"/>
          <w:szCs w:val="22"/>
        </w:rPr>
        <w:t xml:space="preserve"> pad od </w:t>
      </w:r>
      <w:r w:rsidRPr="007F0E49">
        <w:rPr>
          <w:rFonts w:ascii="Arial" w:hAnsi="Arial"/>
          <w:sz w:val="22"/>
          <w:szCs w:val="22"/>
        </w:rPr>
        <w:t>25,4</w:t>
      </w:r>
      <w:r w:rsidR="00D021C7" w:rsidRPr="007F0E49">
        <w:rPr>
          <w:rFonts w:ascii="Arial" w:hAnsi="Arial"/>
          <w:sz w:val="22"/>
          <w:szCs w:val="22"/>
        </w:rPr>
        <w:t>%</w:t>
      </w:r>
      <w:r w:rsidR="000E69DA" w:rsidRPr="007F0E49">
        <w:rPr>
          <w:rFonts w:ascii="Arial" w:hAnsi="Arial"/>
          <w:sz w:val="22"/>
          <w:szCs w:val="22"/>
        </w:rPr>
        <w:t xml:space="preserve"> </w:t>
      </w:r>
      <w:r w:rsidRPr="007F0E49">
        <w:rPr>
          <w:rFonts w:ascii="Arial" w:hAnsi="Arial"/>
          <w:sz w:val="22"/>
          <w:szCs w:val="22"/>
        </w:rPr>
        <w:t>.</w:t>
      </w:r>
    </w:p>
    <w:p w:rsidR="004240AA" w:rsidRPr="007F0E49" w:rsidRDefault="004240AA" w:rsidP="004240AA">
      <w:pPr>
        <w:jc w:val="both"/>
        <w:rPr>
          <w:rFonts w:ascii="Arial" w:hAnsi="Arial"/>
          <w:sz w:val="22"/>
          <w:szCs w:val="22"/>
        </w:rPr>
      </w:pPr>
    </w:p>
    <w:p w:rsidR="000E69DA" w:rsidRPr="007F0E49" w:rsidRDefault="00E76E2A" w:rsidP="004240AA">
      <w:pPr>
        <w:jc w:val="both"/>
        <w:rPr>
          <w:rFonts w:ascii="Arial" w:hAnsi="Arial"/>
          <w:sz w:val="22"/>
          <w:szCs w:val="22"/>
        </w:rPr>
      </w:pPr>
      <w:r w:rsidRPr="007F0E49">
        <w:rPr>
          <w:rFonts w:ascii="Arial" w:hAnsi="Arial"/>
          <w:sz w:val="22"/>
          <w:szCs w:val="22"/>
        </w:rPr>
        <w:t>U nastavku je</w:t>
      </w:r>
      <w:r w:rsidR="000E69DA" w:rsidRPr="007F0E49">
        <w:rPr>
          <w:rFonts w:ascii="Arial" w:hAnsi="Arial"/>
          <w:sz w:val="22"/>
          <w:szCs w:val="22"/>
        </w:rPr>
        <w:t xml:space="preserve"> tabelarno prikazana usporedba ostvarenja ukupnih prihoda i primitaka te ukupnih rashoda i izdataka Grada Rijeke u razdoblju zadnje dvije izvještajne godine.</w:t>
      </w:r>
    </w:p>
    <w:p w:rsidR="004240AA" w:rsidRPr="00A73102" w:rsidRDefault="004240AA" w:rsidP="008648BA">
      <w:pPr>
        <w:rPr>
          <w:rFonts w:ascii="Arial" w:hAnsi="Arial"/>
        </w:rPr>
      </w:pPr>
    </w:p>
    <w:p w:rsidR="00A65498" w:rsidRPr="00A73102" w:rsidRDefault="00A65498" w:rsidP="008648BA">
      <w:pPr>
        <w:rPr>
          <w:rFonts w:ascii="Arial" w:hAnsi="Arial"/>
        </w:rPr>
      </w:pPr>
    </w:p>
    <w:p w:rsidR="007B4802" w:rsidRDefault="000E69DA" w:rsidP="007B4802">
      <w:pPr>
        <w:rPr>
          <w:rFonts w:ascii="Arial" w:hAnsi="Arial"/>
          <w:sz w:val="16"/>
          <w:szCs w:val="16"/>
        </w:rPr>
      </w:pPr>
      <w:r w:rsidRPr="00A73102">
        <w:rPr>
          <w:rFonts w:ascii="Arial" w:hAnsi="Arial"/>
        </w:rPr>
        <w:t xml:space="preserve">Tablica </w:t>
      </w:r>
      <w:r w:rsidR="00A22F0F" w:rsidRPr="00A73102">
        <w:rPr>
          <w:rFonts w:ascii="Arial" w:hAnsi="Arial"/>
        </w:rPr>
        <w:t>5</w:t>
      </w:r>
      <w:r w:rsidRPr="00A73102">
        <w:rPr>
          <w:rFonts w:ascii="Arial" w:hAnsi="Arial"/>
        </w:rPr>
        <w:t xml:space="preserve">. Ukupni prihodi </w:t>
      </w:r>
      <w:r w:rsidR="00B822D2" w:rsidRPr="00A73102">
        <w:rPr>
          <w:rFonts w:ascii="Arial" w:hAnsi="Arial"/>
        </w:rPr>
        <w:t>i primici, rashodi i izdaci 2021</w:t>
      </w:r>
      <w:r w:rsidR="00B71FF6" w:rsidRPr="00A73102">
        <w:rPr>
          <w:rFonts w:ascii="Arial" w:hAnsi="Arial"/>
        </w:rPr>
        <w:t xml:space="preserve">. i </w:t>
      </w:r>
      <w:r w:rsidR="00B822D2" w:rsidRPr="00A73102">
        <w:rPr>
          <w:rFonts w:ascii="Arial" w:hAnsi="Arial"/>
        </w:rPr>
        <w:t>2022</w:t>
      </w:r>
      <w:r w:rsidRPr="00A73102">
        <w:rPr>
          <w:rFonts w:ascii="Arial" w:hAnsi="Arial"/>
        </w:rPr>
        <w:t xml:space="preserve">.godine </w:t>
      </w:r>
      <w:r w:rsidR="008648BA" w:rsidRPr="00A73102">
        <w:rPr>
          <w:rFonts w:ascii="Arial" w:hAnsi="Arial"/>
        </w:rPr>
        <w:tab/>
      </w:r>
      <w:r w:rsidR="007F6A1D" w:rsidRPr="00A73102">
        <w:rPr>
          <w:rFonts w:ascii="Arial" w:hAnsi="Arial"/>
        </w:rPr>
        <w:tab/>
      </w:r>
      <w:r w:rsidR="007F6A1D" w:rsidRPr="00A73102">
        <w:rPr>
          <w:rFonts w:ascii="Arial" w:hAnsi="Arial"/>
        </w:rPr>
        <w:tab/>
      </w:r>
      <w:r w:rsidR="007F6A1D" w:rsidRPr="00A73102">
        <w:rPr>
          <w:rFonts w:ascii="Arial" w:hAnsi="Arial"/>
        </w:rPr>
        <w:tab/>
      </w:r>
      <w:r w:rsidR="007F6A1D" w:rsidRPr="00A73102">
        <w:rPr>
          <w:rFonts w:ascii="Arial" w:hAnsi="Arial"/>
          <w:sz w:val="16"/>
          <w:szCs w:val="16"/>
        </w:rPr>
        <w:t xml:space="preserve">     </w:t>
      </w:r>
    </w:p>
    <w:p w:rsidR="008648BA" w:rsidRPr="007B4802" w:rsidRDefault="007B4802" w:rsidP="007B4802">
      <w:pPr>
        <w:jc w:val="both"/>
        <w:rPr>
          <w:rFonts w:ascii="Arial" w:hAnsi="Arial"/>
          <w:sz w:val="16"/>
          <w:szCs w:val="16"/>
        </w:rPr>
      </w:pP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sidR="007F6A1D" w:rsidRPr="007B4802">
        <w:rPr>
          <w:rFonts w:ascii="Arial" w:hAnsi="Arial"/>
          <w:i/>
          <w:sz w:val="16"/>
          <w:szCs w:val="16"/>
        </w:rPr>
        <w:t>u kn</w:t>
      </w:r>
      <w:r w:rsidR="00A4291C">
        <w:rPr>
          <w:lang w:eastAsia="en-US"/>
        </w:rPr>
        <w:object w:dxaOrig="1440" w:dyaOrig="1440" w14:anchorId="3C7A5D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3pt;margin-top:6.95pt;width:510.2pt;height:263.95pt;z-index:251659264;mso-position-horizontal-relative:text;mso-position-vertical-relative:text">
            <v:imagedata r:id="rId15" o:title=""/>
          </v:shape>
          <o:OLEObject Type="Embed" ProgID="Excel.Sheet.8" ShapeID="_x0000_s1028" DrawAspect="Content" ObjectID="_1738045961" r:id="rId16"/>
        </w:object>
      </w:r>
      <w:r w:rsidR="00B52917" w:rsidRPr="00A73102">
        <w:rPr>
          <w:rFonts w:ascii="Arial" w:hAnsi="Arial"/>
        </w:rPr>
        <w:tab/>
      </w:r>
      <w:r w:rsidR="00B52917" w:rsidRPr="00A73102">
        <w:rPr>
          <w:rFonts w:ascii="Arial" w:hAnsi="Arial"/>
        </w:rPr>
        <w:tab/>
      </w:r>
      <w:r w:rsidR="00B52917" w:rsidRPr="00A73102">
        <w:rPr>
          <w:rFonts w:ascii="Arial" w:hAnsi="Arial"/>
        </w:rPr>
        <w:tab/>
      </w:r>
      <w:r w:rsidR="00B52917" w:rsidRPr="00A73102">
        <w:rPr>
          <w:rFonts w:ascii="Arial" w:hAnsi="Arial"/>
        </w:rPr>
        <w:tab/>
      </w:r>
      <w:r w:rsidR="00B52917" w:rsidRPr="00A73102">
        <w:rPr>
          <w:rFonts w:ascii="Arial" w:hAnsi="Arial"/>
        </w:rPr>
        <w:tab/>
      </w:r>
      <w:r w:rsidR="00B52917" w:rsidRPr="00A73102">
        <w:rPr>
          <w:rFonts w:ascii="Arial" w:hAnsi="Arial"/>
        </w:rPr>
        <w:tab/>
      </w:r>
      <w:r w:rsidR="00B52917" w:rsidRPr="00A73102">
        <w:rPr>
          <w:rFonts w:ascii="Arial" w:hAnsi="Arial"/>
        </w:rPr>
        <w:tab/>
      </w:r>
      <w:r w:rsidR="00B52917" w:rsidRPr="00A73102">
        <w:rPr>
          <w:rFonts w:ascii="Arial" w:hAnsi="Arial"/>
        </w:rPr>
        <w:tab/>
      </w:r>
      <w:r w:rsidR="004240AA" w:rsidRPr="00A73102">
        <w:rPr>
          <w:rFonts w:ascii="Arial" w:hAnsi="Arial"/>
        </w:rPr>
        <w:tab/>
      </w:r>
      <w:r w:rsidR="00B52917" w:rsidRPr="00A73102">
        <w:rPr>
          <w:rFonts w:ascii="Arial" w:hAnsi="Arial"/>
        </w:rPr>
        <w:tab/>
      </w:r>
      <w:r w:rsidR="008648BA" w:rsidRPr="00A73102">
        <w:rPr>
          <w:rFonts w:ascii="Arial" w:hAnsi="Arial"/>
        </w:rPr>
        <w:tab/>
      </w:r>
      <w:r w:rsidR="008648BA" w:rsidRPr="00A73102">
        <w:rPr>
          <w:rFonts w:ascii="Arial" w:hAnsi="Arial"/>
        </w:rPr>
        <w:tab/>
      </w:r>
      <w:r w:rsidR="008648BA" w:rsidRPr="00A73102">
        <w:rPr>
          <w:rFonts w:ascii="Arial" w:hAnsi="Arial"/>
        </w:rPr>
        <w:tab/>
      </w:r>
      <w:r w:rsidR="000E69DA" w:rsidRPr="00A73102">
        <w:rPr>
          <w:rFonts w:ascii="Arial" w:hAnsi="Arial"/>
          <w:sz w:val="18"/>
          <w:szCs w:val="18"/>
        </w:rPr>
        <w:tab/>
      </w:r>
    </w:p>
    <w:p w:rsidR="000E69DA" w:rsidRPr="00A73102" w:rsidRDefault="000E69DA" w:rsidP="008648BA">
      <w:pPr>
        <w:rPr>
          <w:rFonts w:ascii="Arial" w:hAnsi="Arial"/>
          <w:sz w:val="18"/>
          <w:szCs w:val="18"/>
        </w:rPr>
      </w:pPr>
    </w:p>
    <w:p w:rsidR="000E69DA" w:rsidRPr="00A73102" w:rsidRDefault="000E69DA" w:rsidP="000E69DA">
      <w:pPr>
        <w:jc w:val="both"/>
      </w:pPr>
    </w:p>
    <w:p w:rsidR="000E69DA" w:rsidRPr="00A73102" w:rsidRDefault="000E69DA" w:rsidP="000E69DA">
      <w:pPr>
        <w:jc w:val="both"/>
      </w:pPr>
    </w:p>
    <w:p w:rsidR="000E69DA" w:rsidRPr="00A73102" w:rsidRDefault="000E69DA" w:rsidP="000E69DA">
      <w:pPr>
        <w:jc w:val="both"/>
      </w:pPr>
    </w:p>
    <w:p w:rsidR="000E69DA" w:rsidRPr="00A73102" w:rsidRDefault="000E69DA" w:rsidP="000E69DA">
      <w:pPr>
        <w:jc w:val="both"/>
      </w:pPr>
    </w:p>
    <w:p w:rsidR="000E69DA" w:rsidRPr="00A73102" w:rsidRDefault="000E69DA" w:rsidP="000E69DA">
      <w:pPr>
        <w:jc w:val="both"/>
      </w:pPr>
    </w:p>
    <w:p w:rsidR="000E69DA" w:rsidRPr="00A73102" w:rsidRDefault="000E69DA" w:rsidP="000E69DA">
      <w:pPr>
        <w:jc w:val="both"/>
      </w:pPr>
    </w:p>
    <w:p w:rsidR="000E69DA" w:rsidRPr="00A73102" w:rsidRDefault="000E69DA" w:rsidP="000E69DA">
      <w:pPr>
        <w:jc w:val="both"/>
      </w:pPr>
    </w:p>
    <w:p w:rsidR="000E69DA" w:rsidRPr="00A73102" w:rsidRDefault="000E69DA" w:rsidP="000E69DA">
      <w:pPr>
        <w:jc w:val="both"/>
      </w:pPr>
    </w:p>
    <w:p w:rsidR="000E69DA" w:rsidRPr="00A73102" w:rsidRDefault="001E236E" w:rsidP="001E236E">
      <w:pPr>
        <w:tabs>
          <w:tab w:val="left" w:pos="8942"/>
        </w:tabs>
        <w:jc w:val="both"/>
      </w:pPr>
      <w:r w:rsidRPr="00A73102">
        <w:tab/>
      </w:r>
    </w:p>
    <w:p w:rsidR="000E69DA" w:rsidRPr="00A73102" w:rsidRDefault="000E69DA" w:rsidP="000E69DA">
      <w:pPr>
        <w:jc w:val="both"/>
      </w:pPr>
    </w:p>
    <w:p w:rsidR="000E69DA" w:rsidRPr="00A73102" w:rsidRDefault="000E69DA" w:rsidP="000E69DA">
      <w:pPr>
        <w:jc w:val="both"/>
      </w:pPr>
    </w:p>
    <w:p w:rsidR="000E69DA" w:rsidRPr="00A73102" w:rsidRDefault="000E69DA" w:rsidP="000E69DA">
      <w:pPr>
        <w:jc w:val="both"/>
      </w:pPr>
    </w:p>
    <w:p w:rsidR="000E69DA" w:rsidRPr="00A73102" w:rsidRDefault="000E69DA" w:rsidP="000E69DA">
      <w:pPr>
        <w:jc w:val="both"/>
      </w:pPr>
    </w:p>
    <w:p w:rsidR="000E69DA" w:rsidRPr="00A73102" w:rsidRDefault="000E69DA" w:rsidP="000E69DA">
      <w:pPr>
        <w:jc w:val="both"/>
      </w:pPr>
    </w:p>
    <w:p w:rsidR="00D4590D" w:rsidRPr="00A73102" w:rsidRDefault="00D4590D" w:rsidP="001E2EF1">
      <w:pPr>
        <w:jc w:val="both"/>
        <w:rPr>
          <w:rFonts w:ascii="Arial" w:hAnsi="Arial" w:cs="Arial"/>
          <w:i/>
          <w:sz w:val="16"/>
          <w:szCs w:val="16"/>
        </w:rPr>
      </w:pPr>
    </w:p>
    <w:p w:rsidR="00D4590D" w:rsidRPr="00A73102" w:rsidRDefault="00D4590D" w:rsidP="001E2EF1">
      <w:pPr>
        <w:jc w:val="both"/>
        <w:rPr>
          <w:rFonts w:ascii="Arial" w:hAnsi="Arial" w:cs="Arial"/>
          <w:i/>
          <w:sz w:val="16"/>
          <w:szCs w:val="16"/>
        </w:rPr>
      </w:pPr>
    </w:p>
    <w:p w:rsidR="000553CC" w:rsidRPr="00A73102" w:rsidRDefault="000553CC" w:rsidP="001E2EF1">
      <w:pPr>
        <w:jc w:val="both"/>
        <w:rPr>
          <w:rFonts w:ascii="Arial" w:hAnsi="Arial" w:cs="Arial"/>
          <w:i/>
          <w:sz w:val="16"/>
          <w:szCs w:val="16"/>
        </w:rPr>
      </w:pPr>
    </w:p>
    <w:p w:rsidR="000553CC" w:rsidRPr="00A73102" w:rsidRDefault="000553CC" w:rsidP="001E2EF1">
      <w:pPr>
        <w:jc w:val="both"/>
        <w:rPr>
          <w:rFonts w:ascii="Arial" w:hAnsi="Arial" w:cs="Arial"/>
          <w:i/>
          <w:sz w:val="16"/>
          <w:szCs w:val="16"/>
        </w:rPr>
      </w:pPr>
    </w:p>
    <w:p w:rsidR="000553CC" w:rsidRPr="00A73102" w:rsidRDefault="000553CC" w:rsidP="001E2EF1">
      <w:pPr>
        <w:jc w:val="both"/>
        <w:rPr>
          <w:rFonts w:ascii="Arial" w:hAnsi="Arial" w:cs="Arial"/>
          <w:i/>
          <w:sz w:val="16"/>
          <w:szCs w:val="16"/>
        </w:rPr>
      </w:pPr>
    </w:p>
    <w:p w:rsidR="000553CC" w:rsidRPr="00A73102" w:rsidRDefault="000553CC" w:rsidP="001E2EF1">
      <w:pPr>
        <w:jc w:val="both"/>
        <w:rPr>
          <w:rFonts w:ascii="Arial" w:hAnsi="Arial" w:cs="Arial"/>
          <w:i/>
          <w:sz w:val="16"/>
          <w:szCs w:val="16"/>
        </w:rPr>
      </w:pPr>
    </w:p>
    <w:p w:rsidR="000553CC" w:rsidRPr="00A73102" w:rsidRDefault="000553CC" w:rsidP="001E2EF1">
      <w:pPr>
        <w:jc w:val="both"/>
        <w:rPr>
          <w:rFonts w:ascii="Arial" w:hAnsi="Arial" w:cs="Arial"/>
          <w:i/>
          <w:sz w:val="16"/>
          <w:szCs w:val="16"/>
        </w:rPr>
      </w:pPr>
    </w:p>
    <w:p w:rsidR="00085FFC" w:rsidRPr="00A73102" w:rsidRDefault="00085FFC" w:rsidP="001E2EF1">
      <w:pPr>
        <w:jc w:val="both"/>
        <w:rPr>
          <w:rFonts w:ascii="Arial" w:hAnsi="Arial" w:cs="Arial"/>
          <w:i/>
          <w:sz w:val="16"/>
          <w:szCs w:val="16"/>
        </w:rPr>
      </w:pPr>
    </w:p>
    <w:p w:rsidR="00414D86" w:rsidRPr="00A73102" w:rsidRDefault="000E69DA" w:rsidP="00915268">
      <w:pPr>
        <w:jc w:val="both"/>
        <w:rPr>
          <w:rFonts w:ascii="Arial" w:hAnsi="Arial" w:cs="Arial"/>
          <w:i/>
          <w:sz w:val="16"/>
          <w:szCs w:val="16"/>
        </w:rPr>
      </w:pPr>
      <w:r w:rsidRPr="00A73102">
        <w:rPr>
          <w:rFonts w:ascii="Arial" w:hAnsi="Arial" w:cs="Arial"/>
          <w:i/>
          <w:sz w:val="16"/>
          <w:szCs w:val="16"/>
        </w:rPr>
        <w:t xml:space="preserve">Napomena: U izvještajnom razdoblju ostvaren je tekući višak u iznosu od </w:t>
      </w:r>
      <w:r w:rsidR="00414D86" w:rsidRPr="00A73102">
        <w:rPr>
          <w:rFonts w:ascii="Arial" w:hAnsi="Arial" w:cs="Arial"/>
          <w:i/>
          <w:sz w:val="16"/>
          <w:szCs w:val="16"/>
        </w:rPr>
        <w:t>91.863.544,13</w:t>
      </w:r>
      <w:r w:rsidR="00E76E2A" w:rsidRPr="00A73102">
        <w:rPr>
          <w:rFonts w:ascii="Arial" w:hAnsi="Arial" w:cs="Arial"/>
          <w:i/>
          <w:sz w:val="16"/>
          <w:szCs w:val="16"/>
        </w:rPr>
        <w:t xml:space="preserve"> </w:t>
      </w:r>
      <w:r w:rsidRPr="00A73102">
        <w:rPr>
          <w:rFonts w:ascii="Arial" w:hAnsi="Arial" w:cs="Arial"/>
          <w:i/>
          <w:sz w:val="16"/>
          <w:szCs w:val="16"/>
        </w:rPr>
        <w:t xml:space="preserve">kn te je na dan </w:t>
      </w:r>
      <w:r w:rsidR="00085FFC" w:rsidRPr="00A73102">
        <w:rPr>
          <w:rFonts w:ascii="Arial" w:hAnsi="Arial" w:cs="Arial"/>
          <w:i/>
          <w:sz w:val="16"/>
          <w:szCs w:val="16"/>
        </w:rPr>
        <w:t>bilance ukupan manjak prihoda i</w:t>
      </w:r>
      <w:r w:rsidR="00915268" w:rsidRPr="00A73102">
        <w:rPr>
          <w:rFonts w:ascii="Arial" w:hAnsi="Arial" w:cs="Arial"/>
          <w:i/>
          <w:sz w:val="16"/>
          <w:szCs w:val="16"/>
        </w:rPr>
        <w:t xml:space="preserve"> </w:t>
      </w:r>
      <w:r w:rsidRPr="00A73102">
        <w:rPr>
          <w:rFonts w:ascii="Arial" w:hAnsi="Arial" w:cs="Arial"/>
          <w:i/>
          <w:sz w:val="16"/>
          <w:szCs w:val="16"/>
        </w:rPr>
        <w:t xml:space="preserve">primitaka za pokriće u slijedećem razdoblju utvrđen u iznosu </w:t>
      </w:r>
      <w:r w:rsidR="00414D86" w:rsidRPr="00A73102">
        <w:rPr>
          <w:rFonts w:ascii="Arial" w:hAnsi="Arial" w:cs="Arial"/>
          <w:i/>
          <w:sz w:val="16"/>
          <w:szCs w:val="16"/>
        </w:rPr>
        <w:t>7.085.094,11</w:t>
      </w:r>
      <w:r w:rsidRPr="00A73102">
        <w:rPr>
          <w:rFonts w:ascii="Arial" w:hAnsi="Arial" w:cs="Arial"/>
          <w:i/>
          <w:sz w:val="16"/>
          <w:szCs w:val="16"/>
        </w:rPr>
        <w:t xml:space="preserve"> kn (sastoji se od prenesenog manjka iz prethodne godine u iznosu </w:t>
      </w:r>
      <w:r w:rsidR="00414D86" w:rsidRPr="00A73102">
        <w:rPr>
          <w:rFonts w:ascii="Arial" w:hAnsi="Arial" w:cs="Arial"/>
          <w:i/>
          <w:sz w:val="16"/>
          <w:szCs w:val="16"/>
        </w:rPr>
        <w:t>98.948.638,24 kn umanjenog za višak prihoda i primitaka tekućeg razdoblja u iznosu 91.863.544,13 kn).</w:t>
      </w:r>
    </w:p>
    <w:p w:rsidR="000553CC" w:rsidRPr="00A73102" w:rsidRDefault="000553CC" w:rsidP="001E2EF1">
      <w:pPr>
        <w:jc w:val="both"/>
        <w:rPr>
          <w:rFonts w:ascii="Arial" w:hAnsi="Arial" w:cs="Arial"/>
          <w:i/>
          <w:sz w:val="16"/>
          <w:szCs w:val="16"/>
        </w:rPr>
      </w:pPr>
    </w:p>
    <w:p w:rsidR="000E69DA" w:rsidRPr="00A73102" w:rsidRDefault="000E69DA" w:rsidP="000E69DA">
      <w:pPr>
        <w:tabs>
          <w:tab w:val="left" w:pos="284"/>
          <w:tab w:val="left" w:pos="567"/>
          <w:tab w:val="left" w:pos="851"/>
        </w:tabs>
        <w:jc w:val="both"/>
        <w:rPr>
          <w:b/>
        </w:rPr>
      </w:pPr>
    </w:p>
    <w:p w:rsidR="000E69DA" w:rsidRPr="007F0E49" w:rsidRDefault="002E31B3" w:rsidP="000E69DA">
      <w:pPr>
        <w:tabs>
          <w:tab w:val="left" w:pos="284"/>
          <w:tab w:val="left" w:pos="567"/>
          <w:tab w:val="left" w:pos="851"/>
        </w:tabs>
        <w:ind w:left="1440" w:hanging="1440"/>
        <w:jc w:val="both"/>
        <w:rPr>
          <w:rFonts w:ascii="Arial" w:hAnsi="Arial" w:cs="Arial"/>
          <w:sz w:val="22"/>
          <w:szCs w:val="22"/>
        </w:rPr>
      </w:pPr>
      <w:r w:rsidRPr="007F0E49">
        <w:rPr>
          <w:rFonts w:ascii="Arial" w:hAnsi="Arial" w:cs="Arial"/>
          <w:b/>
          <w:sz w:val="22"/>
          <w:szCs w:val="22"/>
        </w:rPr>
        <w:t>Bilješka broj 12</w:t>
      </w:r>
      <w:r w:rsidR="000E69DA" w:rsidRPr="007F0E49">
        <w:rPr>
          <w:rFonts w:ascii="Arial" w:hAnsi="Arial" w:cs="Arial"/>
          <w:b/>
          <w:sz w:val="22"/>
          <w:szCs w:val="22"/>
        </w:rPr>
        <w:t xml:space="preserve"> –</w:t>
      </w:r>
      <w:r w:rsidR="00C14104" w:rsidRPr="007F0E49">
        <w:rPr>
          <w:rFonts w:ascii="Arial" w:hAnsi="Arial" w:cs="Arial"/>
          <w:b/>
          <w:sz w:val="22"/>
          <w:szCs w:val="22"/>
        </w:rPr>
        <w:t xml:space="preserve"> 6</w:t>
      </w:r>
      <w:r w:rsidR="000E69DA" w:rsidRPr="007F0E49">
        <w:rPr>
          <w:rFonts w:ascii="Arial" w:hAnsi="Arial" w:cs="Arial"/>
          <w:b/>
          <w:sz w:val="22"/>
          <w:szCs w:val="22"/>
        </w:rPr>
        <w:t xml:space="preserve"> </w:t>
      </w:r>
      <w:r w:rsidR="00C31ECC" w:rsidRPr="007F0E49">
        <w:rPr>
          <w:rFonts w:ascii="Arial" w:hAnsi="Arial" w:cs="Arial"/>
          <w:b/>
          <w:sz w:val="22"/>
          <w:szCs w:val="22"/>
        </w:rPr>
        <w:t xml:space="preserve"> </w:t>
      </w:r>
      <w:r w:rsidR="000E69DA" w:rsidRPr="007F0E49">
        <w:rPr>
          <w:rFonts w:ascii="Arial" w:hAnsi="Arial" w:cs="Arial"/>
          <w:b/>
          <w:sz w:val="22"/>
          <w:szCs w:val="22"/>
        </w:rPr>
        <w:t>PRIHODI POSLOVANJA</w:t>
      </w:r>
      <w:r w:rsidR="006A6A68" w:rsidRPr="007F0E49">
        <w:rPr>
          <w:rFonts w:ascii="Arial" w:hAnsi="Arial" w:cs="Arial"/>
          <w:b/>
          <w:sz w:val="22"/>
          <w:szCs w:val="22"/>
        </w:rPr>
        <w:t xml:space="preserve">                                             </w:t>
      </w:r>
    </w:p>
    <w:p w:rsidR="000E69DA" w:rsidRPr="007F0E49" w:rsidRDefault="000E69DA" w:rsidP="000E69DA">
      <w:pPr>
        <w:rPr>
          <w:rFonts w:ascii="Arial" w:hAnsi="Arial" w:cs="Arial"/>
          <w:sz w:val="22"/>
          <w:szCs w:val="22"/>
        </w:rPr>
      </w:pPr>
    </w:p>
    <w:p w:rsidR="000E69DA" w:rsidRPr="007F0E49" w:rsidRDefault="000E69DA" w:rsidP="000E69DA">
      <w:pPr>
        <w:jc w:val="both"/>
        <w:rPr>
          <w:rFonts w:ascii="Arial" w:hAnsi="Arial" w:cs="Arial"/>
          <w:sz w:val="22"/>
          <w:szCs w:val="22"/>
        </w:rPr>
      </w:pPr>
      <w:r w:rsidRPr="007F0E49">
        <w:rPr>
          <w:rFonts w:ascii="Arial" w:hAnsi="Arial" w:cs="Arial"/>
          <w:b/>
          <w:sz w:val="22"/>
          <w:szCs w:val="22"/>
        </w:rPr>
        <w:t>Prihodi poslovanja (</w:t>
      </w:r>
      <w:r w:rsidR="00414D86" w:rsidRPr="007F0E49">
        <w:rPr>
          <w:rFonts w:ascii="Arial" w:hAnsi="Arial" w:cs="Arial"/>
          <w:b/>
          <w:sz w:val="22"/>
          <w:szCs w:val="22"/>
        </w:rPr>
        <w:t>6</w:t>
      </w:r>
      <w:r w:rsidRPr="007F0E49">
        <w:rPr>
          <w:rFonts w:ascii="Arial" w:hAnsi="Arial" w:cs="Arial"/>
          <w:b/>
          <w:sz w:val="22"/>
          <w:szCs w:val="22"/>
        </w:rPr>
        <w:t xml:space="preserve">) </w:t>
      </w:r>
      <w:r w:rsidRPr="007F0E49">
        <w:rPr>
          <w:rFonts w:ascii="Arial" w:hAnsi="Arial" w:cs="Arial"/>
          <w:sz w:val="22"/>
          <w:szCs w:val="22"/>
        </w:rPr>
        <w:t xml:space="preserve">ostvareni su u iznosu </w:t>
      </w:r>
      <w:r w:rsidR="00414D86" w:rsidRPr="007F0E49">
        <w:rPr>
          <w:rFonts w:ascii="Arial" w:hAnsi="Arial" w:cs="Arial"/>
          <w:sz w:val="22"/>
          <w:szCs w:val="22"/>
        </w:rPr>
        <w:t>817.911.356,96</w:t>
      </w:r>
      <w:r w:rsidRPr="007F0E49">
        <w:rPr>
          <w:rFonts w:ascii="Arial" w:hAnsi="Arial" w:cs="Arial"/>
          <w:sz w:val="22"/>
          <w:szCs w:val="22"/>
        </w:rPr>
        <w:t xml:space="preserve"> kn. U odnosu na ostvarenje </w:t>
      </w:r>
      <w:r w:rsidR="004A2C40" w:rsidRPr="007F0E49">
        <w:rPr>
          <w:rFonts w:ascii="Arial" w:hAnsi="Arial" w:cs="Arial"/>
          <w:sz w:val="22"/>
          <w:szCs w:val="22"/>
        </w:rPr>
        <w:t xml:space="preserve">ovih </w:t>
      </w:r>
      <w:r w:rsidRPr="007F0E49">
        <w:rPr>
          <w:rFonts w:ascii="Arial" w:hAnsi="Arial" w:cs="Arial"/>
          <w:sz w:val="22"/>
          <w:szCs w:val="22"/>
        </w:rPr>
        <w:t xml:space="preserve">prihoda prethodne godine bilježi se </w:t>
      </w:r>
      <w:r w:rsidR="00022E92" w:rsidRPr="007F0E49">
        <w:rPr>
          <w:rFonts w:ascii="Arial" w:hAnsi="Arial" w:cs="Arial"/>
          <w:sz w:val="22"/>
          <w:szCs w:val="22"/>
        </w:rPr>
        <w:t>povećanje</w:t>
      </w:r>
      <w:r w:rsidRPr="007F0E49">
        <w:rPr>
          <w:rFonts w:ascii="Arial" w:hAnsi="Arial" w:cs="Arial"/>
          <w:sz w:val="22"/>
          <w:szCs w:val="22"/>
        </w:rPr>
        <w:t xml:space="preserve"> od </w:t>
      </w:r>
      <w:r w:rsidR="00414D86" w:rsidRPr="007F0E49">
        <w:rPr>
          <w:rFonts w:ascii="Arial" w:hAnsi="Arial" w:cs="Arial"/>
          <w:sz w:val="22"/>
          <w:szCs w:val="22"/>
        </w:rPr>
        <w:t>79.244.938,96 kn ili 10,7</w:t>
      </w:r>
      <w:r w:rsidRPr="007F0E49">
        <w:rPr>
          <w:rFonts w:ascii="Arial" w:hAnsi="Arial" w:cs="Arial"/>
          <w:sz w:val="22"/>
          <w:szCs w:val="22"/>
        </w:rPr>
        <w:t>%.</w:t>
      </w:r>
    </w:p>
    <w:p w:rsidR="00860A38" w:rsidRPr="007F0E49" w:rsidRDefault="000E69DA" w:rsidP="000E69DA">
      <w:pPr>
        <w:jc w:val="both"/>
        <w:rPr>
          <w:rFonts w:ascii="Arial" w:hAnsi="Arial" w:cs="Arial"/>
          <w:sz w:val="22"/>
          <w:szCs w:val="22"/>
        </w:rPr>
      </w:pPr>
      <w:r w:rsidRPr="007F0E49">
        <w:rPr>
          <w:rFonts w:ascii="Arial" w:hAnsi="Arial" w:cs="Arial"/>
          <w:sz w:val="22"/>
          <w:szCs w:val="22"/>
        </w:rPr>
        <w:t>U strukturi ovih prihoda najznačajniju stavku čine po</w:t>
      </w:r>
      <w:r w:rsidR="00E851EA" w:rsidRPr="007F0E49">
        <w:rPr>
          <w:rFonts w:ascii="Arial" w:hAnsi="Arial" w:cs="Arial"/>
          <w:sz w:val="22"/>
          <w:szCs w:val="22"/>
        </w:rPr>
        <w:t xml:space="preserve">rezni prihodi s udjelom od </w:t>
      </w:r>
      <w:r w:rsidR="00414D86" w:rsidRPr="007F0E49">
        <w:rPr>
          <w:rFonts w:ascii="Arial" w:hAnsi="Arial" w:cs="Arial"/>
          <w:sz w:val="22"/>
          <w:szCs w:val="22"/>
        </w:rPr>
        <w:t>57,3</w:t>
      </w:r>
      <w:r w:rsidR="00016753" w:rsidRPr="007F0E49">
        <w:rPr>
          <w:rFonts w:ascii="Arial" w:hAnsi="Arial" w:cs="Arial"/>
          <w:sz w:val="22"/>
          <w:szCs w:val="22"/>
        </w:rPr>
        <w:t>3%, slijede</w:t>
      </w:r>
      <w:r w:rsidR="00414D86" w:rsidRPr="007F0E49">
        <w:rPr>
          <w:rFonts w:ascii="Arial" w:hAnsi="Arial" w:cs="Arial"/>
          <w:sz w:val="22"/>
          <w:szCs w:val="22"/>
        </w:rPr>
        <w:t xml:space="preserve"> </w:t>
      </w:r>
      <w:r w:rsidRPr="007F0E49">
        <w:rPr>
          <w:rFonts w:ascii="Arial" w:hAnsi="Arial" w:cs="Arial"/>
          <w:sz w:val="22"/>
          <w:szCs w:val="22"/>
        </w:rPr>
        <w:t>prihodi od upravnih i administrativnih pristojbi i po p</w:t>
      </w:r>
      <w:r w:rsidR="00A92B77" w:rsidRPr="007F0E49">
        <w:rPr>
          <w:rFonts w:ascii="Arial" w:hAnsi="Arial" w:cs="Arial"/>
          <w:sz w:val="22"/>
          <w:szCs w:val="22"/>
        </w:rPr>
        <w:t>o</w:t>
      </w:r>
      <w:r w:rsidR="00022E92" w:rsidRPr="007F0E49">
        <w:rPr>
          <w:rFonts w:ascii="Arial" w:hAnsi="Arial" w:cs="Arial"/>
          <w:sz w:val="22"/>
          <w:szCs w:val="22"/>
        </w:rPr>
        <w:t xml:space="preserve">sebnim propisima s udjelom </w:t>
      </w:r>
      <w:r w:rsidR="00016753" w:rsidRPr="007F0E49">
        <w:rPr>
          <w:rFonts w:ascii="Arial" w:hAnsi="Arial" w:cs="Arial"/>
          <w:sz w:val="22"/>
          <w:szCs w:val="22"/>
        </w:rPr>
        <w:t>16,18</w:t>
      </w:r>
      <w:r w:rsidRPr="007F0E49">
        <w:rPr>
          <w:rFonts w:ascii="Arial" w:hAnsi="Arial" w:cs="Arial"/>
          <w:sz w:val="22"/>
          <w:szCs w:val="22"/>
        </w:rPr>
        <w:t xml:space="preserve">%, </w:t>
      </w:r>
      <w:r w:rsidR="00022E92" w:rsidRPr="007F0E49">
        <w:rPr>
          <w:rFonts w:ascii="Arial" w:hAnsi="Arial" w:cs="Arial"/>
          <w:sz w:val="22"/>
          <w:szCs w:val="22"/>
        </w:rPr>
        <w:t xml:space="preserve">prihodi od imovine s udjelom od </w:t>
      </w:r>
      <w:r w:rsidR="00016753" w:rsidRPr="007F0E49">
        <w:rPr>
          <w:rFonts w:ascii="Arial" w:hAnsi="Arial" w:cs="Arial"/>
          <w:sz w:val="22"/>
          <w:szCs w:val="22"/>
        </w:rPr>
        <w:t>12,42</w:t>
      </w:r>
      <w:r w:rsidR="00022E92" w:rsidRPr="007F0E49">
        <w:rPr>
          <w:rFonts w:ascii="Arial" w:hAnsi="Arial" w:cs="Arial"/>
          <w:sz w:val="22"/>
          <w:szCs w:val="22"/>
        </w:rPr>
        <w:t xml:space="preserve">%, </w:t>
      </w:r>
      <w:r w:rsidRPr="007F0E49">
        <w:rPr>
          <w:rFonts w:ascii="Arial" w:hAnsi="Arial" w:cs="Arial"/>
          <w:sz w:val="22"/>
          <w:szCs w:val="22"/>
        </w:rPr>
        <w:t>zatim prihodi od pomoći iz inozemstva i od subjek</w:t>
      </w:r>
      <w:r w:rsidR="00022E92" w:rsidRPr="007F0E49">
        <w:rPr>
          <w:rFonts w:ascii="Arial" w:hAnsi="Arial" w:cs="Arial"/>
          <w:sz w:val="22"/>
          <w:szCs w:val="22"/>
        </w:rPr>
        <w:t>ata unutar općeg proračuna</w:t>
      </w:r>
      <w:r w:rsidR="00E851EA" w:rsidRPr="007F0E49">
        <w:rPr>
          <w:rFonts w:ascii="Arial" w:hAnsi="Arial" w:cs="Arial"/>
          <w:sz w:val="22"/>
          <w:szCs w:val="22"/>
        </w:rPr>
        <w:t xml:space="preserve"> s udjelom od</w:t>
      </w:r>
      <w:r w:rsidR="00022E92" w:rsidRPr="007F0E49">
        <w:rPr>
          <w:rFonts w:ascii="Arial" w:hAnsi="Arial" w:cs="Arial"/>
          <w:sz w:val="22"/>
          <w:szCs w:val="22"/>
        </w:rPr>
        <w:t xml:space="preserve"> </w:t>
      </w:r>
      <w:r w:rsidR="00016753" w:rsidRPr="007F0E49">
        <w:rPr>
          <w:rFonts w:ascii="Arial" w:hAnsi="Arial" w:cs="Arial"/>
          <w:sz w:val="22"/>
          <w:szCs w:val="22"/>
        </w:rPr>
        <w:t>11,77</w:t>
      </w:r>
      <w:r w:rsidR="00E851EA" w:rsidRPr="007F0E49">
        <w:rPr>
          <w:rFonts w:ascii="Arial" w:hAnsi="Arial" w:cs="Arial"/>
          <w:sz w:val="22"/>
          <w:szCs w:val="22"/>
        </w:rPr>
        <w:t>%.</w:t>
      </w:r>
      <w:r w:rsidR="00F23CD3" w:rsidRPr="007F0E49">
        <w:rPr>
          <w:rFonts w:ascii="Arial" w:hAnsi="Arial" w:cs="Arial"/>
          <w:sz w:val="22"/>
          <w:szCs w:val="22"/>
        </w:rPr>
        <w:t xml:space="preserve"> </w:t>
      </w:r>
      <w:r w:rsidRPr="007F0E49">
        <w:rPr>
          <w:rFonts w:ascii="Arial" w:hAnsi="Arial" w:cs="Arial"/>
          <w:sz w:val="22"/>
          <w:szCs w:val="22"/>
        </w:rPr>
        <w:t>Prihodi od kazni, upravnih mjera i ostali prihodi participiraju u uku</w:t>
      </w:r>
      <w:r w:rsidR="001F0B39" w:rsidRPr="007F0E49">
        <w:rPr>
          <w:rFonts w:ascii="Arial" w:hAnsi="Arial" w:cs="Arial"/>
          <w:sz w:val="22"/>
          <w:szCs w:val="22"/>
        </w:rPr>
        <w:t xml:space="preserve">pnim </w:t>
      </w:r>
      <w:r w:rsidR="001F0B39" w:rsidRPr="007F0E49">
        <w:rPr>
          <w:rFonts w:ascii="Arial" w:hAnsi="Arial" w:cs="Arial"/>
          <w:sz w:val="22"/>
          <w:szCs w:val="22"/>
        </w:rPr>
        <w:lastRenderedPageBreak/>
        <w:t xml:space="preserve">prihodima poslovanja s </w:t>
      </w:r>
      <w:r w:rsidR="00860A38" w:rsidRPr="007F0E49">
        <w:rPr>
          <w:rFonts w:ascii="Arial" w:hAnsi="Arial" w:cs="Arial"/>
          <w:sz w:val="22"/>
          <w:szCs w:val="22"/>
        </w:rPr>
        <w:t>2,09</w:t>
      </w:r>
      <w:r w:rsidRPr="007F0E49">
        <w:rPr>
          <w:rFonts w:ascii="Arial" w:hAnsi="Arial" w:cs="Arial"/>
          <w:sz w:val="22"/>
          <w:szCs w:val="22"/>
        </w:rPr>
        <w:t xml:space="preserve"> %, a prihodi od prodaje proizvoda i robe te pruženih usluga i p</w:t>
      </w:r>
      <w:r w:rsidR="00E851EA" w:rsidRPr="007F0E49">
        <w:rPr>
          <w:rFonts w:ascii="Arial" w:hAnsi="Arial" w:cs="Arial"/>
          <w:sz w:val="22"/>
          <w:szCs w:val="22"/>
        </w:rPr>
        <w:t>rihodi od donacija s uk</w:t>
      </w:r>
      <w:r w:rsidR="001F0B39" w:rsidRPr="007F0E49">
        <w:rPr>
          <w:rFonts w:ascii="Arial" w:hAnsi="Arial" w:cs="Arial"/>
          <w:sz w:val="22"/>
          <w:szCs w:val="22"/>
        </w:rPr>
        <w:t>upno</w:t>
      </w:r>
      <w:r w:rsidR="00860A38" w:rsidRPr="007F0E49">
        <w:rPr>
          <w:rFonts w:ascii="Arial" w:hAnsi="Arial" w:cs="Arial"/>
          <w:sz w:val="22"/>
          <w:szCs w:val="22"/>
        </w:rPr>
        <w:t xml:space="preserve"> 0,21%.</w:t>
      </w:r>
    </w:p>
    <w:p w:rsidR="00477C0F" w:rsidRPr="007F0E49" w:rsidRDefault="00477C0F" w:rsidP="000E69DA">
      <w:pPr>
        <w:jc w:val="both"/>
        <w:rPr>
          <w:rFonts w:ascii="Arial" w:hAnsi="Arial" w:cs="Arial"/>
          <w:sz w:val="22"/>
          <w:szCs w:val="22"/>
        </w:rPr>
      </w:pPr>
    </w:p>
    <w:p w:rsidR="000E69DA" w:rsidRPr="007F0E49" w:rsidRDefault="00C548B8" w:rsidP="000E69DA">
      <w:pPr>
        <w:autoSpaceDE w:val="0"/>
        <w:autoSpaceDN w:val="0"/>
        <w:adjustRightInd w:val="0"/>
        <w:jc w:val="both"/>
        <w:rPr>
          <w:rFonts w:ascii="Arial" w:hAnsi="Arial" w:cs="Arial"/>
          <w:sz w:val="22"/>
          <w:szCs w:val="22"/>
        </w:rPr>
      </w:pPr>
      <w:r w:rsidRPr="007F0E49">
        <w:rPr>
          <w:rFonts w:ascii="Arial" w:hAnsi="Arial" w:cs="Arial"/>
          <w:b/>
          <w:sz w:val="22"/>
          <w:szCs w:val="22"/>
        </w:rPr>
        <w:t>Prihodi od poreza (61</w:t>
      </w:r>
      <w:r w:rsidR="000E69DA" w:rsidRPr="007F0E49">
        <w:rPr>
          <w:rFonts w:ascii="Arial" w:hAnsi="Arial" w:cs="Arial"/>
          <w:b/>
          <w:sz w:val="22"/>
          <w:szCs w:val="22"/>
        </w:rPr>
        <w:t>)</w:t>
      </w:r>
      <w:r w:rsidR="000E69DA" w:rsidRPr="007F0E49">
        <w:rPr>
          <w:rFonts w:ascii="Arial" w:hAnsi="Arial" w:cs="Arial"/>
          <w:sz w:val="22"/>
          <w:szCs w:val="22"/>
        </w:rPr>
        <w:t xml:space="preserve"> ostvareni su u iznosu </w:t>
      </w:r>
      <w:r w:rsidR="00C43EAA" w:rsidRPr="007F0E49">
        <w:rPr>
          <w:rFonts w:ascii="Arial" w:hAnsi="Arial" w:cs="Arial"/>
          <w:sz w:val="22"/>
          <w:szCs w:val="22"/>
        </w:rPr>
        <w:t>468.916.076,63</w:t>
      </w:r>
      <w:r w:rsidR="000E69DA" w:rsidRPr="007F0E49">
        <w:rPr>
          <w:rFonts w:ascii="Arial" w:hAnsi="Arial" w:cs="Arial"/>
          <w:sz w:val="22"/>
          <w:szCs w:val="22"/>
        </w:rPr>
        <w:t xml:space="preserve"> kn što, u odnosu na ostvarenje prethodne godine, predstavlja </w:t>
      </w:r>
      <w:r w:rsidR="001F0B39" w:rsidRPr="007F0E49">
        <w:rPr>
          <w:rFonts w:ascii="Arial" w:hAnsi="Arial" w:cs="Arial"/>
          <w:sz w:val="22"/>
          <w:szCs w:val="22"/>
        </w:rPr>
        <w:t xml:space="preserve">povećanje od </w:t>
      </w:r>
      <w:r w:rsidR="00C43EAA" w:rsidRPr="007F0E49">
        <w:rPr>
          <w:rFonts w:ascii="Arial" w:hAnsi="Arial" w:cs="Arial"/>
          <w:sz w:val="22"/>
          <w:szCs w:val="22"/>
        </w:rPr>
        <w:t>19</w:t>
      </w:r>
      <w:r w:rsidR="000E69DA" w:rsidRPr="007F0E49">
        <w:rPr>
          <w:rFonts w:ascii="Arial" w:hAnsi="Arial" w:cs="Arial"/>
          <w:sz w:val="22"/>
          <w:szCs w:val="22"/>
        </w:rPr>
        <w:t>%. Vrijednosno su najznačajniji prihodi proračuna jer u ukupno ostvarenim prihodima i pri</w:t>
      </w:r>
      <w:r w:rsidR="0014086D" w:rsidRPr="007F0E49">
        <w:rPr>
          <w:rFonts w:ascii="Arial" w:hAnsi="Arial" w:cs="Arial"/>
          <w:sz w:val="22"/>
          <w:szCs w:val="22"/>
        </w:rPr>
        <w:t>micima imaju visok ud</w:t>
      </w:r>
      <w:r w:rsidR="001949C6" w:rsidRPr="007F0E49">
        <w:rPr>
          <w:rFonts w:ascii="Arial" w:hAnsi="Arial" w:cs="Arial"/>
          <w:sz w:val="22"/>
          <w:szCs w:val="22"/>
        </w:rPr>
        <w:t>jel</w:t>
      </w:r>
      <w:r w:rsidR="001F0B39" w:rsidRPr="007F0E49">
        <w:rPr>
          <w:rFonts w:ascii="Arial" w:hAnsi="Arial" w:cs="Arial"/>
          <w:sz w:val="22"/>
          <w:szCs w:val="22"/>
        </w:rPr>
        <w:t xml:space="preserve"> od </w:t>
      </w:r>
      <w:r w:rsidR="00C43EAA" w:rsidRPr="007F0E49">
        <w:rPr>
          <w:rFonts w:ascii="Arial" w:hAnsi="Arial" w:cs="Arial"/>
          <w:sz w:val="22"/>
          <w:szCs w:val="22"/>
        </w:rPr>
        <w:t>52,2</w:t>
      </w:r>
      <w:r w:rsidR="000E69DA" w:rsidRPr="007F0E49">
        <w:rPr>
          <w:rFonts w:ascii="Arial" w:hAnsi="Arial" w:cs="Arial"/>
          <w:sz w:val="22"/>
          <w:szCs w:val="22"/>
        </w:rPr>
        <w:t xml:space="preserve">%. </w:t>
      </w:r>
      <w:r w:rsidR="004463E7" w:rsidRPr="007F0E49">
        <w:rPr>
          <w:rFonts w:ascii="Arial" w:hAnsi="Arial" w:cs="Arial"/>
          <w:sz w:val="22"/>
          <w:szCs w:val="22"/>
        </w:rPr>
        <w:t xml:space="preserve">U ukupnom iznosu ostvarenih poreznih prihoda najveći udjel </w:t>
      </w:r>
      <w:r w:rsidR="00AA70E1" w:rsidRPr="007F0E49">
        <w:rPr>
          <w:rFonts w:ascii="Arial" w:hAnsi="Arial" w:cs="Arial"/>
          <w:sz w:val="22"/>
          <w:szCs w:val="22"/>
        </w:rPr>
        <w:t xml:space="preserve">od 91% </w:t>
      </w:r>
      <w:r w:rsidR="004463E7" w:rsidRPr="007F0E49">
        <w:rPr>
          <w:rFonts w:ascii="Arial" w:hAnsi="Arial" w:cs="Arial"/>
          <w:sz w:val="22"/>
          <w:szCs w:val="22"/>
        </w:rPr>
        <w:t>ima prihod od poreza i prireza na dohodak</w:t>
      </w:r>
      <w:r w:rsidR="00AA70E1" w:rsidRPr="007F0E49">
        <w:rPr>
          <w:rFonts w:ascii="Arial" w:hAnsi="Arial" w:cs="Arial"/>
          <w:sz w:val="22"/>
          <w:szCs w:val="22"/>
        </w:rPr>
        <w:t>.</w:t>
      </w:r>
      <w:r w:rsidR="004463E7" w:rsidRPr="007F0E49">
        <w:rPr>
          <w:rFonts w:ascii="Arial" w:hAnsi="Arial" w:cs="Arial"/>
          <w:sz w:val="22"/>
          <w:szCs w:val="22"/>
        </w:rPr>
        <w:t xml:space="preserve"> </w:t>
      </w:r>
    </w:p>
    <w:p w:rsidR="000E69DA" w:rsidRPr="007F0E49" w:rsidRDefault="000E69DA" w:rsidP="000E69DA">
      <w:pPr>
        <w:rPr>
          <w:rFonts w:ascii="Arial" w:hAnsi="Arial" w:cs="Arial"/>
          <w:sz w:val="22"/>
          <w:szCs w:val="22"/>
        </w:rPr>
      </w:pPr>
    </w:p>
    <w:p w:rsidR="000C1CFF" w:rsidRPr="007F0E49" w:rsidRDefault="000E69DA" w:rsidP="000C1CFF">
      <w:pPr>
        <w:jc w:val="both"/>
        <w:rPr>
          <w:rFonts w:ascii="Arial" w:hAnsi="Arial" w:cs="Arial"/>
          <w:sz w:val="22"/>
          <w:szCs w:val="22"/>
        </w:rPr>
      </w:pPr>
      <w:r w:rsidRPr="007F0E49">
        <w:rPr>
          <w:rFonts w:ascii="Arial" w:hAnsi="Arial" w:cs="Arial"/>
          <w:i/>
          <w:sz w:val="22"/>
          <w:szCs w:val="22"/>
          <w:u w:val="single"/>
        </w:rPr>
        <w:t>Po</w:t>
      </w:r>
      <w:r w:rsidR="00C43EAA" w:rsidRPr="007F0E49">
        <w:rPr>
          <w:rFonts w:ascii="Arial" w:hAnsi="Arial" w:cs="Arial"/>
          <w:i/>
          <w:sz w:val="22"/>
          <w:szCs w:val="22"/>
          <w:u w:val="single"/>
        </w:rPr>
        <w:t>rez i prirez na dohodak (611)</w:t>
      </w:r>
      <w:r w:rsidRPr="007F0E49">
        <w:rPr>
          <w:rFonts w:ascii="Arial" w:hAnsi="Arial" w:cs="Arial"/>
          <w:sz w:val="22"/>
          <w:szCs w:val="22"/>
        </w:rPr>
        <w:t xml:space="preserve"> biljež</w:t>
      </w:r>
      <w:r w:rsidR="001949C6" w:rsidRPr="007F0E49">
        <w:rPr>
          <w:rFonts w:ascii="Arial" w:hAnsi="Arial" w:cs="Arial"/>
          <w:sz w:val="22"/>
          <w:szCs w:val="22"/>
        </w:rPr>
        <w:t>i</w:t>
      </w:r>
      <w:r w:rsidRPr="007F0E49">
        <w:rPr>
          <w:rFonts w:ascii="Arial" w:hAnsi="Arial" w:cs="Arial"/>
          <w:sz w:val="22"/>
          <w:szCs w:val="22"/>
        </w:rPr>
        <w:t xml:space="preserve"> </w:t>
      </w:r>
      <w:r w:rsidR="001F0B39" w:rsidRPr="007F0E49">
        <w:rPr>
          <w:rFonts w:ascii="Arial" w:hAnsi="Arial" w:cs="Arial"/>
          <w:sz w:val="22"/>
          <w:szCs w:val="22"/>
        </w:rPr>
        <w:t xml:space="preserve">rast </w:t>
      </w:r>
      <w:r w:rsidRPr="007F0E49">
        <w:rPr>
          <w:rFonts w:ascii="Arial" w:hAnsi="Arial" w:cs="Arial"/>
          <w:sz w:val="22"/>
          <w:szCs w:val="22"/>
        </w:rPr>
        <w:t xml:space="preserve">u </w:t>
      </w:r>
      <w:r w:rsidR="0014086D" w:rsidRPr="007F0E49">
        <w:rPr>
          <w:rFonts w:ascii="Arial" w:hAnsi="Arial" w:cs="Arial"/>
          <w:sz w:val="22"/>
          <w:szCs w:val="22"/>
        </w:rPr>
        <w:t>odnosu na prethodnu godinu</w:t>
      </w:r>
      <w:r w:rsidRPr="007F0E49">
        <w:rPr>
          <w:rFonts w:ascii="Arial" w:hAnsi="Arial" w:cs="Arial"/>
          <w:sz w:val="22"/>
          <w:szCs w:val="22"/>
        </w:rPr>
        <w:t xml:space="preserve"> za </w:t>
      </w:r>
      <w:r w:rsidR="00C43EAA" w:rsidRPr="007F0E49">
        <w:rPr>
          <w:rFonts w:ascii="Arial" w:hAnsi="Arial" w:cs="Arial"/>
          <w:sz w:val="22"/>
          <w:szCs w:val="22"/>
        </w:rPr>
        <w:t>68.850.288,57</w:t>
      </w:r>
      <w:r w:rsidR="004B684A" w:rsidRPr="007F0E49">
        <w:rPr>
          <w:rFonts w:ascii="Arial" w:hAnsi="Arial" w:cs="Arial"/>
          <w:sz w:val="22"/>
          <w:szCs w:val="22"/>
        </w:rPr>
        <w:t xml:space="preserve"> kn ili </w:t>
      </w:r>
      <w:r w:rsidR="00C43EAA" w:rsidRPr="007F0E49">
        <w:rPr>
          <w:rFonts w:ascii="Arial" w:hAnsi="Arial" w:cs="Arial"/>
          <w:sz w:val="22"/>
          <w:szCs w:val="22"/>
        </w:rPr>
        <w:t>19,3</w:t>
      </w:r>
      <w:r w:rsidRPr="007F0E49">
        <w:rPr>
          <w:rFonts w:ascii="Arial" w:hAnsi="Arial" w:cs="Arial"/>
          <w:sz w:val="22"/>
          <w:szCs w:val="22"/>
        </w:rPr>
        <w:t xml:space="preserve">%. </w:t>
      </w:r>
    </w:p>
    <w:p w:rsidR="000C1CFF" w:rsidRPr="007F0E49" w:rsidRDefault="000C1CFF" w:rsidP="000C1CFF">
      <w:pPr>
        <w:jc w:val="both"/>
        <w:rPr>
          <w:rFonts w:ascii="Arial" w:hAnsi="Arial" w:cs="Arial"/>
          <w:noProof/>
          <w:sz w:val="22"/>
          <w:szCs w:val="22"/>
        </w:rPr>
      </w:pPr>
      <w:r w:rsidRPr="007F0E49">
        <w:rPr>
          <w:rFonts w:ascii="Arial" w:hAnsi="Arial" w:cs="Arial"/>
          <w:noProof/>
          <w:sz w:val="22"/>
          <w:szCs w:val="22"/>
        </w:rPr>
        <w:t xml:space="preserve">Kod poreza i prireza na dohodak važno je spomenuti da je i ove godine, kao i prethodne, isplata povrata poreza i prireza na dohodak po godišnjoj prijavi započela u svibnju te je, u nedostatku financijskih sredstava na zajedničkom računu poreza i prireza na dohodak, Državni proračun Gradu namirio  22.333.589,57 kn u tu svrhu. Grad je, po Uputama Ministarstva financija, za navedeni iznos namirenja iskazao obvezu za povrat u Državni proračun </w:t>
      </w:r>
      <w:r w:rsidRPr="007F0E49">
        <w:rPr>
          <w:rFonts w:ascii="Arial" w:hAnsi="Arial" w:cs="Arial"/>
          <w:sz w:val="22"/>
          <w:szCs w:val="22"/>
        </w:rPr>
        <w:t>koja je u cijelosti podmirena na dan 31. prosinca 2022. godine (više u Bilješci broj 4 uz Bilancu).</w:t>
      </w:r>
    </w:p>
    <w:p w:rsidR="00622339" w:rsidRPr="007F0E49" w:rsidRDefault="00622339" w:rsidP="0064467A">
      <w:pPr>
        <w:jc w:val="both"/>
        <w:rPr>
          <w:rFonts w:ascii="Arial" w:hAnsi="Arial" w:cs="Arial"/>
          <w:sz w:val="22"/>
          <w:szCs w:val="22"/>
        </w:rPr>
      </w:pPr>
    </w:p>
    <w:p w:rsidR="00B25489" w:rsidRPr="007F0E49" w:rsidRDefault="00E134F6" w:rsidP="00E134F6">
      <w:pPr>
        <w:jc w:val="both"/>
        <w:rPr>
          <w:rFonts w:ascii="Arial" w:hAnsi="Arial" w:cs="Arial"/>
          <w:noProof/>
          <w:sz w:val="22"/>
          <w:szCs w:val="22"/>
        </w:rPr>
      </w:pPr>
      <w:r w:rsidRPr="007F0E49">
        <w:rPr>
          <w:rFonts w:ascii="Arial" w:hAnsi="Arial" w:cs="Arial"/>
          <w:b/>
          <w:noProof/>
          <w:sz w:val="22"/>
          <w:szCs w:val="22"/>
        </w:rPr>
        <w:t>Pomoći iz inozemstva i od subjekata unutar opć</w:t>
      </w:r>
      <w:r w:rsidR="008B6B8F" w:rsidRPr="007F0E49">
        <w:rPr>
          <w:rFonts w:ascii="Arial" w:hAnsi="Arial" w:cs="Arial"/>
          <w:b/>
          <w:noProof/>
          <w:sz w:val="22"/>
          <w:szCs w:val="22"/>
        </w:rPr>
        <w:t xml:space="preserve">eg proračuna </w:t>
      </w:r>
      <w:r w:rsidRPr="007F0E49">
        <w:rPr>
          <w:rFonts w:ascii="Arial" w:hAnsi="Arial" w:cs="Arial"/>
          <w:b/>
          <w:noProof/>
          <w:sz w:val="22"/>
          <w:szCs w:val="22"/>
        </w:rPr>
        <w:t>(63)</w:t>
      </w:r>
      <w:r w:rsidRPr="007F0E49">
        <w:rPr>
          <w:rFonts w:ascii="Arial" w:hAnsi="Arial" w:cs="Arial"/>
          <w:noProof/>
          <w:sz w:val="22"/>
          <w:szCs w:val="22"/>
        </w:rPr>
        <w:t xml:space="preserve"> ostvarene </w:t>
      </w:r>
      <w:r w:rsidR="00551A8B" w:rsidRPr="007F0E49">
        <w:rPr>
          <w:rFonts w:ascii="Arial" w:hAnsi="Arial" w:cs="Arial"/>
          <w:noProof/>
          <w:sz w:val="22"/>
          <w:szCs w:val="22"/>
        </w:rPr>
        <w:t xml:space="preserve">su </w:t>
      </w:r>
      <w:r w:rsidRPr="007F0E49">
        <w:rPr>
          <w:rFonts w:ascii="Arial" w:hAnsi="Arial" w:cs="Arial"/>
          <w:noProof/>
          <w:sz w:val="22"/>
          <w:szCs w:val="22"/>
        </w:rPr>
        <w:t xml:space="preserve">u iznosu </w:t>
      </w:r>
      <w:r w:rsidR="00551A8B" w:rsidRPr="007F0E49">
        <w:rPr>
          <w:rFonts w:ascii="Arial" w:hAnsi="Arial" w:cs="Arial"/>
          <w:noProof/>
          <w:sz w:val="22"/>
          <w:szCs w:val="22"/>
        </w:rPr>
        <w:t xml:space="preserve">od </w:t>
      </w:r>
      <w:r w:rsidRPr="007F0E49">
        <w:rPr>
          <w:rFonts w:ascii="Arial" w:hAnsi="Arial" w:cs="Arial"/>
          <w:noProof/>
          <w:sz w:val="22"/>
          <w:szCs w:val="22"/>
        </w:rPr>
        <w:t>96.302.657,79 kn</w:t>
      </w:r>
      <w:r w:rsidR="00E94151" w:rsidRPr="007F0E49">
        <w:rPr>
          <w:rFonts w:ascii="Arial" w:hAnsi="Arial" w:cs="Arial"/>
          <w:noProof/>
          <w:sz w:val="22"/>
          <w:szCs w:val="22"/>
        </w:rPr>
        <w:t>, gotovo na razini prethodne godine.</w:t>
      </w:r>
    </w:p>
    <w:p w:rsidR="00B25489" w:rsidRPr="007F0E49" w:rsidRDefault="00B25489" w:rsidP="00E134F6">
      <w:pPr>
        <w:jc w:val="both"/>
        <w:rPr>
          <w:rFonts w:ascii="Arial" w:hAnsi="Arial" w:cs="Arial"/>
          <w:noProof/>
          <w:sz w:val="22"/>
          <w:szCs w:val="22"/>
        </w:rPr>
      </w:pPr>
    </w:p>
    <w:p w:rsidR="00B25489" w:rsidRPr="007F0E49" w:rsidRDefault="00B25489" w:rsidP="00E134F6">
      <w:pPr>
        <w:jc w:val="both"/>
        <w:rPr>
          <w:rFonts w:ascii="Arial" w:hAnsi="Arial" w:cs="Arial"/>
          <w:noProof/>
          <w:sz w:val="22"/>
          <w:szCs w:val="22"/>
        </w:rPr>
      </w:pPr>
      <w:r w:rsidRPr="007F0E49">
        <w:rPr>
          <w:rFonts w:ascii="Arial" w:hAnsi="Arial" w:cs="Arial"/>
          <w:i/>
          <w:noProof/>
          <w:sz w:val="22"/>
          <w:szCs w:val="22"/>
          <w:u w:val="single"/>
        </w:rPr>
        <w:t xml:space="preserve">Pomoći izravnanja za decentralizirane funkcije </w:t>
      </w:r>
      <w:r w:rsidR="00AB2645" w:rsidRPr="007F0E49">
        <w:rPr>
          <w:rFonts w:ascii="Arial" w:hAnsi="Arial" w:cs="Arial"/>
          <w:i/>
          <w:noProof/>
          <w:sz w:val="22"/>
          <w:szCs w:val="22"/>
          <w:u w:val="single"/>
        </w:rPr>
        <w:t>(635)</w:t>
      </w:r>
      <w:r w:rsidR="00AB2645" w:rsidRPr="007F0E49">
        <w:rPr>
          <w:rFonts w:ascii="Arial" w:hAnsi="Arial" w:cs="Arial"/>
          <w:noProof/>
          <w:sz w:val="22"/>
          <w:szCs w:val="22"/>
        </w:rPr>
        <w:t xml:space="preserve"> </w:t>
      </w:r>
      <w:r w:rsidRPr="007F0E49">
        <w:rPr>
          <w:rFonts w:ascii="Arial" w:hAnsi="Arial" w:cs="Arial"/>
          <w:noProof/>
          <w:sz w:val="22"/>
          <w:szCs w:val="22"/>
        </w:rPr>
        <w:t xml:space="preserve">osnovnog školstva i vatrogastva su sredstva koja uplaćuje državni proračun kako bi se namirila razlika između ostvarenog prihoda od poreza na dohodak za decentralizirane funkcije i minimalnih standarda za te funkcije koji su utvrđeni Uredbom o načinu financiranja decentraliziranih funkcija JLP(R)S i Odlukama o minimalnim financijskim standardima za decentralizirane funkcije osnovnog školstva i vatrogastva. U izvještajnom razdoblju iz državnog proračuna doznačena su sredstva u ukupnom iznosu od 21.157.198,22 kn i to: </w:t>
      </w:r>
      <w:r w:rsidR="00E47203" w:rsidRPr="007F0E49">
        <w:rPr>
          <w:rFonts w:ascii="Arial" w:hAnsi="Arial" w:cs="Arial"/>
          <w:noProof/>
          <w:sz w:val="22"/>
          <w:szCs w:val="22"/>
        </w:rPr>
        <w:t>z</w:t>
      </w:r>
      <w:r w:rsidRPr="007F0E49">
        <w:rPr>
          <w:rFonts w:ascii="Arial" w:hAnsi="Arial" w:cs="Arial"/>
          <w:noProof/>
          <w:sz w:val="22"/>
          <w:szCs w:val="22"/>
        </w:rPr>
        <w:t xml:space="preserve">a tekuće rashode iznos od 19.658.169,22 kn, a za kapitalne rashode 1.499.029,00 kn. </w:t>
      </w:r>
      <w:r w:rsidR="00AB2645" w:rsidRPr="007F0E49">
        <w:rPr>
          <w:rFonts w:ascii="Arial" w:hAnsi="Arial" w:cs="Arial"/>
          <w:noProof/>
          <w:sz w:val="22"/>
          <w:szCs w:val="22"/>
        </w:rPr>
        <w:t>Pomoći izravnanja za decentralizirane funkcije o</w:t>
      </w:r>
      <w:r w:rsidRPr="007F0E49">
        <w:rPr>
          <w:rFonts w:ascii="Arial" w:hAnsi="Arial" w:cs="Arial"/>
          <w:noProof/>
          <w:sz w:val="22"/>
          <w:szCs w:val="22"/>
        </w:rPr>
        <w:t xml:space="preserve">stvareno je </w:t>
      </w:r>
      <w:r w:rsidR="00AB2645" w:rsidRPr="007F0E49">
        <w:rPr>
          <w:rFonts w:ascii="Arial" w:hAnsi="Arial" w:cs="Arial"/>
          <w:noProof/>
          <w:sz w:val="22"/>
          <w:szCs w:val="22"/>
        </w:rPr>
        <w:t xml:space="preserve">10,7% manje u odnosu na prethodnu godinu. </w:t>
      </w:r>
    </w:p>
    <w:p w:rsidR="007169D6" w:rsidRPr="007F0E49" w:rsidRDefault="00E134F6" w:rsidP="000E69DA">
      <w:pPr>
        <w:jc w:val="both"/>
        <w:rPr>
          <w:rFonts w:ascii="Arial" w:hAnsi="Arial" w:cs="Arial"/>
          <w:noProof/>
          <w:sz w:val="22"/>
          <w:szCs w:val="22"/>
        </w:rPr>
      </w:pPr>
      <w:r w:rsidRPr="007F0E49">
        <w:rPr>
          <w:rFonts w:ascii="Arial" w:hAnsi="Arial" w:cs="Arial"/>
          <w:noProof/>
          <w:sz w:val="22"/>
          <w:szCs w:val="22"/>
        </w:rPr>
        <w:t xml:space="preserve"> </w:t>
      </w:r>
    </w:p>
    <w:p w:rsidR="00D828A2" w:rsidRPr="007F0E49" w:rsidRDefault="000E69DA" w:rsidP="00D828A2">
      <w:pPr>
        <w:jc w:val="both"/>
        <w:rPr>
          <w:rFonts w:ascii="Arial" w:hAnsi="Arial" w:cs="Arial"/>
          <w:noProof/>
          <w:sz w:val="22"/>
          <w:szCs w:val="22"/>
        </w:rPr>
      </w:pPr>
      <w:r w:rsidRPr="007F0E49">
        <w:rPr>
          <w:rFonts w:ascii="Arial" w:hAnsi="Arial" w:cs="Arial"/>
          <w:i/>
          <w:sz w:val="22"/>
          <w:szCs w:val="22"/>
          <w:u w:val="single"/>
        </w:rPr>
        <w:t>Pomoći teme</w:t>
      </w:r>
      <w:r w:rsidR="00EC075B" w:rsidRPr="007F0E49">
        <w:rPr>
          <w:rFonts w:ascii="Arial" w:hAnsi="Arial" w:cs="Arial"/>
          <w:i/>
          <w:sz w:val="22"/>
          <w:szCs w:val="22"/>
          <w:u w:val="single"/>
        </w:rPr>
        <w:t>ljem prijenosa EU sredstava (638</w:t>
      </w:r>
      <w:r w:rsidRPr="007F0E49">
        <w:rPr>
          <w:rFonts w:ascii="Arial" w:hAnsi="Arial" w:cs="Arial"/>
          <w:i/>
          <w:sz w:val="22"/>
          <w:szCs w:val="22"/>
          <w:u w:val="single"/>
        </w:rPr>
        <w:t>)</w:t>
      </w:r>
      <w:r w:rsidRPr="007F0E49">
        <w:rPr>
          <w:rFonts w:ascii="Arial" w:hAnsi="Arial" w:cs="Arial"/>
          <w:sz w:val="22"/>
          <w:szCs w:val="22"/>
        </w:rPr>
        <w:t xml:space="preserve"> ukupno iznose </w:t>
      </w:r>
      <w:r w:rsidR="00014E56" w:rsidRPr="007F0E49">
        <w:rPr>
          <w:rFonts w:ascii="Arial" w:hAnsi="Arial" w:cs="Arial"/>
          <w:sz w:val="22"/>
          <w:szCs w:val="22"/>
        </w:rPr>
        <w:t>58.049.836,32</w:t>
      </w:r>
      <w:r w:rsidRPr="007F0E49">
        <w:rPr>
          <w:rFonts w:ascii="Arial" w:hAnsi="Arial" w:cs="Arial"/>
          <w:sz w:val="22"/>
          <w:szCs w:val="22"/>
        </w:rPr>
        <w:t xml:space="preserve"> kn i </w:t>
      </w:r>
      <w:r w:rsidR="00551A8B" w:rsidRPr="007F0E49">
        <w:rPr>
          <w:rFonts w:ascii="Arial" w:hAnsi="Arial" w:cs="Arial"/>
          <w:sz w:val="22"/>
          <w:szCs w:val="22"/>
        </w:rPr>
        <w:t xml:space="preserve">12,3% su </w:t>
      </w:r>
      <w:r w:rsidR="00014E56" w:rsidRPr="007F0E49">
        <w:rPr>
          <w:rFonts w:ascii="Arial" w:hAnsi="Arial" w:cs="Arial"/>
          <w:sz w:val="22"/>
          <w:szCs w:val="22"/>
        </w:rPr>
        <w:t xml:space="preserve">više </w:t>
      </w:r>
      <w:r w:rsidR="00551A8B" w:rsidRPr="007F0E49">
        <w:rPr>
          <w:rFonts w:ascii="Arial" w:hAnsi="Arial" w:cs="Arial"/>
          <w:sz w:val="22"/>
          <w:szCs w:val="22"/>
        </w:rPr>
        <w:t xml:space="preserve">ostvarene </w:t>
      </w:r>
      <w:r w:rsidR="00014E56" w:rsidRPr="007F0E49">
        <w:rPr>
          <w:rFonts w:ascii="Arial" w:hAnsi="Arial" w:cs="Arial"/>
          <w:sz w:val="22"/>
          <w:szCs w:val="22"/>
        </w:rPr>
        <w:t xml:space="preserve"> u odnosu na 2021. godinu. </w:t>
      </w:r>
      <w:r w:rsidR="00D828A2" w:rsidRPr="007F0E49">
        <w:rPr>
          <w:rFonts w:ascii="Arial" w:hAnsi="Arial" w:cs="Arial"/>
          <w:noProof/>
          <w:sz w:val="22"/>
          <w:szCs w:val="22"/>
        </w:rPr>
        <w:t>Najveće povećanje unutar podskupine 638 zabilježeno je kod ostvarenja kapitalne pomoći temeljem prijenosa EU sredstava (6382).</w:t>
      </w:r>
    </w:p>
    <w:p w:rsidR="00120E47" w:rsidRPr="007F0E49" w:rsidRDefault="00EC075B" w:rsidP="000E69DA">
      <w:pPr>
        <w:jc w:val="both"/>
        <w:rPr>
          <w:rFonts w:ascii="Arial" w:hAnsi="Arial" w:cs="Arial"/>
          <w:sz w:val="22"/>
          <w:szCs w:val="22"/>
        </w:rPr>
      </w:pPr>
      <w:r w:rsidRPr="007F0E49">
        <w:rPr>
          <w:rFonts w:ascii="Arial" w:hAnsi="Arial" w:cs="Arial"/>
          <w:sz w:val="22"/>
          <w:szCs w:val="22"/>
        </w:rPr>
        <w:t>Kapitalne pomoći temeljem prijenosa EU sredstava doznačene su u ukupnom iznosu od 56.265.683,34 kn za financiranje s</w:t>
      </w:r>
      <w:r w:rsidR="00996A04" w:rsidRPr="007F0E49">
        <w:rPr>
          <w:rFonts w:ascii="Arial" w:hAnsi="Arial" w:cs="Arial"/>
          <w:sz w:val="22"/>
          <w:szCs w:val="22"/>
        </w:rPr>
        <w:t>lijedećih EU projekata</w:t>
      </w:r>
      <w:r w:rsidRPr="007F0E49">
        <w:rPr>
          <w:rFonts w:ascii="Arial" w:hAnsi="Arial" w:cs="Arial"/>
          <w:sz w:val="22"/>
          <w:szCs w:val="22"/>
        </w:rPr>
        <w:t xml:space="preserve">: </w:t>
      </w:r>
      <w:r w:rsidR="00713BC8" w:rsidRPr="007F0E49">
        <w:rPr>
          <w:rFonts w:ascii="Arial" w:hAnsi="Arial" w:cs="Arial"/>
          <w:sz w:val="22"/>
          <w:szCs w:val="22"/>
        </w:rPr>
        <w:t xml:space="preserve">projekt </w:t>
      </w:r>
      <w:r w:rsidRPr="007F0E49">
        <w:rPr>
          <w:rFonts w:ascii="Arial" w:hAnsi="Arial" w:cs="Arial"/>
          <w:sz w:val="22"/>
          <w:szCs w:val="22"/>
        </w:rPr>
        <w:t>izgradnj</w:t>
      </w:r>
      <w:r w:rsidR="00713BC8" w:rsidRPr="007F0E49">
        <w:rPr>
          <w:rFonts w:ascii="Arial" w:hAnsi="Arial" w:cs="Arial"/>
          <w:sz w:val="22"/>
          <w:szCs w:val="22"/>
        </w:rPr>
        <w:t>e</w:t>
      </w:r>
      <w:r w:rsidRPr="007F0E49">
        <w:rPr>
          <w:rFonts w:ascii="Arial" w:hAnsi="Arial" w:cs="Arial"/>
          <w:sz w:val="22"/>
          <w:szCs w:val="22"/>
        </w:rPr>
        <w:t xml:space="preserve"> </w:t>
      </w:r>
      <w:r w:rsidR="00713BC8" w:rsidRPr="007F0E49">
        <w:rPr>
          <w:rFonts w:ascii="Arial" w:hAnsi="Arial" w:cs="Arial"/>
          <w:sz w:val="22"/>
          <w:szCs w:val="22"/>
        </w:rPr>
        <w:t>s</w:t>
      </w:r>
      <w:r w:rsidRPr="007F0E49">
        <w:rPr>
          <w:rFonts w:ascii="Arial" w:hAnsi="Arial" w:cs="Arial"/>
          <w:sz w:val="22"/>
          <w:szCs w:val="22"/>
        </w:rPr>
        <w:t xml:space="preserve">ortirnice otpada </w:t>
      </w:r>
      <w:r w:rsidR="00713BC8" w:rsidRPr="007F0E49">
        <w:rPr>
          <w:rFonts w:ascii="Arial" w:hAnsi="Arial" w:cs="Arial"/>
          <w:sz w:val="22"/>
          <w:szCs w:val="22"/>
        </w:rPr>
        <w:t xml:space="preserve">na lokaciji </w:t>
      </w:r>
      <w:r w:rsidRPr="007F0E49">
        <w:rPr>
          <w:rFonts w:ascii="Arial" w:hAnsi="Arial" w:cs="Arial"/>
          <w:sz w:val="22"/>
          <w:szCs w:val="22"/>
        </w:rPr>
        <w:t>Mihačeva draga,</w:t>
      </w:r>
      <w:r w:rsidR="00BD5748" w:rsidRPr="007F0E49">
        <w:rPr>
          <w:rFonts w:ascii="Arial" w:hAnsi="Arial" w:cs="Arial"/>
          <w:sz w:val="22"/>
          <w:szCs w:val="22"/>
        </w:rPr>
        <w:t xml:space="preserve"> </w:t>
      </w:r>
      <w:r w:rsidR="001C479F" w:rsidRPr="007F0E49">
        <w:rPr>
          <w:rFonts w:ascii="Arial" w:hAnsi="Arial" w:cs="Arial"/>
          <w:sz w:val="22"/>
          <w:szCs w:val="22"/>
        </w:rPr>
        <w:t xml:space="preserve">za kapitalna ulaganja u objekte u kulturi: za projekt </w:t>
      </w:r>
      <w:r w:rsidRPr="007F0E49">
        <w:rPr>
          <w:rFonts w:ascii="Arial" w:hAnsi="Arial" w:cs="Arial"/>
          <w:sz w:val="22"/>
          <w:szCs w:val="22"/>
        </w:rPr>
        <w:t>R</w:t>
      </w:r>
      <w:r w:rsidR="00740847" w:rsidRPr="007F0E49">
        <w:rPr>
          <w:rFonts w:ascii="Arial" w:hAnsi="Arial" w:cs="Arial"/>
          <w:sz w:val="22"/>
          <w:szCs w:val="22"/>
        </w:rPr>
        <w:t>evitalizacij</w:t>
      </w:r>
      <w:r w:rsidR="00551A8B" w:rsidRPr="007F0E49">
        <w:rPr>
          <w:rFonts w:ascii="Arial" w:hAnsi="Arial" w:cs="Arial"/>
          <w:sz w:val="22"/>
          <w:szCs w:val="22"/>
        </w:rPr>
        <w:t>a</w:t>
      </w:r>
      <w:r w:rsidR="00740847" w:rsidRPr="007F0E49">
        <w:rPr>
          <w:rFonts w:ascii="Arial" w:hAnsi="Arial" w:cs="Arial"/>
          <w:sz w:val="22"/>
          <w:szCs w:val="22"/>
        </w:rPr>
        <w:t xml:space="preserve"> kompleksa Benčić - C</w:t>
      </w:r>
      <w:r w:rsidRPr="007F0E49">
        <w:rPr>
          <w:rFonts w:ascii="Arial" w:hAnsi="Arial" w:cs="Arial"/>
          <w:sz w:val="22"/>
          <w:szCs w:val="22"/>
        </w:rPr>
        <w:t>igleni i T obj</w:t>
      </w:r>
      <w:r w:rsidR="00BD5748" w:rsidRPr="007F0E49">
        <w:rPr>
          <w:rFonts w:ascii="Arial" w:hAnsi="Arial" w:cs="Arial"/>
          <w:sz w:val="22"/>
          <w:szCs w:val="22"/>
        </w:rPr>
        <w:t>ekt</w:t>
      </w:r>
      <w:r w:rsidRPr="007F0E49">
        <w:rPr>
          <w:rFonts w:ascii="Arial" w:hAnsi="Arial" w:cs="Arial"/>
          <w:sz w:val="22"/>
          <w:szCs w:val="22"/>
        </w:rPr>
        <w:t>,</w:t>
      </w:r>
      <w:r w:rsidR="00BD5748" w:rsidRPr="007F0E49">
        <w:rPr>
          <w:rFonts w:ascii="Arial" w:hAnsi="Arial" w:cs="Arial"/>
          <w:sz w:val="22"/>
          <w:szCs w:val="22"/>
        </w:rPr>
        <w:t xml:space="preserve"> </w:t>
      </w:r>
      <w:r w:rsidRPr="007F0E49">
        <w:rPr>
          <w:rFonts w:ascii="Arial" w:hAnsi="Arial" w:cs="Arial"/>
          <w:sz w:val="22"/>
          <w:szCs w:val="22"/>
        </w:rPr>
        <w:t>za projekt Turistička valorizacija reprezentativnih spomenika riječke industrijske baštine</w:t>
      </w:r>
      <w:r w:rsidR="00740847" w:rsidRPr="007F0E49">
        <w:rPr>
          <w:rFonts w:ascii="Arial" w:hAnsi="Arial" w:cs="Arial"/>
          <w:sz w:val="22"/>
          <w:szCs w:val="22"/>
        </w:rPr>
        <w:t xml:space="preserve"> – rekonstrukcija i opremanje P</w:t>
      </w:r>
      <w:r w:rsidR="0037238A" w:rsidRPr="007F0E49">
        <w:rPr>
          <w:rFonts w:ascii="Arial" w:hAnsi="Arial" w:cs="Arial"/>
          <w:sz w:val="22"/>
          <w:szCs w:val="22"/>
        </w:rPr>
        <w:t>alače šećerane</w:t>
      </w:r>
      <w:r w:rsidR="001C479F" w:rsidRPr="007F0E49">
        <w:rPr>
          <w:rFonts w:ascii="Arial" w:hAnsi="Arial" w:cs="Arial"/>
          <w:sz w:val="22"/>
          <w:szCs w:val="22"/>
        </w:rPr>
        <w:t xml:space="preserve"> </w:t>
      </w:r>
      <w:r w:rsidR="00551A8B" w:rsidRPr="007F0E49">
        <w:rPr>
          <w:rFonts w:ascii="Arial" w:hAnsi="Arial" w:cs="Arial"/>
          <w:sz w:val="22"/>
          <w:szCs w:val="22"/>
        </w:rPr>
        <w:t>te</w:t>
      </w:r>
      <w:r w:rsidRPr="007F0E49">
        <w:rPr>
          <w:rFonts w:ascii="Arial" w:hAnsi="Arial" w:cs="Arial"/>
          <w:sz w:val="22"/>
          <w:szCs w:val="22"/>
        </w:rPr>
        <w:t xml:space="preserve"> </w:t>
      </w:r>
      <w:r w:rsidR="001C479F" w:rsidRPr="007F0E49">
        <w:rPr>
          <w:rFonts w:ascii="Arial" w:hAnsi="Arial" w:cs="Arial"/>
          <w:sz w:val="22"/>
          <w:szCs w:val="22"/>
        </w:rPr>
        <w:t xml:space="preserve">za projekt Povežimo se baštinom, zatim </w:t>
      </w:r>
      <w:r w:rsidR="00443FA2" w:rsidRPr="007F0E49">
        <w:rPr>
          <w:rFonts w:ascii="Arial" w:hAnsi="Arial" w:cs="Arial"/>
          <w:sz w:val="22"/>
          <w:szCs w:val="22"/>
        </w:rPr>
        <w:t>doznačena je pomoć</w:t>
      </w:r>
      <w:r w:rsidR="00551A8B" w:rsidRPr="007F0E49">
        <w:rPr>
          <w:rFonts w:ascii="Arial" w:hAnsi="Arial" w:cs="Arial"/>
          <w:sz w:val="22"/>
          <w:szCs w:val="22"/>
        </w:rPr>
        <w:t xml:space="preserve"> temeljem prijenosa EU sredstava </w:t>
      </w:r>
      <w:r w:rsidR="00443FA2" w:rsidRPr="007F0E49">
        <w:rPr>
          <w:rFonts w:ascii="Arial" w:hAnsi="Arial" w:cs="Arial"/>
          <w:sz w:val="22"/>
          <w:szCs w:val="22"/>
        </w:rPr>
        <w:t xml:space="preserve">za </w:t>
      </w:r>
      <w:r w:rsidR="001C479F" w:rsidRPr="007F0E49">
        <w:rPr>
          <w:rFonts w:ascii="Arial" w:hAnsi="Arial" w:cs="Arial"/>
          <w:sz w:val="22"/>
          <w:szCs w:val="22"/>
        </w:rPr>
        <w:t>projekt Poslovna zona Bodulovo</w:t>
      </w:r>
      <w:r w:rsidR="00C0081F" w:rsidRPr="007F0E49">
        <w:rPr>
          <w:rFonts w:ascii="Arial" w:hAnsi="Arial" w:cs="Arial"/>
          <w:sz w:val="22"/>
          <w:szCs w:val="22"/>
        </w:rPr>
        <w:t xml:space="preserve"> i</w:t>
      </w:r>
      <w:r w:rsidR="00443FA2" w:rsidRPr="007F0E49">
        <w:rPr>
          <w:rFonts w:ascii="Arial" w:hAnsi="Arial" w:cs="Arial"/>
          <w:sz w:val="22"/>
          <w:szCs w:val="22"/>
        </w:rPr>
        <w:t xml:space="preserve"> za projekt </w:t>
      </w:r>
      <w:r w:rsidRPr="007F0E49">
        <w:rPr>
          <w:rFonts w:ascii="Arial" w:hAnsi="Arial" w:cs="Arial"/>
          <w:sz w:val="22"/>
          <w:szCs w:val="22"/>
        </w:rPr>
        <w:t>Energan</w:t>
      </w:r>
      <w:r w:rsidR="00443FA2" w:rsidRPr="007F0E49">
        <w:rPr>
          <w:rFonts w:ascii="Arial" w:hAnsi="Arial" w:cs="Arial"/>
          <w:sz w:val="22"/>
          <w:szCs w:val="22"/>
        </w:rPr>
        <w:t xml:space="preserve">a </w:t>
      </w:r>
      <w:r w:rsidRPr="007F0E49">
        <w:rPr>
          <w:rFonts w:ascii="Arial" w:hAnsi="Arial" w:cs="Arial"/>
          <w:sz w:val="22"/>
          <w:szCs w:val="22"/>
        </w:rPr>
        <w:t>-</w:t>
      </w:r>
      <w:r w:rsidR="00443FA2" w:rsidRPr="007F0E49">
        <w:rPr>
          <w:rFonts w:ascii="Arial" w:hAnsi="Arial" w:cs="Arial"/>
          <w:sz w:val="22"/>
          <w:szCs w:val="22"/>
        </w:rPr>
        <w:t xml:space="preserve"> </w:t>
      </w:r>
      <w:r w:rsidRPr="007F0E49">
        <w:rPr>
          <w:rFonts w:ascii="Arial" w:hAnsi="Arial" w:cs="Arial"/>
          <w:sz w:val="22"/>
          <w:szCs w:val="22"/>
        </w:rPr>
        <w:t>start up inkubator za kreativne tehnologije i IT industriju</w:t>
      </w:r>
      <w:r w:rsidR="00443FA2" w:rsidRPr="007F0E49">
        <w:rPr>
          <w:rFonts w:ascii="Arial" w:hAnsi="Arial" w:cs="Arial"/>
          <w:sz w:val="22"/>
          <w:szCs w:val="22"/>
        </w:rPr>
        <w:t>.</w:t>
      </w:r>
      <w:r w:rsidRPr="007F0E49">
        <w:rPr>
          <w:rFonts w:ascii="Arial" w:hAnsi="Arial" w:cs="Arial"/>
          <w:sz w:val="22"/>
          <w:szCs w:val="22"/>
        </w:rPr>
        <w:t xml:space="preserve"> </w:t>
      </w:r>
    </w:p>
    <w:p w:rsidR="00014E56" w:rsidRPr="007F0E49" w:rsidRDefault="00014E56" w:rsidP="000E69DA">
      <w:pPr>
        <w:jc w:val="both"/>
        <w:rPr>
          <w:rFonts w:ascii="Arial" w:hAnsi="Arial" w:cs="Arial"/>
          <w:b/>
          <w:sz w:val="22"/>
          <w:szCs w:val="22"/>
        </w:rPr>
      </w:pPr>
    </w:p>
    <w:p w:rsidR="000E69DA" w:rsidRPr="007F0E49" w:rsidRDefault="00A324F7" w:rsidP="000E69DA">
      <w:pPr>
        <w:jc w:val="both"/>
        <w:rPr>
          <w:rFonts w:ascii="Arial" w:hAnsi="Arial" w:cs="Arial"/>
          <w:sz w:val="22"/>
          <w:szCs w:val="22"/>
        </w:rPr>
      </w:pPr>
      <w:r w:rsidRPr="007F0E49">
        <w:rPr>
          <w:rFonts w:ascii="Arial" w:hAnsi="Arial" w:cs="Arial"/>
          <w:b/>
          <w:sz w:val="22"/>
          <w:szCs w:val="22"/>
        </w:rPr>
        <w:t>Prih</w:t>
      </w:r>
      <w:r w:rsidR="000F1FE3" w:rsidRPr="007F0E49">
        <w:rPr>
          <w:rFonts w:ascii="Arial" w:hAnsi="Arial" w:cs="Arial"/>
          <w:b/>
          <w:sz w:val="22"/>
          <w:szCs w:val="22"/>
        </w:rPr>
        <w:t>odi od imovine (64</w:t>
      </w:r>
      <w:r w:rsidR="000E69DA" w:rsidRPr="007F0E49">
        <w:rPr>
          <w:rFonts w:ascii="Arial" w:hAnsi="Arial" w:cs="Arial"/>
          <w:b/>
          <w:sz w:val="22"/>
          <w:szCs w:val="22"/>
        </w:rPr>
        <w:t>)</w:t>
      </w:r>
      <w:r w:rsidR="000E69DA" w:rsidRPr="007F0E49">
        <w:rPr>
          <w:rFonts w:ascii="Arial" w:hAnsi="Arial" w:cs="Arial"/>
          <w:sz w:val="22"/>
          <w:szCs w:val="22"/>
        </w:rPr>
        <w:t xml:space="preserve"> ostv</w:t>
      </w:r>
      <w:r w:rsidR="00276304" w:rsidRPr="007F0E49">
        <w:rPr>
          <w:rFonts w:ascii="Arial" w:hAnsi="Arial" w:cs="Arial"/>
          <w:sz w:val="22"/>
          <w:szCs w:val="22"/>
        </w:rPr>
        <w:t xml:space="preserve">areni su u iznosu od </w:t>
      </w:r>
      <w:r w:rsidR="000F1FE3" w:rsidRPr="007F0E49">
        <w:rPr>
          <w:rFonts w:ascii="Arial" w:hAnsi="Arial" w:cs="Arial"/>
          <w:sz w:val="22"/>
          <w:szCs w:val="22"/>
        </w:rPr>
        <w:t>101.632.372,57 kn ili 4,2</w:t>
      </w:r>
      <w:r w:rsidR="002F6B2D" w:rsidRPr="007F0E49">
        <w:rPr>
          <w:rFonts w:ascii="Arial" w:hAnsi="Arial" w:cs="Arial"/>
          <w:sz w:val="22"/>
          <w:szCs w:val="22"/>
        </w:rPr>
        <w:t>% više</w:t>
      </w:r>
      <w:r w:rsidR="000E69DA" w:rsidRPr="007F0E49">
        <w:rPr>
          <w:rFonts w:ascii="Arial" w:hAnsi="Arial" w:cs="Arial"/>
          <w:sz w:val="22"/>
          <w:szCs w:val="22"/>
        </w:rPr>
        <w:t xml:space="preserve"> u odnosu na isto izvještajno razdoblje prethodne godine.</w:t>
      </w:r>
    </w:p>
    <w:p w:rsidR="000E69DA" w:rsidRPr="007F0E49" w:rsidRDefault="000E69DA" w:rsidP="000E69DA">
      <w:pPr>
        <w:jc w:val="both"/>
        <w:rPr>
          <w:rFonts w:ascii="Arial" w:hAnsi="Arial" w:cs="Arial"/>
          <w:sz w:val="22"/>
          <w:szCs w:val="22"/>
        </w:rPr>
      </w:pPr>
    </w:p>
    <w:p w:rsidR="000E69DA" w:rsidRPr="007F0E49" w:rsidRDefault="000E69DA" w:rsidP="000E69DA">
      <w:pPr>
        <w:jc w:val="both"/>
        <w:rPr>
          <w:rFonts w:ascii="Arial" w:hAnsi="Arial" w:cs="Arial"/>
          <w:sz w:val="22"/>
          <w:szCs w:val="22"/>
        </w:rPr>
      </w:pPr>
      <w:r w:rsidRPr="007F0E49">
        <w:rPr>
          <w:rFonts w:ascii="Arial" w:hAnsi="Arial" w:cs="Arial"/>
          <w:i/>
          <w:sz w:val="22"/>
          <w:szCs w:val="22"/>
          <w:u w:val="single"/>
        </w:rPr>
        <w:t>Prihodi</w:t>
      </w:r>
      <w:r w:rsidR="000F1FE3" w:rsidRPr="007F0E49">
        <w:rPr>
          <w:rFonts w:ascii="Arial" w:hAnsi="Arial" w:cs="Arial"/>
          <w:i/>
          <w:sz w:val="22"/>
          <w:szCs w:val="22"/>
          <w:u w:val="single"/>
        </w:rPr>
        <w:t xml:space="preserve"> od financijske imovine (641</w:t>
      </w:r>
      <w:r w:rsidRPr="007F0E49">
        <w:rPr>
          <w:rFonts w:ascii="Arial" w:hAnsi="Arial" w:cs="Arial"/>
          <w:i/>
          <w:sz w:val="22"/>
          <w:szCs w:val="22"/>
          <w:u w:val="single"/>
        </w:rPr>
        <w:t>)</w:t>
      </w:r>
      <w:r w:rsidRPr="007F0E49">
        <w:rPr>
          <w:rFonts w:ascii="Arial" w:hAnsi="Arial" w:cs="Arial"/>
          <w:sz w:val="22"/>
          <w:szCs w:val="22"/>
        </w:rPr>
        <w:t xml:space="preserve"> ostvareni su u iznosu od </w:t>
      </w:r>
      <w:r w:rsidR="000F1FE3" w:rsidRPr="007F0E49">
        <w:rPr>
          <w:rFonts w:ascii="Arial" w:hAnsi="Arial" w:cs="Arial"/>
          <w:sz w:val="22"/>
          <w:szCs w:val="22"/>
        </w:rPr>
        <w:t>2.614.785,65</w:t>
      </w:r>
      <w:r w:rsidRPr="007F0E49">
        <w:rPr>
          <w:rFonts w:ascii="Arial" w:hAnsi="Arial" w:cs="Arial"/>
          <w:sz w:val="22"/>
          <w:szCs w:val="22"/>
        </w:rPr>
        <w:t xml:space="preserve"> kn. Ostvarenje ovih prihoda u </w:t>
      </w:r>
      <w:r w:rsidR="00101FE3" w:rsidRPr="007F0E49">
        <w:rPr>
          <w:rFonts w:ascii="Arial" w:hAnsi="Arial" w:cs="Arial"/>
          <w:sz w:val="22"/>
          <w:szCs w:val="22"/>
        </w:rPr>
        <w:t>2022</w:t>
      </w:r>
      <w:r w:rsidRPr="007F0E49">
        <w:rPr>
          <w:rFonts w:ascii="Arial" w:hAnsi="Arial" w:cs="Arial"/>
          <w:sz w:val="22"/>
          <w:szCs w:val="22"/>
        </w:rPr>
        <w:t>. godini odnosi se u najvećem dijelu na prihode od zateznih kamata (</w:t>
      </w:r>
      <w:r w:rsidR="000F1FE3" w:rsidRPr="007F0E49">
        <w:rPr>
          <w:rFonts w:ascii="Arial" w:hAnsi="Arial" w:cs="Arial"/>
          <w:sz w:val="22"/>
          <w:szCs w:val="22"/>
        </w:rPr>
        <w:t>2.602.096,53</w:t>
      </w:r>
      <w:r w:rsidRPr="007F0E49">
        <w:rPr>
          <w:rFonts w:ascii="Arial" w:hAnsi="Arial" w:cs="Arial"/>
          <w:sz w:val="22"/>
          <w:szCs w:val="22"/>
        </w:rPr>
        <w:t xml:space="preserve"> kn).</w:t>
      </w:r>
    </w:p>
    <w:p w:rsidR="000E69DA" w:rsidRPr="007F0E49" w:rsidRDefault="000E69DA" w:rsidP="000E69DA">
      <w:pPr>
        <w:jc w:val="both"/>
        <w:rPr>
          <w:rFonts w:ascii="Arial" w:hAnsi="Arial" w:cs="Arial"/>
          <w:sz w:val="22"/>
          <w:szCs w:val="22"/>
        </w:rPr>
      </w:pPr>
    </w:p>
    <w:p w:rsidR="00466E07" w:rsidRPr="007F0E49" w:rsidRDefault="000E69DA" w:rsidP="00466E07">
      <w:pPr>
        <w:jc w:val="both"/>
        <w:rPr>
          <w:rFonts w:ascii="Arial" w:hAnsi="Arial" w:cs="Arial"/>
          <w:sz w:val="22"/>
          <w:szCs w:val="22"/>
        </w:rPr>
      </w:pPr>
      <w:r w:rsidRPr="007F0E49">
        <w:rPr>
          <w:rFonts w:ascii="Arial" w:hAnsi="Arial" w:cs="Arial"/>
          <w:i/>
          <w:sz w:val="22"/>
          <w:szCs w:val="22"/>
          <w:u w:val="single"/>
        </w:rPr>
        <w:t>Prih</w:t>
      </w:r>
      <w:r w:rsidR="000F1FE3" w:rsidRPr="007F0E49">
        <w:rPr>
          <w:rFonts w:ascii="Arial" w:hAnsi="Arial" w:cs="Arial"/>
          <w:i/>
          <w:sz w:val="22"/>
          <w:szCs w:val="22"/>
          <w:u w:val="single"/>
        </w:rPr>
        <w:t>odi od nefinancijske imovine (642</w:t>
      </w:r>
      <w:r w:rsidRPr="007F0E49">
        <w:rPr>
          <w:rFonts w:ascii="Arial" w:hAnsi="Arial" w:cs="Arial"/>
          <w:i/>
          <w:sz w:val="22"/>
          <w:szCs w:val="22"/>
          <w:u w:val="single"/>
        </w:rPr>
        <w:t>)</w:t>
      </w:r>
      <w:r w:rsidRPr="007F0E49">
        <w:rPr>
          <w:rFonts w:ascii="Arial" w:hAnsi="Arial" w:cs="Arial"/>
          <w:sz w:val="22"/>
          <w:szCs w:val="22"/>
        </w:rPr>
        <w:t xml:space="preserve"> ostvareni su u iznosu </w:t>
      </w:r>
      <w:r w:rsidR="000F1FE3" w:rsidRPr="007F0E49">
        <w:rPr>
          <w:rFonts w:ascii="Arial" w:hAnsi="Arial" w:cs="Arial"/>
          <w:sz w:val="22"/>
          <w:szCs w:val="22"/>
        </w:rPr>
        <w:t>99.017.586,92</w:t>
      </w:r>
      <w:r w:rsidRPr="007F0E49">
        <w:rPr>
          <w:rFonts w:ascii="Arial" w:hAnsi="Arial" w:cs="Arial"/>
          <w:sz w:val="22"/>
          <w:szCs w:val="22"/>
        </w:rPr>
        <w:t xml:space="preserve"> kn. Najznačajniji prihodi </w:t>
      </w:r>
      <w:r w:rsidR="00D00111" w:rsidRPr="007F0E49">
        <w:rPr>
          <w:rFonts w:ascii="Arial" w:hAnsi="Arial" w:cs="Arial"/>
          <w:sz w:val="22"/>
          <w:szCs w:val="22"/>
        </w:rPr>
        <w:t xml:space="preserve">u okviru ove podskupine su </w:t>
      </w:r>
      <w:r w:rsidRPr="007F0E49">
        <w:rPr>
          <w:rFonts w:ascii="Arial" w:hAnsi="Arial" w:cs="Arial"/>
          <w:sz w:val="22"/>
          <w:szCs w:val="22"/>
        </w:rPr>
        <w:t>prihodi od zakupa i iznajmljivanja imovine (zakup poslovnih prostora, najam stambenih prostora, zakup javnih površina i zemlj</w:t>
      </w:r>
      <w:r w:rsidR="008301F3" w:rsidRPr="007F0E49">
        <w:rPr>
          <w:rFonts w:ascii="Arial" w:hAnsi="Arial" w:cs="Arial"/>
          <w:sz w:val="22"/>
          <w:szCs w:val="22"/>
        </w:rPr>
        <w:t>išta)</w:t>
      </w:r>
      <w:r w:rsidR="00466E07" w:rsidRPr="007F0E49">
        <w:rPr>
          <w:rFonts w:ascii="Arial" w:hAnsi="Arial" w:cs="Arial"/>
          <w:sz w:val="22"/>
          <w:szCs w:val="22"/>
        </w:rPr>
        <w:t xml:space="preserve"> </w:t>
      </w:r>
      <w:r w:rsidR="00D00111" w:rsidRPr="007F0E49">
        <w:rPr>
          <w:rFonts w:ascii="Arial" w:hAnsi="Arial" w:cs="Arial"/>
          <w:sz w:val="22"/>
          <w:szCs w:val="22"/>
        </w:rPr>
        <w:t>koji u ovom izvještajnom razdoblju</w:t>
      </w:r>
      <w:r w:rsidR="00A324F7" w:rsidRPr="007F0E49">
        <w:rPr>
          <w:rFonts w:ascii="Arial" w:hAnsi="Arial" w:cs="Arial"/>
          <w:sz w:val="22"/>
          <w:szCs w:val="22"/>
        </w:rPr>
        <w:t xml:space="preserve"> bilježe rast od </w:t>
      </w:r>
      <w:r w:rsidR="000F1FE3" w:rsidRPr="007F0E49">
        <w:rPr>
          <w:rFonts w:ascii="Arial" w:hAnsi="Arial" w:cs="Arial"/>
          <w:sz w:val="22"/>
          <w:szCs w:val="22"/>
        </w:rPr>
        <w:t>5,2</w:t>
      </w:r>
      <w:r w:rsidR="008301F3" w:rsidRPr="007F0E49">
        <w:rPr>
          <w:rFonts w:ascii="Arial" w:hAnsi="Arial" w:cs="Arial"/>
          <w:sz w:val="22"/>
          <w:szCs w:val="22"/>
        </w:rPr>
        <w:t>%</w:t>
      </w:r>
      <w:r w:rsidR="00F12C49" w:rsidRPr="007F0E49">
        <w:rPr>
          <w:rFonts w:ascii="Arial" w:hAnsi="Arial" w:cs="Arial"/>
          <w:sz w:val="22"/>
          <w:szCs w:val="22"/>
        </w:rPr>
        <w:t xml:space="preserve"> ili apsolutno</w:t>
      </w:r>
      <w:r w:rsidR="00A61922" w:rsidRPr="007F0E49">
        <w:rPr>
          <w:rFonts w:ascii="Arial" w:hAnsi="Arial" w:cs="Arial"/>
          <w:sz w:val="22"/>
          <w:szCs w:val="22"/>
        </w:rPr>
        <w:t xml:space="preserve"> </w:t>
      </w:r>
      <w:r w:rsidR="000F1FE3" w:rsidRPr="007F0E49">
        <w:rPr>
          <w:rFonts w:ascii="Arial" w:hAnsi="Arial" w:cs="Arial"/>
          <w:sz w:val="22"/>
          <w:szCs w:val="22"/>
        </w:rPr>
        <w:t>4.240.668,77</w:t>
      </w:r>
      <w:r w:rsidR="00A61922" w:rsidRPr="007F0E49">
        <w:rPr>
          <w:rFonts w:ascii="Arial" w:hAnsi="Arial" w:cs="Arial"/>
          <w:sz w:val="22"/>
          <w:szCs w:val="22"/>
        </w:rPr>
        <w:t xml:space="preserve"> kn,</w:t>
      </w:r>
      <w:r w:rsidR="00A80A92" w:rsidRPr="007F0E49">
        <w:rPr>
          <w:rFonts w:ascii="Arial" w:hAnsi="Arial" w:cs="Arial"/>
          <w:sz w:val="22"/>
          <w:szCs w:val="22"/>
        </w:rPr>
        <w:t xml:space="preserve"> u odnosu na ostvarenje prethodne godine. </w:t>
      </w:r>
      <w:r w:rsidR="00101FE3" w:rsidRPr="007F0E49">
        <w:rPr>
          <w:rFonts w:ascii="Arial" w:hAnsi="Arial" w:cs="Arial"/>
          <w:sz w:val="22"/>
          <w:szCs w:val="22"/>
        </w:rPr>
        <w:t>Također značajan rast bilježe</w:t>
      </w:r>
      <w:r w:rsidR="002C7880" w:rsidRPr="007F0E49">
        <w:rPr>
          <w:rFonts w:ascii="Arial" w:hAnsi="Arial" w:cs="Arial"/>
          <w:sz w:val="22"/>
          <w:szCs w:val="22"/>
        </w:rPr>
        <w:t xml:space="preserve"> </w:t>
      </w:r>
      <w:r w:rsidR="00101FE3" w:rsidRPr="007F0E49">
        <w:rPr>
          <w:rFonts w:ascii="Arial" w:hAnsi="Arial" w:cs="Arial"/>
          <w:sz w:val="22"/>
          <w:szCs w:val="22"/>
        </w:rPr>
        <w:t>naknade za koncesije i to za 94,1%.</w:t>
      </w:r>
    </w:p>
    <w:p w:rsidR="000E69DA" w:rsidRPr="007F0E49" w:rsidRDefault="000E69DA" w:rsidP="000E69DA">
      <w:pPr>
        <w:jc w:val="both"/>
        <w:rPr>
          <w:rFonts w:ascii="Arial" w:hAnsi="Arial" w:cs="Arial"/>
          <w:b/>
          <w:color w:val="C00000"/>
          <w:sz w:val="22"/>
          <w:szCs w:val="22"/>
        </w:rPr>
      </w:pPr>
    </w:p>
    <w:p w:rsidR="000E69DA" w:rsidRPr="007F0E49" w:rsidRDefault="000E69DA" w:rsidP="000E69DA">
      <w:pPr>
        <w:jc w:val="both"/>
        <w:rPr>
          <w:rFonts w:ascii="Arial" w:hAnsi="Arial" w:cs="Arial"/>
          <w:sz w:val="22"/>
          <w:szCs w:val="22"/>
        </w:rPr>
      </w:pPr>
      <w:r w:rsidRPr="007F0E49">
        <w:rPr>
          <w:rFonts w:ascii="Arial" w:hAnsi="Arial" w:cs="Arial"/>
          <w:b/>
          <w:sz w:val="22"/>
          <w:szCs w:val="22"/>
        </w:rPr>
        <w:t>Prihodi od upravnih i administrativnih pristojbi po poseb</w:t>
      </w:r>
      <w:r w:rsidR="00FA2D69" w:rsidRPr="007F0E49">
        <w:rPr>
          <w:rFonts w:ascii="Arial" w:hAnsi="Arial" w:cs="Arial"/>
          <w:b/>
          <w:sz w:val="22"/>
          <w:szCs w:val="22"/>
        </w:rPr>
        <w:t>nim propisima i naknade (</w:t>
      </w:r>
      <w:r w:rsidR="000F1FE3" w:rsidRPr="007F0E49">
        <w:rPr>
          <w:rFonts w:ascii="Arial" w:hAnsi="Arial" w:cs="Arial"/>
          <w:b/>
          <w:sz w:val="22"/>
          <w:szCs w:val="22"/>
        </w:rPr>
        <w:t>65</w:t>
      </w:r>
      <w:r w:rsidRPr="007F0E49">
        <w:rPr>
          <w:rFonts w:ascii="Arial" w:hAnsi="Arial" w:cs="Arial"/>
          <w:i/>
          <w:sz w:val="22"/>
          <w:szCs w:val="22"/>
          <w:u w:val="single"/>
        </w:rPr>
        <w:t>)</w:t>
      </w:r>
      <w:r w:rsidRPr="007F0E49">
        <w:rPr>
          <w:rFonts w:ascii="Arial" w:hAnsi="Arial" w:cs="Arial"/>
          <w:sz w:val="22"/>
          <w:szCs w:val="22"/>
        </w:rPr>
        <w:t xml:space="preserve"> ostvareni su u iznosu </w:t>
      </w:r>
      <w:r w:rsidR="000F1FE3" w:rsidRPr="007F0E49">
        <w:rPr>
          <w:rFonts w:ascii="Arial" w:hAnsi="Arial" w:cs="Arial"/>
          <w:sz w:val="22"/>
          <w:szCs w:val="22"/>
        </w:rPr>
        <w:t>132.405.687,29</w:t>
      </w:r>
      <w:r w:rsidR="009B4591" w:rsidRPr="007F0E49">
        <w:rPr>
          <w:rFonts w:ascii="Arial" w:hAnsi="Arial" w:cs="Arial"/>
          <w:sz w:val="22"/>
          <w:szCs w:val="22"/>
        </w:rPr>
        <w:t xml:space="preserve"> kn. </w:t>
      </w:r>
      <w:r w:rsidR="00AC0A0E" w:rsidRPr="007F0E49">
        <w:rPr>
          <w:rFonts w:ascii="Arial" w:hAnsi="Arial" w:cs="Arial"/>
          <w:sz w:val="22"/>
          <w:szCs w:val="22"/>
        </w:rPr>
        <w:t xml:space="preserve">Najznačajniji prihodi ove podskupine </w:t>
      </w:r>
      <w:r w:rsidR="00D6633E" w:rsidRPr="007F0E49">
        <w:rPr>
          <w:rFonts w:ascii="Arial" w:hAnsi="Arial" w:cs="Arial"/>
          <w:sz w:val="22"/>
          <w:szCs w:val="22"/>
        </w:rPr>
        <w:t xml:space="preserve">jesu </w:t>
      </w:r>
      <w:r w:rsidR="00AC0A0E" w:rsidRPr="007F0E49">
        <w:rPr>
          <w:rFonts w:ascii="Arial" w:hAnsi="Arial" w:cs="Arial"/>
          <w:sz w:val="22"/>
          <w:szCs w:val="22"/>
        </w:rPr>
        <w:t>k</w:t>
      </w:r>
      <w:r w:rsidRPr="007F0E49">
        <w:rPr>
          <w:rFonts w:ascii="Arial" w:hAnsi="Arial" w:cs="Arial"/>
          <w:sz w:val="22"/>
          <w:szCs w:val="22"/>
        </w:rPr>
        <w:t>omunalni doprin</w:t>
      </w:r>
      <w:r w:rsidR="00FA2D69" w:rsidRPr="007F0E49">
        <w:rPr>
          <w:rFonts w:ascii="Arial" w:hAnsi="Arial" w:cs="Arial"/>
          <w:sz w:val="22"/>
          <w:szCs w:val="22"/>
        </w:rPr>
        <w:t>os i komunalna naknada (</w:t>
      </w:r>
      <w:r w:rsidR="000F1FE3" w:rsidRPr="007F0E49">
        <w:rPr>
          <w:rFonts w:ascii="Arial" w:hAnsi="Arial" w:cs="Arial"/>
          <w:sz w:val="22"/>
          <w:szCs w:val="22"/>
        </w:rPr>
        <w:t>653</w:t>
      </w:r>
      <w:r w:rsidRPr="007F0E49">
        <w:rPr>
          <w:rFonts w:ascii="Arial" w:hAnsi="Arial" w:cs="Arial"/>
          <w:sz w:val="22"/>
          <w:szCs w:val="22"/>
        </w:rPr>
        <w:t xml:space="preserve">) </w:t>
      </w:r>
      <w:r w:rsidR="00AC0A0E" w:rsidRPr="007F0E49">
        <w:rPr>
          <w:rFonts w:ascii="Arial" w:hAnsi="Arial" w:cs="Arial"/>
          <w:sz w:val="22"/>
          <w:szCs w:val="22"/>
        </w:rPr>
        <w:t xml:space="preserve">s </w:t>
      </w:r>
      <w:r w:rsidR="00FD2872" w:rsidRPr="007F0E49">
        <w:rPr>
          <w:rFonts w:ascii="Arial" w:hAnsi="Arial" w:cs="Arial"/>
          <w:sz w:val="22"/>
          <w:szCs w:val="22"/>
        </w:rPr>
        <w:t>ukupn</w:t>
      </w:r>
      <w:r w:rsidR="00AC0A0E" w:rsidRPr="007F0E49">
        <w:rPr>
          <w:rFonts w:ascii="Arial" w:hAnsi="Arial" w:cs="Arial"/>
          <w:sz w:val="22"/>
          <w:szCs w:val="22"/>
        </w:rPr>
        <w:t>im</w:t>
      </w:r>
      <w:r w:rsidR="00FD2872" w:rsidRPr="007F0E49">
        <w:rPr>
          <w:rFonts w:ascii="Arial" w:hAnsi="Arial" w:cs="Arial"/>
          <w:sz w:val="22"/>
          <w:szCs w:val="22"/>
        </w:rPr>
        <w:t xml:space="preserve"> </w:t>
      </w:r>
      <w:r w:rsidRPr="007F0E49">
        <w:rPr>
          <w:rFonts w:ascii="Arial" w:hAnsi="Arial" w:cs="Arial"/>
          <w:sz w:val="22"/>
          <w:szCs w:val="22"/>
        </w:rPr>
        <w:t>ostvare</w:t>
      </w:r>
      <w:r w:rsidR="00AC0A0E" w:rsidRPr="007F0E49">
        <w:rPr>
          <w:rFonts w:ascii="Arial" w:hAnsi="Arial" w:cs="Arial"/>
          <w:sz w:val="22"/>
          <w:szCs w:val="22"/>
        </w:rPr>
        <w:t>njem</w:t>
      </w:r>
      <w:r w:rsidR="00F12C49" w:rsidRPr="007F0E49">
        <w:rPr>
          <w:rFonts w:ascii="Arial" w:hAnsi="Arial" w:cs="Arial"/>
          <w:sz w:val="22"/>
          <w:szCs w:val="22"/>
        </w:rPr>
        <w:t xml:space="preserve"> u iznosu od</w:t>
      </w:r>
      <w:r w:rsidR="00FA2D69" w:rsidRPr="007F0E49">
        <w:rPr>
          <w:rFonts w:ascii="Arial" w:hAnsi="Arial" w:cs="Arial"/>
          <w:sz w:val="22"/>
          <w:szCs w:val="22"/>
        </w:rPr>
        <w:t xml:space="preserve"> </w:t>
      </w:r>
      <w:r w:rsidR="000F1FE3" w:rsidRPr="007F0E49">
        <w:rPr>
          <w:rFonts w:ascii="Arial" w:hAnsi="Arial" w:cs="Arial"/>
          <w:sz w:val="22"/>
          <w:szCs w:val="22"/>
        </w:rPr>
        <w:t>123.303.491,13</w:t>
      </w:r>
      <w:r w:rsidRPr="007F0E49">
        <w:rPr>
          <w:rFonts w:ascii="Arial" w:hAnsi="Arial" w:cs="Arial"/>
          <w:sz w:val="22"/>
          <w:szCs w:val="22"/>
        </w:rPr>
        <w:t xml:space="preserve"> kn.</w:t>
      </w:r>
      <w:r w:rsidR="000F1FE3" w:rsidRPr="007F0E49">
        <w:rPr>
          <w:rFonts w:ascii="Arial" w:hAnsi="Arial" w:cs="Arial"/>
          <w:sz w:val="22"/>
          <w:szCs w:val="22"/>
        </w:rPr>
        <w:t xml:space="preserve"> Komunalni doprinos biljež</w:t>
      </w:r>
      <w:r w:rsidR="00D6633E" w:rsidRPr="007F0E49">
        <w:rPr>
          <w:rFonts w:ascii="Arial" w:hAnsi="Arial" w:cs="Arial"/>
          <w:sz w:val="22"/>
          <w:szCs w:val="22"/>
        </w:rPr>
        <w:t>i</w:t>
      </w:r>
      <w:r w:rsidR="000F1FE3" w:rsidRPr="007F0E49">
        <w:rPr>
          <w:rFonts w:ascii="Arial" w:hAnsi="Arial" w:cs="Arial"/>
          <w:sz w:val="22"/>
          <w:szCs w:val="22"/>
        </w:rPr>
        <w:t xml:space="preserve"> rast</w:t>
      </w:r>
      <w:r w:rsidR="00FA2D69" w:rsidRPr="007F0E49">
        <w:rPr>
          <w:rFonts w:ascii="Arial" w:hAnsi="Arial" w:cs="Arial"/>
          <w:sz w:val="22"/>
          <w:szCs w:val="22"/>
        </w:rPr>
        <w:t xml:space="preserve"> od </w:t>
      </w:r>
      <w:r w:rsidR="000F1FE3" w:rsidRPr="007F0E49">
        <w:rPr>
          <w:rFonts w:ascii="Arial" w:hAnsi="Arial" w:cs="Arial"/>
          <w:sz w:val="22"/>
          <w:szCs w:val="22"/>
        </w:rPr>
        <w:t>3,5</w:t>
      </w:r>
      <w:r w:rsidR="00F12C49" w:rsidRPr="007F0E49">
        <w:rPr>
          <w:rFonts w:ascii="Arial" w:hAnsi="Arial" w:cs="Arial"/>
          <w:sz w:val="22"/>
          <w:szCs w:val="22"/>
        </w:rPr>
        <w:t>%</w:t>
      </w:r>
      <w:r w:rsidR="00604EA3" w:rsidRPr="007F0E49">
        <w:rPr>
          <w:rFonts w:ascii="Arial" w:hAnsi="Arial" w:cs="Arial"/>
          <w:sz w:val="22"/>
          <w:szCs w:val="22"/>
        </w:rPr>
        <w:t xml:space="preserve">, a </w:t>
      </w:r>
      <w:r w:rsidR="00F12C49" w:rsidRPr="007F0E49">
        <w:rPr>
          <w:rFonts w:ascii="Arial" w:hAnsi="Arial" w:cs="Arial"/>
          <w:sz w:val="22"/>
          <w:szCs w:val="22"/>
        </w:rPr>
        <w:t xml:space="preserve"> </w:t>
      </w:r>
      <w:r w:rsidR="00604EA3" w:rsidRPr="007F0E49">
        <w:rPr>
          <w:rFonts w:ascii="Arial" w:hAnsi="Arial" w:cs="Arial"/>
          <w:sz w:val="22"/>
          <w:szCs w:val="22"/>
        </w:rPr>
        <w:t xml:space="preserve">ostvarenje </w:t>
      </w:r>
      <w:r w:rsidR="00F12C49" w:rsidRPr="007F0E49">
        <w:rPr>
          <w:rFonts w:ascii="Arial" w:hAnsi="Arial" w:cs="Arial"/>
          <w:sz w:val="22"/>
          <w:szCs w:val="22"/>
        </w:rPr>
        <w:t>komunaln</w:t>
      </w:r>
      <w:r w:rsidR="00604EA3" w:rsidRPr="007F0E49">
        <w:rPr>
          <w:rFonts w:ascii="Arial" w:hAnsi="Arial" w:cs="Arial"/>
          <w:sz w:val="22"/>
          <w:szCs w:val="22"/>
        </w:rPr>
        <w:t>e</w:t>
      </w:r>
      <w:r w:rsidR="00F12C49" w:rsidRPr="007F0E49">
        <w:rPr>
          <w:rFonts w:ascii="Arial" w:hAnsi="Arial" w:cs="Arial"/>
          <w:sz w:val="22"/>
          <w:szCs w:val="22"/>
        </w:rPr>
        <w:t xml:space="preserve"> naknad</w:t>
      </w:r>
      <w:r w:rsidR="00604EA3" w:rsidRPr="007F0E49">
        <w:rPr>
          <w:rFonts w:ascii="Arial" w:hAnsi="Arial" w:cs="Arial"/>
          <w:sz w:val="22"/>
          <w:szCs w:val="22"/>
        </w:rPr>
        <w:t>e</w:t>
      </w:r>
      <w:r w:rsidR="00F12C49" w:rsidRPr="007F0E49">
        <w:rPr>
          <w:rFonts w:ascii="Arial" w:hAnsi="Arial" w:cs="Arial"/>
          <w:sz w:val="22"/>
          <w:szCs w:val="22"/>
        </w:rPr>
        <w:t xml:space="preserve"> </w:t>
      </w:r>
      <w:r w:rsidR="00604EA3" w:rsidRPr="007F0E49">
        <w:rPr>
          <w:rFonts w:ascii="Arial" w:hAnsi="Arial" w:cs="Arial"/>
          <w:sz w:val="22"/>
          <w:szCs w:val="22"/>
        </w:rPr>
        <w:t xml:space="preserve">je </w:t>
      </w:r>
      <w:r w:rsidR="000F1FE3" w:rsidRPr="007F0E49">
        <w:rPr>
          <w:rFonts w:ascii="Arial" w:hAnsi="Arial" w:cs="Arial"/>
          <w:sz w:val="22"/>
          <w:szCs w:val="22"/>
        </w:rPr>
        <w:t>2,7</w:t>
      </w:r>
      <w:r w:rsidR="00FA2D69" w:rsidRPr="007F0E49">
        <w:rPr>
          <w:rFonts w:ascii="Arial" w:hAnsi="Arial" w:cs="Arial"/>
          <w:sz w:val="22"/>
          <w:szCs w:val="22"/>
        </w:rPr>
        <w:t>%</w:t>
      </w:r>
      <w:r w:rsidR="00604EA3" w:rsidRPr="007F0E49">
        <w:rPr>
          <w:rFonts w:ascii="Arial" w:hAnsi="Arial" w:cs="Arial"/>
          <w:sz w:val="22"/>
          <w:szCs w:val="22"/>
        </w:rPr>
        <w:t xml:space="preserve"> više u ovoj izvještajnoj godini u odnosu na prethodnu 2021.</w:t>
      </w:r>
      <w:r w:rsidRPr="007F0E49">
        <w:rPr>
          <w:rFonts w:ascii="Arial" w:hAnsi="Arial" w:cs="Arial"/>
          <w:sz w:val="22"/>
          <w:szCs w:val="22"/>
        </w:rPr>
        <w:t xml:space="preserve"> </w:t>
      </w:r>
    </w:p>
    <w:p w:rsidR="000E69DA" w:rsidRPr="007F0E49" w:rsidRDefault="009B4591" w:rsidP="000E69DA">
      <w:pPr>
        <w:jc w:val="both"/>
        <w:rPr>
          <w:rFonts w:ascii="Arial" w:hAnsi="Arial" w:cs="Arial"/>
          <w:sz w:val="22"/>
          <w:szCs w:val="22"/>
        </w:rPr>
      </w:pPr>
      <w:r w:rsidRPr="007F0E49">
        <w:rPr>
          <w:rFonts w:ascii="Arial" w:hAnsi="Arial" w:cs="Arial"/>
          <w:b/>
          <w:sz w:val="22"/>
          <w:szCs w:val="22"/>
        </w:rPr>
        <w:lastRenderedPageBreak/>
        <w:t>Prihodi od prodaje proizvoda i robe te pruženih usluga</w:t>
      </w:r>
      <w:r w:rsidR="00C31ECC" w:rsidRPr="007F0E49">
        <w:rPr>
          <w:rFonts w:ascii="Arial" w:hAnsi="Arial" w:cs="Arial"/>
          <w:b/>
          <w:sz w:val="22"/>
          <w:szCs w:val="22"/>
        </w:rPr>
        <w:t xml:space="preserve">, </w:t>
      </w:r>
      <w:r w:rsidRPr="007F0E49">
        <w:rPr>
          <w:rFonts w:ascii="Arial" w:hAnsi="Arial" w:cs="Arial"/>
          <w:b/>
          <w:sz w:val="22"/>
          <w:szCs w:val="22"/>
        </w:rPr>
        <w:t>prihodi od donacija te povrati po protestiranim jamstvima (</w:t>
      </w:r>
      <w:r w:rsidR="000F1FE3" w:rsidRPr="007F0E49">
        <w:rPr>
          <w:rFonts w:ascii="Arial" w:hAnsi="Arial" w:cs="Arial"/>
          <w:b/>
          <w:sz w:val="22"/>
          <w:szCs w:val="22"/>
        </w:rPr>
        <w:t>66</w:t>
      </w:r>
      <w:r w:rsidRPr="007F0E49">
        <w:rPr>
          <w:rFonts w:ascii="Arial" w:hAnsi="Arial" w:cs="Arial"/>
          <w:b/>
          <w:sz w:val="22"/>
          <w:szCs w:val="22"/>
        </w:rPr>
        <w:t>)</w:t>
      </w:r>
      <w:r w:rsidRPr="007F0E49">
        <w:rPr>
          <w:rFonts w:ascii="Arial" w:hAnsi="Arial" w:cs="Arial"/>
          <w:sz w:val="22"/>
          <w:szCs w:val="22"/>
        </w:rPr>
        <w:t xml:space="preserve"> </w:t>
      </w:r>
      <w:r w:rsidR="00481F77" w:rsidRPr="007F0E49">
        <w:rPr>
          <w:rFonts w:ascii="Arial" w:hAnsi="Arial" w:cs="Arial"/>
          <w:sz w:val="22"/>
          <w:szCs w:val="22"/>
        </w:rPr>
        <w:t xml:space="preserve">ostvareni su u iznosu od </w:t>
      </w:r>
      <w:r w:rsidR="000F1FE3" w:rsidRPr="007F0E49">
        <w:rPr>
          <w:rFonts w:ascii="Arial" w:hAnsi="Arial" w:cs="Arial"/>
          <w:sz w:val="22"/>
          <w:szCs w:val="22"/>
        </w:rPr>
        <w:t>1.767.253,19</w:t>
      </w:r>
      <w:r w:rsidRPr="007F0E49">
        <w:rPr>
          <w:rFonts w:ascii="Arial" w:hAnsi="Arial" w:cs="Arial"/>
          <w:sz w:val="22"/>
          <w:szCs w:val="22"/>
        </w:rPr>
        <w:t xml:space="preserve"> kn</w:t>
      </w:r>
      <w:r w:rsidR="000F1FE3" w:rsidRPr="007F0E49">
        <w:rPr>
          <w:rFonts w:ascii="Arial" w:hAnsi="Arial" w:cs="Arial"/>
          <w:sz w:val="22"/>
          <w:szCs w:val="22"/>
        </w:rPr>
        <w:t xml:space="preserve"> i bilježe pad</w:t>
      </w:r>
      <w:r w:rsidR="00481F77" w:rsidRPr="007F0E49">
        <w:rPr>
          <w:rFonts w:ascii="Arial" w:hAnsi="Arial" w:cs="Arial"/>
          <w:sz w:val="22"/>
          <w:szCs w:val="22"/>
        </w:rPr>
        <w:t xml:space="preserve"> u odnosu na prethodnu godinu i to </w:t>
      </w:r>
      <w:r w:rsidR="00FC3208" w:rsidRPr="007F0E49">
        <w:rPr>
          <w:rFonts w:ascii="Arial" w:hAnsi="Arial" w:cs="Arial"/>
          <w:sz w:val="22"/>
          <w:szCs w:val="22"/>
        </w:rPr>
        <w:t>u dijelu</w:t>
      </w:r>
      <w:r w:rsidR="00481F77" w:rsidRPr="007F0E49">
        <w:rPr>
          <w:rFonts w:ascii="Arial" w:hAnsi="Arial" w:cs="Arial"/>
          <w:sz w:val="22"/>
          <w:szCs w:val="22"/>
        </w:rPr>
        <w:t xml:space="preserve"> te</w:t>
      </w:r>
      <w:r w:rsidR="007A3F14" w:rsidRPr="007F0E49">
        <w:rPr>
          <w:rFonts w:ascii="Arial" w:hAnsi="Arial" w:cs="Arial"/>
          <w:sz w:val="22"/>
          <w:szCs w:val="22"/>
        </w:rPr>
        <w:t>kućih i kapitalnih donacija</w:t>
      </w:r>
      <w:r w:rsidR="00312605" w:rsidRPr="007F0E49">
        <w:rPr>
          <w:rFonts w:ascii="Arial" w:hAnsi="Arial" w:cs="Arial"/>
          <w:sz w:val="22"/>
          <w:szCs w:val="22"/>
        </w:rPr>
        <w:t xml:space="preserve">. </w:t>
      </w:r>
    </w:p>
    <w:p w:rsidR="00C21769" w:rsidRPr="007F0E49" w:rsidRDefault="00C21769" w:rsidP="000E69DA">
      <w:pPr>
        <w:jc w:val="both"/>
        <w:rPr>
          <w:rFonts w:ascii="Arial" w:hAnsi="Arial" w:cs="Arial"/>
          <w:b/>
          <w:sz w:val="22"/>
          <w:szCs w:val="22"/>
        </w:rPr>
      </w:pPr>
    </w:p>
    <w:p w:rsidR="008301F3" w:rsidRPr="007F0E49" w:rsidRDefault="000E69DA" w:rsidP="000E69DA">
      <w:pPr>
        <w:jc w:val="both"/>
        <w:rPr>
          <w:rFonts w:ascii="Arial" w:hAnsi="Arial" w:cs="Arial"/>
          <w:sz w:val="22"/>
          <w:szCs w:val="22"/>
        </w:rPr>
      </w:pPr>
      <w:r w:rsidRPr="007F0E49">
        <w:rPr>
          <w:rFonts w:ascii="Arial" w:hAnsi="Arial" w:cs="Arial"/>
          <w:b/>
          <w:sz w:val="22"/>
          <w:szCs w:val="22"/>
        </w:rPr>
        <w:t xml:space="preserve">Kazne, upravne mjere i ostali </w:t>
      </w:r>
      <w:r w:rsidR="00C31ECC" w:rsidRPr="007F0E49">
        <w:rPr>
          <w:rFonts w:ascii="Arial" w:hAnsi="Arial" w:cs="Arial"/>
          <w:b/>
          <w:sz w:val="22"/>
          <w:szCs w:val="22"/>
        </w:rPr>
        <w:t>prihodi (</w:t>
      </w:r>
      <w:r w:rsidR="000F1FE3" w:rsidRPr="007F0E49">
        <w:rPr>
          <w:rFonts w:ascii="Arial" w:hAnsi="Arial" w:cs="Arial"/>
          <w:b/>
          <w:sz w:val="22"/>
          <w:szCs w:val="22"/>
        </w:rPr>
        <w:t>68</w:t>
      </w:r>
      <w:r w:rsidRPr="007F0E49">
        <w:rPr>
          <w:rFonts w:ascii="Arial" w:hAnsi="Arial" w:cs="Arial"/>
          <w:b/>
          <w:sz w:val="22"/>
          <w:szCs w:val="22"/>
        </w:rPr>
        <w:t>)</w:t>
      </w:r>
      <w:r w:rsidRPr="007F0E49">
        <w:rPr>
          <w:rFonts w:ascii="Arial" w:hAnsi="Arial" w:cs="Arial"/>
          <w:sz w:val="22"/>
          <w:szCs w:val="22"/>
        </w:rPr>
        <w:t xml:space="preserve"> ostvareni su u ukupnom iznosu od </w:t>
      </w:r>
      <w:r w:rsidR="000F1FE3" w:rsidRPr="007F0E49">
        <w:rPr>
          <w:rFonts w:ascii="Arial" w:hAnsi="Arial" w:cs="Arial"/>
          <w:sz w:val="22"/>
          <w:szCs w:val="22"/>
        </w:rPr>
        <w:t>16.887.309,49</w:t>
      </w:r>
      <w:r w:rsidR="00FA2D69" w:rsidRPr="007F0E49">
        <w:rPr>
          <w:rFonts w:ascii="Arial" w:hAnsi="Arial" w:cs="Arial"/>
          <w:sz w:val="22"/>
          <w:szCs w:val="22"/>
        </w:rPr>
        <w:t xml:space="preserve"> kn i bilježe </w:t>
      </w:r>
      <w:r w:rsidR="000F1FE3" w:rsidRPr="007F0E49">
        <w:rPr>
          <w:rFonts w:ascii="Arial" w:hAnsi="Arial" w:cs="Arial"/>
          <w:sz w:val="22"/>
          <w:szCs w:val="22"/>
        </w:rPr>
        <w:t>rast od 35,4</w:t>
      </w:r>
      <w:r w:rsidR="008301F3" w:rsidRPr="007F0E49">
        <w:rPr>
          <w:rFonts w:ascii="Arial" w:hAnsi="Arial" w:cs="Arial"/>
          <w:sz w:val="22"/>
          <w:szCs w:val="22"/>
        </w:rPr>
        <w:t>%.</w:t>
      </w:r>
      <w:r w:rsidRPr="007F0E49">
        <w:rPr>
          <w:rFonts w:ascii="Arial" w:hAnsi="Arial" w:cs="Arial"/>
          <w:sz w:val="22"/>
          <w:szCs w:val="22"/>
        </w:rPr>
        <w:t xml:space="preserve"> </w:t>
      </w:r>
      <w:r w:rsidR="00E47203" w:rsidRPr="007F0E49">
        <w:rPr>
          <w:rFonts w:ascii="Arial" w:hAnsi="Arial" w:cs="Arial"/>
          <w:sz w:val="22"/>
          <w:szCs w:val="22"/>
        </w:rPr>
        <w:t>O</w:t>
      </w:r>
      <w:r w:rsidRPr="007F0E49">
        <w:rPr>
          <w:rFonts w:ascii="Arial" w:hAnsi="Arial" w:cs="Arial"/>
          <w:sz w:val="22"/>
          <w:szCs w:val="22"/>
        </w:rPr>
        <w:t xml:space="preserve">vi prihodi </w:t>
      </w:r>
      <w:r w:rsidR="00E47203" w:rsidRPr="007F0E49">
        <w:rPr>
          <w:rFonts w:ascii="Arial" w:hAnsi="Arial" w:cs="Arial"/>
          <w:sz w:val="22"/>
          <w:szCs w:val="22"/>
        </w:rPr>
        <w:t xml:space="preserve">se najvećim dijelom </w:t>
      </w:r>
      <w:r w:rsidRPr="007F0E49">
        <w:rPr>
          <w:rFonts w:ascii="Arial" w:hAnsi="Arial" w:cs="Arial"/>
          <w:sz w:val="22"/>
          <w:szCs w:val="22"/>
        </w:rPr>
        <w:t xml:space="preserve">odnose na </w:t>
      </w:r>
      <w:r w:rsidR="00B66169" w:rsidRPr="007F0E49">
        <w:rPr>
          <w:rFonts w:ascii="Arial" w:hAnsi="Arial" w:cs="Arial"/>
          <w:sz w:val="22"/>
          <w:szCs w:val="22"/>
        </w:rPr>
        <w:t>ostale pr</w:t>
      </w:r>
      <w:r w:rsidR="000F1FE3" w:rsidRPr="007F0E49">
        <w:rPr>
          <w:rFonts w:ascii="Arial" w:hAnsi="Arial" w:cs="Arial"/>
          <w:sz w:val="22"/>
          <w:szCs w:val="22"/>
        </w:rPr>
        <w:t>ihode</w:t>
      </w:r>
      <w:r w:rsidR="00952EFA" w:rsidRPr="007F0E49">
        <w:rPr>
          <w:rFonts w:ascii="Arial" w:hAnsi="Arial" w:cs="Arial"/>
          <w:sz w:val="22"/>
          <w:szCs w:val="22"/>
        </w:rPr>
        <w:t xml:space="preserve"> (</w:t>
      </w:r>
      <w:r w:rsidR="000F1FE3" w:rsidRPr="007F0E49">
        <w:rPr>
          <w:rFonts w:ascii="Arial" w:hAnsi="Arial" w:cs="Arial"/>
          <w:sz w:val="22"/>
          <w:szCs w:val="22"/>
        </w:rPr>
        <w:t>683</w:t>
      </w:r>
      <w:r w:rsidR="00952EFA" w:rsidRPr="007F0E49">
        <w:rPr>
          <w:rFonts w:ascii="Arial" w:hAnsi="Arial" w:cs="Arial"/>
          <w:sz w:val="22"/>
          <w:szCs w:val="22"/>
        </w:rPr>
        <w:t xml:space="preserve">) </w:t>
      </w:r>
      <w:r w:rsidR="00FC3208" w:rsidRPr="007F0E49">
        <w:rPr>
          <w:rFonts w:ascii="Arial" w:hAnsi="Arial" w:cs="Arial"/>
          <w:sz w:val="22"/>
          <w:szCs w:val="22"/>
        </w:rPr>
        <w:t>po posebnim ugovorima</w:t>
      </w:r>
      <w:r w:rsidR="00B66169" w:rsidRPr="007F0E49">
        <w:rPr>
          <w:rFonts w:ascii="Arial" w:hAnsi="Arial" w:cs="Arial"/>
          <w:sz w:val="22"/>
          <w:szCs w:val="22"/>
        </w:rPr>
        <w:t>.</w:t>
      </w:r>
    </w:p>
    <w:p w:rsidR="008301F3" w:rsidRPr="007F0E49" w:rsidRDefault="008301F3" w:rsidP="000E69DA">
      <w:pPr>
        <w:jc w:val="both"/>
        <w:rPr>
          <w:rFonts w:ascii="Arial" w:hAnsi="Arial" w:cs="Arial"/>
          <w:sz w:val="22"/>
          <w:szCs w:val="22"/>
        </w:rPr>
      </w:pPr>
    </w:p>
    <w:p w:rsidR="00B10A53" w:rsidRPr="007F0E49" w:rsidRDefault="00B10A53" w:rsidP="000E69DA">
      <w:pPr>
        <w:jc w:val="both"/>
        <w:rPr>
          <w:rFonts w:ascii="Arial" w:hAnsi="Arial" w:cs="Arial"/>
          <w:sz w:val="22"/>
          <w:szCs w:val="22"/>
        </w:rPr>
      </w:pPr>
    </w:p>
    <w:p w:rsidR="000E69DA" w:rsidRPr="007F0E49" w:rsidRDefault="000E69DA" w:rsidP="000E69DA">
      <w:pPr>
        <w:tabs>
          <w:tab w:val="left" w:pos="284"/>
          <w:tab w:val="left" w:pos="567"/>
          <w:tab w:val="left" w:pos="851"/>
        </w:tabs>
        <w:jc w:val="both"/>
        <w:rPr>
          <w:rFonts w:ascii="Arial" w:hAnsi="Arial" w:cs="Arial"/>
          <w:b/>
          <w:sz w:val="22"/>
          <w:szCs w:val="22"/>
        </w:rPr>
      </w:pPr>
      <w:r w:rsidRPr="007F0E49">
        <w:rPr>
          <w:rFonts w:ascii="Arial" w:hAnsi="Arial" w:cs="Arial"/>
          <w:b/>
          <w:sz w:val="22"/>
          <w:szCs w:val="22"/>
        </w:rPr>
        <w:t>Bilješka broj 1</w:t>
      </w:r>
      <w:r w:rsidR="003D4D2C" w:rsidRPr="007F0E49">
        <w:rPr>
          <w:rFonts w:ascii="Arial" w:hAnsi="Arial" w:cs="Arial"/>
          <w:b/>
          <w:sz w:val="22"/>
          <w:szCs w:val="22"/>
        </w:rPr>
        <w:t>3</w:t>
      </w:r>
      <w:r w:rsidRPr="007F0E49">
        <w:rPr>
          <w:rFonts w:ascii="Arial" w:hAnsi="Arial" w:cs="Arial"/>
          <w:b/>
          <w:sz w:val="22"/>
          <w:szCs w:val="22"/>
        </w:rPr>
        <w:t xml:space="preserve"> –</w:t>
      </w:r>
      <w:r w:rsidR="000A71EB" w:rsidRPr="007F0E49">
        <w:rPr>
          <w:rFonts w:ascii="Arial" w:hAnsi="Arial" w:cs="Arial"/>
          <w:b/>
          <w:sz w:val="22"/>
          <w:szCs w:val="22"/>
        </w:rPr>
        <w:t xml:space="preserve"> </w:t>
      </w:r>
      <w:r w:rsidR="00C14104" w:rsidRPr="007F0E49">
        <w:rPr>
          <w:rFonts w:ascii="Arial" w:hAnsi="Arial" w:cs="Arial"/>
          <w:b/>
          <w:sz w:val="22"/>
          <w:szCs w:val="22"/>
        </w:rPr>
        <w:t>3</w:t>
      </w:r>
      <w:r w:rsidRPr="007F0E49">
        <w:rPr>
          <w:rFonts w:ascii="Arial" w:hAnsi="Arial" w:cs="Arial"/>
          <w:b/>
          <w:sz w:val="22"/>
          <w:szCs w:val="22"/>
        </w:rPr>
        <w:t xml:space="preserve">  RASHODI POSLOVANJA</w:t>
      </w:r>
    </w:p>
    <w:p w:rsidR="000E69DA" w:rsidRPr="007F0E49" w:rsidRDefault="000E69DA" w:rsidP="000E69DA">
      <w:pPr>
        <w:tabs>
          <w:tab w:val="left" w:pos="708"/>
          <w:tab w:val="center" w:pos="4153"/>
          <w:tab w:val="right" w:pos="8306"/>
        </w:tabs>
        <w:jc w:val="both"/>
        <w:rPr>
          <w:rFonts w:ascii="Arial" w:hAnsi="Arial" w:cs="Arial"/>
          <w:sz w:val="22"/>
          <w:szCs w:val="22"/>
        </w:rPr>
      </w:pPr>
    </w:p>
    <w:p w:rsidR="000E69DA" w:rsidRPr="007F0E49" w:rsidRDefault="00FA2D69" w:rsidP="000E69DA">
      <w:pPr>
        <w:tabs>
          <w:tab w:val="left" w:pos="708"/>
          <w:tab w:val="center" w:pos="4153"/>
          <w:tab w:val="right" w:pos="8306"/>
        </w:tabs>
        <w:jc w:val="both"/>
        <w:rPr>
          <w:rFonts w:ascii="Arial" w:hAnsi="Arial" w:cs="Arial"/>
          <w:sz w:val="22"/>
          <w:szCs w:val="22"/>
        </w:rPr>
      </w:pPr>
      <w:r w:rsidRPr="007F0E49">
        <w:rPr>
          <w:rFonts w:ascii="Arial" w:hAnsi="Arial" w:cs="Arial"/>
          <w:b/>
          <w:sz w:val="22"/>
          <w:szCs w:val="22"/>
        </w:rPr>
        <w:t>Rashodi poslovanja (</w:t>
      </w:r>
      <w:r w:rsidR="00B66169" w:rsidRPr="007F0E49">
        <w:rPr>
          <w:rFonts w:ascii="Arial" w:hAnsi="Arial" w:cs="Arial"/>
          <w:b/>
          <w:sz w:val="22"/>
          <w:szCs w:val="22"/>
        </w:rPr>
        <w:t>3</w:t>
      </w:r>
      <w:r w:rsidR="000E69DA" w:rsidRPr="007F0E49">
        <w:rPr>
          <w:rFonts w:ascii="Arial" w:hAnsi="Arial" w:cs="Arial"/>
          <w:b/>
          <w:sz w:val="22"/>
          <w:szCs w:val="22"/>
        </w:rPr>
        <w:t>)</w:t>
      </w:r>
      <w:r w:rsidR="000E69DA" w:rsidRPr="007F0E49">
        <w:rPr>
          <w:rFonts w:ascii="Arial" w:hAnsi="Arial" w:cs="Arial"/>
          <w:sz w:val="22"/>
          <w:szCs w:val="22"/>
        </w:rPr>
        <w:t xml:space="preserve"> ostvareni su u ukupnom iznosu od </w:t>
      </w:r>
      <w:r w:rsidR="00B66169" w:rsidRPr="007F0E49">
        <w:rPr>
          <w:rFonts w:ascii="Arial" w:hAnsi="Arial" w:cs="Arial"/>
          <w:sz w:val="22"/>
          <w:szCs w:val="22"/>
        </w:rPr>
        <w:t>636.367.845,64</w:t>
      </w:r>
      <w:r w:rsidRPr="007F0E49">
        <w:rPr>
          <w:rFonts w:ascii="Arial" w:hAnsi="Arial" w:cs="Arial"/>
          <w:sz w:val="22"/>
          <w:szCs w:val="22"/>
        </w:rPr>
        <w:t xml:space="preserve"> kn.</w:t>
      </w:r>
    </w:p>
    <w:p w:rsidR="000E69DA" w:rsidRPr="007F0E49" w:rsidRDefault="000E69DA" w:rsidP="000E69DA">
      <w:pPr>
        <w:tabs>
          <w:tab w:val="left" w:pos="708"/>
          <w:tab w:val="center" w:pos="4153"/>
          <w:tab w:val="right" w:pos="8306"/>
        </w:tabs>
        <w:jc w:val="both"/>
        <w:rPr>
          <w:rFonts w:ascii="Arial" w:hAnsi="Arial" w:cs="Arial"/>
          <w:sz w:val="22"/>
          <w:szCs w:val="22"/>
        </w:rPr>
      </w:pPr>
    </w:p>
    <w:p w:rsidR="00CF431A" w:rsidRPr="007F0E49" w:rsidRDefault="00FA2D69" w:rsidP="000E69DA">
      <w:pPr>
        <w:jc w:val="both"/>
        <w:rPr>
          <w:rFonts w:ascii="Arial" w:hAnsi="Arial" w:cs="Arial"/>
          <w:sz w:val="22"/>
          <w:szCs w:val="22"/>
        </w:rPr>
      </w:pPr>
      <w:r w:rsidRPr="007F0E49">
        <w:rPr>
          <w:rFonts w:ascii="Arial" w:hAnsi="Arial" w:cs="Arial"/>
          <w:i/>
          <w:sz w:val="22"/>
          <w:szCs w:val="22"/>
          <w:u w:val="single"/>
        </w:rPr>
        <w:t>Materijalni rashodi (</w:t>
      </w:r>
      <w:r w:rsidR="00B66169" w:rsidRPr="007F0E49">
        <w:rPr>
          <w:rFonts w:ascii="Arial" w:hAnsi="Arial" w:cs="Arial"/>
          <w:i/>
          <w:sz w:val="22"/>
          <w:szCs w:val="22"/>
          <w:u w:val="single"/>
        </w:rPr>
        <w:t>32</w:t>
      </w:r>
      <w:r w:rsidR="000E69DA" w:rsidRPr="007F0E49">
        <w:rPr>
          <w:rFonts w:ascii="Arial" w:hAnsi="Arial" w:cs="Arial"/>
          <w:i/>
          <w:sz w:val="22"/>
          <w:szCs w:val="22"/>
          <w:u w:val="single"/>
        </w:rPr>
        <w:t>)</w:t>
      </w:r>
      <w:r w:rsidR="000E69DA" w:rsidRPr="007F0E49">
        <w:rPr>
          <w:rFonts w:ascii="Arial" w:hAnsi="Arial" w:cs="Arial"/>
          <w:sz w:val="22"/>
          <w:szCs w:val="22"/>
        </w:rPr>
        <w:t xml:space="preserve"> ostvareni su u iznosu </w:t>
      </w:r>
      <w:r w:rsidR="004B16E6" w:rsidRPr="007F0E49">
        <w:rPr>
          <w:rFonts w:ascii="Arial" w:hAnsi="Arial" w:cs="Arial"/>
          <w:sz w:val="22"/>
          <w:szCs w:val="22"/>
        </w:rPr>
        <w:t>206</w:t>
      </w:r>
      <w:r w:rsidR="00E66A60" w:rsidRPr="007F0E49">
        <w:rPr>
          <w:rFonts w:ascii="Arial" w:hAnsi="Arial" w:cs="Arial"/>
          <w:sz w:val="22"/>
          <w:szCs w:val="22"/>
        </w:rPr>
        <w:t>.609.074,37</w:t>
      </w:r>
      <w:r w:rsidR="000E69DA" w:rsidRPr="007F0E49">
        <w:rPr>
          <w:rFonts w:ascii="Arial" w:hAnsi="Arial" w:cs="Arial"/>
          <w:sz w:val="22"/>
          <w:szCs w:val="22"/>
        </w:rPr>
        <w:t xml:space="preserve"> kn i u odnosu na p</w:t>
      </w:r>
      <w:r w:rsidRPr="007F0E49">
        <w:rPr>
          <w:rFonts w:ascii="Arial" w:hAnsi="Arial" w:cs="Arial"/>
          <w:sz w:val="22"/>
          <w:szCs w:val="22"/>
        </w:rPr>
        <w:t xml:space="preserve">rethodnu godinu bilježe rast od </w:t>
      </w:r>
      <w:r w:rsidR="00E66A60" w:rsidRPr="007F0E49">
        <w:rPr>
          <w:rFonts w:ascii="Arial" w:hAnsi="Arial" w:cs="Arial"/>
          <w:sz w:val="22"/>
          <w:szCs w:val="22"/>
        </w:rPr>
        <w:t>14,6</w:t>
      </w:r>
      <w:r w:rsidR="000E69DA" w:rsidRPr="007F0E49">
        <w:rPr>
          <w:rFonts w:ascii="Arial" w:hAnsi="Arial" w:cs="Arial"/>
          <w:sz w:val="22"/>
          <w:szCs w:val="22"/>
        </w:rPr>
        <w:t>%. Odnose se na rashode za redovno poslovanje i rashode za izvršavanje programskih aktivnosti gradske uprave.</w:t>
      </w:r>
      <w:r w:rsidR="00E20DF2" w:rsidRPr="007F0E49">
        <w:rPr>
          <w:rFonts w:ascii="Arial" w:hAnsi="Arial" w:cs="Arial"/>
          <w:sz w:val="22"/>
          <w:szCs w:val="22"/>
        </w:rPr>
        <w:t xml:space="preserve"> </w:t>
      </w:r>
      <w:r w:rsidRPr="007F0E49">
        <w:rPr>
          <w:rFonts w:ascii="Arial" w:hAnsi="Arial" w:cs="Arial"/>
          <w:sz w:val="22"/>
          <w:szCs w:val="22"/>
        </w:rPr>
        <w:t>Rast se odnosi na</w:t>
      </w:r>
      <w:r w:rsidR="00E66A60" w:rsidRPr="007F0E49">
        <w:rPr>
          <w:rFonts w:ascii="Arial" w:hAnsi="Arial" w:cs="Arial"/>
          <w:sz w:val="22"/>
          <w:szCs w:val="22"/>
        </w:rPr>
        <w:t xml:space="preserve"> naknade troškova zaposlenima,</w:t>
      </w:r>
      <w:r w:rsidR="00753B97" w:rsidRPr="007F0E49">
        <w:rPr>
          <w:rFonts w:ascii="Arial" w:hAnsi="Arial" w:cs="Arial"/>
          <w:sz w:val="22"/>
          <w:szCs w:val="22"/>
        </w:rPr>
        <w:t xml:space="preserve"> </w:t>
      </w:r>
      <w:r w:rsidRPr="007F0E49">
        <w:rPr>
          <w:rFonts w:ascii="Arial" w:hAnsi="Arial" w:cs="Arial"/>
          <w:sz w:val="22"/>
          <w:szCs w:val="22"/>
        </w:rPr>
        <w:t>rashode za materija</w:t>
      </w:r>
      <w:r w:rsidR="00BB0C1F" w:rsidRPr="007F0E49">
        <w:rPr>
          <w:rFonts w:ascii="Arial" w:hAnsi="Arial" w:cs="Arial"/>
          <w:sz w:val="22"/>
          <w:szCs w:val="22"/>
        </w:rPr>
        <w:t>l i energiju</w:t>
      </w:r>
      <w:r w:rsidR="009174EC" w:rsidRPr="007F0E49">
        <w:rPr>
          <w:rFonts w:ascii="Arial" w:hAnsi="Arial" w:cs="Arial"/>
          <w:sz w:val="22"/>
          <w:szCs w:val="22"/>
        </w:rPr>
        <w:t xml:space="preserve"> (porast cijene energenata),</w:t>
      </w:r>
      <w:r w:rsidR="00E66A60" w:rsidRPr="007F0E49">
        <w:rPr>
          <w:rFonts w:ascii="Arial" w:hAnsi="Arial" w:cs="Arial"/>
          <w:sz w:val="22"/>
          <w:szCs w:val="22"/>
        </w:rPr>
        <w:t xml:space="preserve"> rashode za usluge i ostali </w:t>
      </w:r>
      <w:r w:rsidR="00E20DF2" w:rsidRPr="007F0E49">
        <w:rPr>
          <w:rFonts w:ascii="Arial" w:hAnsi="Arial" w:cs="Arial"/>
          <w:sz w:val="22"/>
          <w:szCs w:val="22"/>
        </w:rPr>
        <w:t>nespomenuti rashodi poslovanja</w:t>
      </w:r>
      <w:r w:rsidR="00E66A60" w:rsidRPr="007F0E49">
        <w:rPr>
          <w:rFonts w:ascii="Arial" w:hAnsi="Arial" w:cs="Arial"/>
          <w:sz w:val="22"/>
          <w:szCs w:val="22"/>
        </w:rPr>
        <w:t>.</w:t>
      </w:r>
      <w:r w:rsidR="00E20DF2" w:rsidRPr="007F0E49">
        <w:rPr>
          <w:rFonts w:ascii="Arial" w:hAnsi="Arial" w:cs="Arial"/>
          <w:sz w:val="22"/>
          <w:szCs w:val="22"/>
        </w:rPr>
        <w:t xml:space="preserve"> </w:t>
      </w:r>
    </w:p>
    <w:p w:rsidR="00101FE3" w:rsidRPr="007F0E49" w:rsidRDefault="00101FE3" w:rsidP="000E69DA">
      <w:pPr>
        <w:jc w:val="both"/>
        <w:rPr>
          <w:rFonts w:ascii="Arial" w:hAnsi="Arial" w:cs="Arial"/>
          <w:sz w:val="22"/>
          <w:szCs w:val="22"/>
        </w:rPr>
      </w:pPr>
    </w:p>
    <w:p w:rsidR="000E69DA" w:rsidRPr="007F0E49" w:rsidRDefault="00E66A60" w:rsidP="000E69DA">
      <w:pPr>
        <w:jc w:val="both"/>
        <w:rPr>
          <w:rFonts w:ascii="Arial" w:hAnsi="Arial" w:cs="Arial"/>
          <w:sz w:val="22"/>
          <w:szCs w:val="22"/>
        </w:rPr>
      </w:pPr>
      <w:r w:rsidRPr="007F0E49">
        <w:rPr>
          <w:rFonts w:ascii="Arial" w:hAnsi="Arial" w:cs="Arial"/>
          <w:i/>
          <w:sz w:val="22"/>
          <w:szCs w:val="22"/>
          <w:u w:val="single"/>
        </w:rPr>
        <w:t>Financijski rashodi (34</w:t>
      </w:r>
      <w:r w:rsidR="000E69DA" w:rsidRPr="007F0E49">
        <w:rPr>
          <w:rFonts w:ascii="Arial" w:hAnsi="Arial" w:cs="Arial"/>
          <w:i/>
          <w:sz w:val="22"/>
          <w:szCs w:val="22"/>
          <w:u w:val="single"/>
        </w:rPr>
        <w:t>)</w:t>
      </w:r>
      <w:r w:rsidR="000E69DA" w:rsidRPr="007F0E49">
        <w:rPr>
          <w:rFonts w:ascii="Arial" w:hAnsi="Arial" w:cs="Arial"/>
          <w:b/>
          <w:sz w:val="22"/>
          <w:szCs w:val="22"/>
        </w:rPr>
        <w:t xml:space="preserve"> </w:t>
      </w:r>
      <w:r w:rsidR="000E69DA" w:rsidRPr="007F0E49">
        <w:rPr>
          <w:rFonts w:ascii="Arial" w:hAnsi="Arial" w:cs="Arial"/>
          <w:sz w:val="22"/>
          <w:szCs w:val="22"/>
        </w:rPr>
        <w:t xml:space="preserve">ostvareni su u iznosu </w:t>
      </w:r>
      <w:r w:rsidRPr="007F0E49">
        <w:rPr>
          <w:rFonts w:ascii="Arial" w:hAnsi="Arial" w:cs="Arial"/>
          <w:sz w:val="22"/>
          <w:szCs w:val="22"/>
        </w:rPr>
        <w:t>15.327.031,07</w:t>
      </w:r>
      <w:r w:rsidR="000E69DA" w:rsidRPr="007F0E49">
        <w:rPr>
          <w:rFonts w:ascii="Arial" w:hAnsi="Arial" w:cs="Arial"/>
          <w:sz w:val="22"/>
          <w:szCs w:val="22"/>
        </w:rPr>
        <w:t xml:space="preserve"> kn</w:t>
      </w:r>
      <w:r w:rsidR="00C62A62" w:rsidRPr="007F0E49">
        <w:rPr>
          <w:rFonts w:ascii="Arial" w:hAnsi="Arial" w:cs="Arial"/>
          <w:sz w:val="22"/>
          <w:szCs w:val="22"/>
        </w:rPr>
        <w:t xml:space="preserve"> i b</w:t>
      </w:r>
      <w:r w:rsidRPr="007F0E49">
        <w:rPr>
          <w:rFonts w:ascii="Arial" w:hAnsi="Arial" w:cs="Arial"/>
          <w:sz w:val="22"/>
          <w:szCs w:val="22"/>
        </w:rPr>
        <w:t xml:space="preserve">ilježe ukupno pad od </w:t>
      </w:r>
      <w:r w:rsidR="004B16E6" w:rsidRPr="007F0E49">
        <w:rPr>
          <w:rFonts w:ascii="Arial" w:hAnsi="Arial" w:cs="Arial"/>
          <w:sz w:val="22"/>
          <w:szCs w:val="22"/>
        </w:rPr>
        <w:t>20,1</w:t>
      </w:r>
      <w:r w:rsidR="00CB7041" w:rsidRPr="007F0E49">
        <w:rPr>
          <w:rFonts w:ascii="Arial" w:hAnsi="Arial" w:cs="Arial"/>
          <w:sz w:val="22"/>
          <w:szCs w:val="22"/>
        </w:rPr>
        <w:t>%</w:t>
      </w:r>
      <w:r w:rsidR="00D32C17" w:rsidRPr="007F0E49">
        <w:rPr>
          <w:rFonts w:ascii="Arial" w:hAnsi="Arial" w:cs="Arial"/>
          <w:sz w:val="22"/>
          <w:szCs w:val="22"/>
        </w:rPr>
        <w:t>.</w:t>
      </w:r>
      <w:r w:rsidR="00CB7041" w:rsidRPr="007F0E49">
        <w:rPr>
          <w:rFonts w:ascii="Arial" w:hAnsi="Arial" w:cs="Arial"/>
          <w:sz w:val="22"/>
          <w:szCs w:val="22"/>
        </w:rPr>
        <w:t xml:space="preserve"> </w:t>
      </w:r>
      <w:r w:rsidR="00B06465" w:rsidRPr="007F0E49">
        <w:rPr>
          <w:rFonts w:ascii="Arial" w:hAnsi="Arial" w:cs="Arial"/>
          <w:sz w:val="22"/>
          <w:szCs w:val="22"/>
        </w:rPr>
        <w:t>Neznatno p</w:t>
      </w:r>
      <w:r w:rsidR="000E69DA" w:rsidRPr="007F0E49">
        <w:rPr>
          <w:rFonts w:ascii="Arial" w:hAnsi="Arial" w:cs="Arial"/>
          <w:sz w:val="22"/>
          <w:szCs w:val="22"/>
        </w:rPr>
        <w:t xml:space="preserve">ovećanje </w:t>
      </w:r>
      <w:r w:rsidR="00B06465" w:rsidRPr="007F0E49">
        <w:rPr>
          <w:rFonts w:ascii="Arial" w:hAnsi="Arial" w:cs="Arial"/>
          <w:sz w:val="22"/>
          <w:szCs w:val="22"/>
        </w:rPr>
        <w:t>od 8% unutar ove skupine b</w:t>
      </w:r>
      <w:r w:rsidR="000E69DA" w:rsidRPr="007F0E49">
        <w:rPr>
          <w:rFonts w:ascii="Arial" w:hAnsi="Arial" w:cs="Arial"/>
          <w:sz w:val="22"/>
          <w:szCs w:val="22"/>
        </w:rPr>
        <w:t xml:space="preserve">ilježe kamate za primljene </w:t>
      </w:r>
      <w:r w:rsidR="00C62A62" w:rsidRPr="007F0E49">
        <w:rPr>
          <w:rFonts w:ascii="Arial" w:hAnsi="Arial" w:cs="Arial"/>
          <w:sz w:val="22"/>
          <w:szCs w:val="22"/>
        </w:rPr>
        <w:t>kredite i zajmove od kreditnih i ostalih financijskih instituci</w:t>
      </w:r>
      <w:r w:rsidR="00E20DF2" w:rsidRPr="007F0E49">
        <w:rPr>
          <w:rFonts w:ascii="Arial" w:hAnsi="Arial" w:cs="Arial"/>
          <w:sz w:val="22"/>
          <w:szCs w:val="22"/>
        </w:rPr>
        <w:t>ja izvan javnog sektora</w:t>
      </w:r>
      <w:r w:rsidRPr="007F0E49">
        <w:rPr>
          <w:rFonts w:ascii="Arial" w:hAnsi="Arial" w:cs="Arial"/>
          <w:sz w:val="22"/>
          <w:szCs w:val="22"/>
        </w:rPr>
        <w:t xml:space="preserve"> (3423</w:t>
      </w:r>
      <w:r w:rsidR="000E69DA" w:rsidRPr="007F0E49">
        <w:rPr>
          <w:rFonts w:ascii="Arial" w:hAnsi="Arial" w:cs="Arial"/>
          <w:sz w:val="22"/>
          <w:szCs w:val="22"/>
        </w:rPr>
        <w:t>)</w:t>
      </w:r>
      <w:r w:rsidR="00FF203D" w:rsidRPr="007F0E49">
        <w:rPr>
          <w:rFonts w:ascii="Arial" w:hAnsi="Arial" w:cs="Arial"/>
          <w:sz w:val="22"/>
          <w:szCs w:val="22"/>
        </w:rPr>
        <w:t xml:space="preserve"> zbog pokrenutog investicijskog ciklusa </w:t>
      </w:r>
      <w:r w:rsidR="00B06465" w:rsidRPr="007F0E49">
        <w:rPr>
          <w:rFonts w:ascii="Arial" w:hAnsi="Arial" w:cs="Arial"/>
          <w:sz w:val="22"/>
          <w:szCs w:val="22"/>
        </w:rPr>
        <w:t xml:space="preserve">ranijih godina </w:t>
      </w:r>
      <w:r w:rsidR="00FF203D" w:rsidRPr="007F0E49">
        <w:rPr>
          <w:rFonts w:ascii="Arial" w:hAnsi="Arial" w:cs="Arial"/>
          <w:sz w:val="22"/>
          <w:szCs w:val="22"/>
        </w:rPr>
        <w:t>na realizaciji značajnih gradskih projekata koji su u cijelosti ili djelomično financirani i iz sredstava kredita u višegodišnjem razdoblju.</w:t>
      </w:r>
      <w:r w:rsidR="00E20DF2" w:rsidRPr="007F0E49">
        <w:rPr>
          <w:rFonts w:ascii="Arial" w:hAnsi="Arial" w:cs="Arial"/>
          <w:sz w:val="22"/>
          <w:szCs w:val="22"/>
        </w:rPr>
        <w:t xml:space="preserve"> Kamate za primljene zajmove od trgovačkih društava u javnom sektoru bilježe pad od </w:t>
      </w:r>
      <w:r w:rsidRPr="007F0E49">
        <w:rPr>
          <w:rFonts w:ascii="Arial" w:hAnsi="Arial" w:cs="Arial"/>
          <w:sz w:val="22"/>
          <w:szCs w:val="22"/>
        </w:rPr>
        <w:t>23,3</w:t>
      </w:r>
      <w:r w:rsidR="00E20DF2" w:rsidRPr="007F0E49">
        <w:rPr>
          <w:rFonts w:ascii="Arial" w:hAnsi="Arial" w:cs="Arial"/>
          <w:sz w:val="22"/>
          <w:szCs w:val="22"/>
        </w:rPr>
        <w:t>%</w:t>
      </w:r>
      <w:r w:rsidR="00FF203D" w:rsidRPr="007F0E49">
        <w:rPr>
          <w:rFonts w:ascii="Arial" w:hAnsi="Arial" w:cs="Arial"/>
          <w:sz w:val="22"/>
          <w:szCs w:val="22"/>
        </w:rPr>
        <w:t xml:space="preserve"> </w:t>
      </w:r>
      <w:r w:rsidR="00B06465" w:rsidRPr="007F0E49">
        <w:rPr>
          <w:rFonts w:ascii="Arial" w:hAnsi="Arial" w:cs="Arial"/>
          <w:sz w:val="22"/>
          <w:szCs w:val="22"/>
        </w:rPr>
        <w:t xml:space="preserve">kao </w:t>
      </w:r>
      <w:r w:rsidR="003B3F88" w:rsidRPr="007F0E49">
        <w:rPr>
          <w:rFonts w:ascii="Arial" w:hAnsi="Arial" w:cs="Arial"/>
          <w:sz w:val="22"/>
          <w:szCs w:val="22"/>
        </w:rPr>
        <w:t xml:space="preserve">i kamate </w:t>
      </w:r>
      <w:r w:rsidRPr="007F0E49">
        <w:rPr>
          <w:rFonts w:ascii="Arial" w:hAnsi="Arial" w:cs="Arial"/>
          <w:sz w:val="22"/>
          <w:szCs w:val="22"/>
        </w:rPr>
        <w:t>za primljene zajmove od drugih razina vlasti 7,3%. Ostali financijski rashodi (343)</w:t>
      </w:r>
      <w:r w:rsidR="00101FE3" w:rsidRPr="007F0E49">
        <w:rPr>
          <w:rFonts w:ascii="Arial" w:hAnsi="Arial" w:cs="Arial"/>
          <w:sz w:val="22"/>
          <w:szCs w:val="22"/>
        </w:rPr>
        <w:t xml:space="preserve"> </w:t>
      </w:r>
      <w:r w:rsidRPr="007F0E49">
        <w:rPr>
          <w:rFonts w:ascii="Arial" w:hAnsi="Arial" w:cs="Arial"/>
          <w:sz w:val="22"/>
          <w:szCs w:val="22"/>
        </w:rPr>
        <w:t>bil</w:t>
      </w:r>
      <w:r w:rsidR="00101FE3" w:rsidRPr="007F0E49">
        <w:rPr>
          <w:rFonts w:ascii="Arial" w:hAnsi="Arial" w:cs="Arial"/>
          <w:sz w:val="22"/>
          <w:szCs w:val="22"/>
        </w:rPr>
        <w:t>j</w:t>
      </w:r>
      <w:r w:rsidRPr="007F0E49">
        <w:rPr>
          <w:rFonts w:ascii="Arial" w:hAnsi="Arial" w:cs="Arial"/>
          <w:sz w:val="22"/>
          <w:szCs w:val="22"/>
        </w:rPr>
        <w:t>eže pad od 25% (bankarske usluge i usluge platnog prometa,</w:t>
      </w:r>
      <w:r w:rsidR="00101FE3" w:rsidRPr="007F0E49">
        <w:rPr>
          <w:rFonts w:ascii="Arial" w:hAnsi="Arial" w:cs="Arial"/>
          <w:sz w:val="22"/>
          <w:szCs w:val="22"/>
        </w:rPr>
        <w:t xml:space="preserve"> </w:t>
      </w:r>
      <w:r w:rsidRPr="007F0E49">
        <w:rPr>
          <w:rFonts w:ascii="Arial" w:hAnsi="Arial" w:cs="Arial"/>
          <w:sz w:val="22"/>
          <w:szCs w:val="22"/>
        </w:rPr>
        <w:t>negativne tečajne razlike,</w:t>
      </w:r>
      <w:r w:rsidR="00101FE3" w:rsidRPr="007F0E49">
        <w:rPr>
          <w:rFonts w:ascii="Arial" w:hAnsi="Arial" w:cs="Arial"/>
          <w:sz w:val="22"/>
          <w:szCs w:val="22"/>
        </w:rPr>
        <w:t xml:space="preserve"> </w:t>
      </w:r>
      <w:r w:rsidRPr="007F0E49">
        <w:rPr>
          <w:rFonts w:ascii="Arial" w:hAnsi="Arial" w:cs="Arial"/>
          <w:sz w:val="22"/>
          <w:szCs w:val="22"/>
        </w:rPr>
        <w:t>zatezne kamate i ostali nespomenuti financijski rashodi</w:t>
      </w:r>
      <w:r w:rsidR="009672E9" w:rsidRPr="007F0E49">
        <w:rPr>
          <w:rFonts w:ascii="Arial" w:hAnsi="Arial" w:cs="Arial"/>
          <w:sz w:val="22"/>
          <w:szCs w:val="22"/>
        </w:rPr>
        <w:t>)</w:t>
      </w:r>
      <w:r w:rsidRPr="007F0E49">
        <w:rPr>
          <w:rFonts w:ascii="Arial" w:hAnsi="Arial" w:cs="Arial"/>
          <w:sz w:val="22"/>
          <w:szCs w:val="22"/>
        </w:rPr>
        <w:t>.</w:t>
      </w:r>
    </w:p>
    <w:p w:rsidR="00894C6F" w:rsidRPr="007F0E49" w:rsidRDefault="00894C6F" w:rsidP="000E69DA">
      <w:pPr>
        <w:jc w:val="both"/>
        <w:rPr>
          <w:rFonts w:ascii="Arial" w:hAnsi="Arial" w:cs="Arial"/>
          <w:sz w:val="22"/>
          <w:szCs w:val="22"/>
        </w:rPr>
      </w:pPr>
    </w:p>
    <w:p w:rsidR="00C62A62" w:rsidRPr="007F0E49" w:rsidRDefault="00E66A60" w:rsidP="000E69DA">
      <w:pPr>
        <w:jc w:val="both"/>
        <w:rPr>
          <w:rFonts w:ascii="Arial" w:hAnsi="Arial" w:cs="Arial"/>
          <w:color w:val="000000"/>
          <w:sz w:val="22"/>
          <w:szCs w:val="22"/>
        </w:rPr>
      </w:pPr>
      <w:r w:rsidRPr="007F0E49">
        <w:rPr>
          <w:rFonts w:ascii="Arial" w:hAnsi="Arial" w:cs="Arial"/>
          <w:i/>
          <w:sz w:val="22"/>
          <w:szCs w:val="22"/>
          <w:u w:val="single"/>
        </w:rPr>
        <w:t>Subvencije (35</w:t>
      </w:r>
      <w:r w:rsidR="00E20DF2" w:rsidRPr="007F0E49">
        <w:rPr>
          <w:rFonts w:ascii="Arial" w:hAnsi="Arial" w:cs="Arial"/>
          <w:i/>
          <w:sz w:val="22"/>
          <w:szCs w:val="22"/>
          <w:u w:val="single"/>
        </w:rPr>
        <w:t>)</w:t>
      </w:r>
      <w:r w:rsidR="00E20DF2" w:rsidRPr="007F0E49">
        <w:rPr>
          <w:rFonts w:ascii="Arial" w:hAnsi="Arial" w:cs="Arial"/>
          <w:color w:val="000000"/>
          <w:sz w:val="22"/>
          <w:szCs w:val="22"/>
        </w:rPr>
        <w:t xml:space="preserve"> </w:t>
      </w:r>
      <w:r w:rsidRPr="007F0E49">
        <w:rPr>
          <w:rFonts w:ascii="Arial" w:hAnsi="Arial" w:cs="Arial"/>
          <w:color w:val="000000"/>
          <w:sz w:val="22"/>
          <w:szCs w:val="22"/>
        </w:rPr>
        <w:t>bilježe rast</w:t>
      </w:r>
      <w:r w:rsidR="009A66FB" w:rsidRPr="007F0E49">
        <w:rPr>
          <w:rFonts w:ascii="Arial" w:hAnsi="Arial" w:cs="Arial"/>
          <w:color w:val="000000"/>
          <w:sz w:val="22"/>
          <w:szCs w:val="22"/>
        </w:rPr>
        <w:t xml:space="preserve"> u odnosu na pre</w:t>
      </w:r>
      <w:r w:rsidR="00C0081F" w:rsidRPr="007F0E49">
        <w:rPr>
          <w:rFonts w:ascii="Arial" w:hAnsi="Arial" w:cs="Arial"/>
          <w:color w:val="000000"/>
          <w:sz w:val="22"/>
          <w:szCs w:val="22"/>
        </w:rPr>
        <w:t>t</w:t>
      </w:r>
      <w:r w:rsidR="009A66FB" w:rsidRPr="007F0E49">
        <w:rPr>
          <w:rFonts w:ascii="Arial" w:hAnsi="Arial" w:cs="Arial"/>
          <w:color w:val="000000"/>
          <w:sz w:val="22"/>
          <w:szCs w:val="22"/>
        </w:rPr>
        <w:t>hodnu godinu</w:t>
      </w:r>
      <w:r w:rsidRPr="007F0E49">
        <w:rPr>
          <w:rFonts w:ascii="Arial" w:hAnsi="Arial" w:cs="Arial"/>
          <w:color w:val="000000"/>
          <w:sz w:val="22"/>
          <w:szCs w:val="22"/>
        </w:rPr>
        <w:t xml:space="preserve"> 4</w:t>
      </w:r>
      <w:r w:rsidR="00CA502F" w:rsidRPr="007F0E49">
        <w:rPr>
          <w:rFonts w:ascii="Arial" w:hAnsi="Arial" w:cs="Arial"/>
          <w:color w:val="000000"/>
          <w:sz w:val="22"/>
          <w:szCs w:val="22"/>
        </w:rPr>
        <w:t>%</w:t>
      </w:r>
      <w:r w:rsidR="009A66FB" w:rsidRPr="007F0E49">
        <w:rPr>
          <w:rFonts w:ascii="Arial" w:hAnsi="Arial" w:cs="Arial"/>
          <w:color w:val="000000"/>
          <w:sz w:val="22"/>
          <w:szCs w:val="22"/>
        </w:rPr>
        <w:t>, apsolutno</w:t>
      </w:r>
      <w:r w:rsidR="00E20DF2" w:rsidRPr="007F0E49">
        <w:rPr>
          <w:rFonts w:ascii="Arial" w:hAnsi="Arial" w:cs="Arial"/>
          <w:color w:val="000000"/>
          <w:sz w:val="22"/>
          <w:szCs w:val="22"/>
        </w:rPr>
        <w:t xml:space="preserve"> </w:t>
      </w:r>
      <w:r w:rsidRPr="007F0E49">
        <w:rPr>
          <w:rFonts w:ascii="Arial" w:hAnsi="Arial" w:cs="Arial"/>
          <w:color w:val="000000"/>
          <w:sz w:val="22"/>
          <w:szCs w:val="22"/>
        </w:rPr>
        <w:t>1.618.635,77</w:t>
      </w:r>
      <w:r w:rsidR="00E20DF2" w:rsidRPr="007F0E49">
        <w:rPr>
          <w:rFonts w:ascii="Arial" w:hAnsi="Arial" w:cs="Arial"/>
          <w:color w:val="000000"/>
          <w:sz w:val="22"/>
          <w:szCs w:val="22"/>
        </w:rPr>
        <w:t xml:space="preserve"> kn</w:t>
      </w:r>
      <w:r w:rsidR="009A66FB" w:rsidRPr="007F0E49">
        <w:rPr>
          <w:rFonts w:ascii="Arial" w:hAnsi="Arial" w:cs="Arial"/>
          <w:color w:val="000000"/>
          <w:sz w:val="22"/>
          <w:szCs w:val="22"/>
        </w:rPr>
        <w:t xml:space="preserve">. </w:t>
      </w:r>
      <w:r w:rsidRPr="007F0E49">
        <w:rPr>
          <w:rFonts w:ascii="Arial" w:hAnsi="Arial" w:cs="Arial"/>
          <w:color w:val="000000"/>
          <w:sz w:val="22"/>
          <w:szCs w:val="22"/>
        </w:rPr>
        <w:t>Povećanje</w:t>
      </w:r>
      <w:r w:rsidR="009A66FB" w:rsidRPr="007F0E49">
        <w:rPr>
          <w:rFonts w:ascii="Arial" w:hAnsi="Arial" w:cs="Arial"/>
          <w:color w:val="000000"/>
          <w:sz w:val="22"/>
          <w:szCs w:val="22"/>
        </w:rPr>
        <w:t xml:space="preserve"> ove vrste rashoda evidentirano je kod subvencija trgovačkim društvima u javnom sektoru i kod subvencija trgovačkim društvima, zadrugama,</w:t>
      </w:r>
      <w:r w:rsidR="00894C6F" w:rsidRPr="007F0E49">
        <w:rPr>
          <w:rFonts w:ascii="Arial" w:hAnsi="Arial" w:cs="Arial"/>
          <w:color w:val="000000"/>
          <w:sz w:val="22"/>
          <w:szCs w:val="22"/>
        </w:rPr>
        <w:t xml:space="preserve"> </w:t>
      </w:r>
      <w:r w:rsidR="009A66FB" w:rsidRPr="007F0E49">
        <w:rPr>
          <w:rFonts w:ascii="Arial" w:hAnsi="Arial" w:cs="Arial"/>
          <w:color w:val="000000"/>
          <w:sz w:val="22"/>
          <w:szCs w:val="22"/>
        </w:rPr>
        <w:t>poljoprivrednic</w:t>
      </w:r>
      <w:r w:rsidR="001A538A" w:rsidRPr="007F0E49">
        <w:rPr>
          <w:rFonts w:ascii="Arial" w:hAnsi="Arial" w:cs="Arial"/>
          <w:color w:val="000000"/>
          <w:sz w:val="22"/>
          <w:szCs w:val="22"/>
        </w:rPr>
        <w:t>ima i obrtnicima izvan javnog sektora</w:t>
      </w:r>
      <w:r w:rsidR="009A66FB" w:rsidRPr="007F0E49">
        <w:rPr>
          <w:rFonts w:ascii="Arial" w:hAnsi="Arial" w:cs="Arial"/>
          <w:color w:val="000000"/>
          <w:sz w:val="22"/>
          <w:szCs w:val="22"/>
        </w:rPr>
        <w:t>.</w:t>
      </w:r>
    </w:p>
    <w:p w:rsidR="00F71C9A" w:rsidRPr="007F0E49" w:rsidRDefault="00F71C9A" w:rsidP="000E69DA">
      <w:pPr>
        <w:jc w:val="both"/>
        <w:rPr>
          <w:rFonts w:ascii="Arial" w:hAnsi="Arial" w:cs="Arial"/>
          <w:color w:val="000000"/>
          <w:sz w:val="22"/>
          <w:szCs w:val="22"/>
        </w:rPr>
      </w:pPr>
    </w:p>
    <w:p w:rsidR="00F71C9A" w:rsidRPr="007F0E49" w:rsidRDefault="000E69DA" w:rsidP="000E69DA">
      <w:pPr>
        <w:jc w:val="both"/>
        <w:rPr>
          <w:rFonts w:ascii="Arial" w:hAnsi="Arial" w:cs="Arial"/>
          <w:color w:val="000000"/>
          <w:sz w:val="22"/>
          <w:szCs w:val="22"/>
        </w:rPr>
      </w:pPr>
      <w:r w:rsidRPr="007F0E49">
        <w:rPr>
          <w:rFonts w:ascii="Arial" w:hAnsi="Arial" w:cs="Arial"/>
          <w:i/>
          <w:sz w:val="22"/>
          <w:szCs w:val="22"/>
          <w:u w:val="single"/>
        </w:rPr>
        <w:t>Pomoći unutar općeg proračuna</w:t>
      </w:r>
      <w:r w:rsidR="008C5253" w:rsidRPr="007F0E49">
        <w:rPr>
          <w:rFonts w:ascii="Arial" w:hAnsi="Arial" w:cs="Arial"/>
          <w:i/>
          <w:sz w:val="22"/>
          <w:szCs w:val="22"/>
          <w:u w:val="single"/>
        </w:rPr>
        <w:t xml:space="preserve"> (363)</w:t>
      </w:r>
      <w:r w:rsidRPr="007F0E49">
        <w:rPr>
          <w:rFonts w:ascii="Arial" w:hAnsi="Arial" w:cs="Arial"/>
          <w:color w:val="000000"/>
          <w:sz w:val="22"/>
          <w:szCs w:val="22"/>
        </w:rPr>
        <w:t xml:space="preserve"> ispl</w:t>
      </w:r>
      <w:r w:rsidR="00C62A62" w:rsidRPr="007F0E49">
        <w:rPr>
          <w:rFonts w:ascii="Arial" w:hAnsi="Arial" w:cs="Arial"/>
          <w:color w:val="000000"/>
          <w:sz w:val="22"/>
          <w:szCs w:val="22"/>
        </w:rPr>
        <w:t xml:space="preserve">aćene su </w:t>
      </w:r>
      <w:r w:rsidR="00902E7B" w:rsidRPr="007F0E49">
        <w:rPr>
          <w:rFonts w:ascii="Arial" w:hAnsi="Arial" w:cs="Arial"/>
          <w:color w:val="000000"/>
          <w:sz w:val="22"/>
          <w:szCs w:val="22"/>
        </w:rPr>
        <w:t>v</w:t>
      </w:r>
      <w:r w:rsidR="00F71C9A" w:rsidRPr="007F0E49">
        <w:rPr>
          <w:rFonts w:ascii="Arial" w:hAnsi="Arial" w:cs="Arial"/>
          <w:color w:val="000000"/>
          <w:sz w:val="22"/>
          <w:szCs w:val="22"/>
        </w:rPr>
        <w:t>iše u odnosu na prethodnu godinu</w:t>
      </w:r>
      <w:r w:rsidR="00444EBE" w:rsidRPr="007F0E49">
        <w:rPr>
          <w:rFonts w:ascii="Arial" w:hAnsi="Arial" w:cs="Arial"/>
          <w:color w:val="000000"/>
          <w:sz w:val="22"/>
          <w:szCs w:val="22"/>
        </w:rPr>
        <w:t xml:space="preserve"> (</w:t>
      </w:r>
      <w:r w:rsidR="00E66A60" w:rsidRPr="007F0E49">
        <w:rPr>
          <w:rFonts w:ascii="Arial" w:hAnsi="Arial" w:cs="Arial"/>
          <w:color w:val="000000"/>
          <w:sz w:val="22"/>
          <w:szCs w:val="22"/>
        </w:rPr>
        <w:t>68,6</w:t>
      </w:r>
      <w:r w:rsidR="00902E7B" w:rsidRPr="007F0E49">
        <w:rPr>
          <w:rFonts w:ascii="Arial" w:hAnsi="Arial" w:cs="Arial"/>
          <w:color w:val="000000"/>
          <w:sz w:val="22"/>
          <w:szCs w:val="22"/>
        </w:rPr>
        <w:t>%)</w:t>
      </w:r>
      <w:r w:rsidR="00455FB8" w:rsidRPr="007F0E49">
        <w:rPr>
          <w:rFonts w:ascii="Arial" w:hAnsi="Arial" w:cs="Arial"/>
          <w:color w:val="000000"/>
          <w:sz w:val="22"/>
          <w:szCs w:val="22"/>
        </w:rPr>
        <w:t>, a odnose</w:t>
      </w:r>
      <w:r w:rsidR="00F71C9A" w:rsidRPr="007F0E49">
        <w:rPr>
          <w:rFonts w:ascii="Arial" w:hAnsi="Arial" w:cs="Arial"/>
          <w:color w:val="000000"/>
          <w:sz w:val="22"/>
          <w:szCs w:val="22"/>
        </w:rPr>
        <w:t xml:space="preserve"> </w:t>
      </w:r>
      <w:r w:rsidR="00E47203" w:rsidRPr="007F0E49">
        <w:rPr>
          <w:rFonts w:ascii="Arial" w:hAnsi="Arial" w:cs="Arial"/>
          <w:color w:val="000000"/>
          <w:sz w:val="22"/>
          <w:szCs w:val="22"/>
        </w:rPr>
        <w:t xml:space="preserve">se </w:t>
      </w:r>
      <w:r w:rsidR="00F71C9A" w:rsidRPr="007F0E49">
        <w:rPr>
          <w:rFonts w:ascii="Arial" w:hAnsi="Arial" w:cs="Arial"/>
          <w:color w:val="000000"/>
          <w:sz w:val="22"/>
          <w:szCs w:val="22"/>
        </w:rPr>
        <w:t xml:space="preserve">na </w:t>
      </w:r>
      <w:r w:rsidR="000368A7" w:rsidRPr="007F0E49">
        <w:rPr>
          <w:rFonts w:ascii="Arial" w:hAnsi="Arial" w:cs="Arial"/>
          <w:color w:val="000000"/>
          <w:sz w:val="22"/>
          <w:szCs w:val="22"/>
        </w:rPr>
        <w:t xml:space="preserve">isplatu </w:t>
      </w:r>
      <w:r w:rsidR="00F71C9A" w:rsidRPr="007F0E49">
        <w:rPr>
          <w:rFonts w:ascii="Arial" w:hAnsi="Arial" w:cs="Arial"/>
          <w:color w:val="000000"/>
          <w:sz w:val="22"/>
          <w:szCs w:val="22"/>
        </w:rPr>
        <w:t>godišnj</w:t>
      </w:r>
      <w:r w:rsidR="000368A7" w:rsidRPr="007F0E49">
        <w:rPr>
          <w:rFonts w:ascii="Arial" w:hAnsi="Arial" w:cs="Arial"/>
          <w:color w:val="000000"/>
          <w:sz w:val="22"/>
          <w:szCs w:val="22"/>
        </w:rPr>
        <w:t>eg</w:t>
      </w:r>
      <w:r w:rsidR="00F71C9A" w:rsidRPr="007F0E49">
        <w:rPr>
          <w:rFonts w:ascii="Arial" w:hAnsi="Arial" w:cs="Arial"/>
          <w:color w:val="000000"/>
          <w:sz w:val="22"/>
          <w:szCs w:val="22"/>
        </w:rPr>
        <w:t xml:space="preserve"> doprinos</w:t>
      </w:r>
      <w:r w:rsidR="000368A7" w:rsidRPr="007F0E49">
        <w:rPr>
          <w:rFonts w:ascii="Arial" w:hAnsi="Arial" w:cs="Arial"/>
          <w:color w:val="000000"/>
          <w:sz w:val="22"/>
          <w:szCs w:val="22"/>
        </w:rPr>
        <w:t>a</w:t>
      </w:r>
      <w:r w:rsidR="00F71C9A" w:rsidRPr="007F0E49">
        <w:rPr>
          <w:rFonts w:ascii="Arial" w:hAnsi="Arial" w:cs="Arial"/>
          <w:color w:val="000000"/>
          <w:sz w:val="22"/>
          <w:szCs w:val="22"/>
        </w:rPr>
        <w:t xml:space="preserve"> za djelatnost Zaklade Sveučilišta u Rijeci, </w:t>
      </w:r>
      <w:r w:rsidR="00902E7B" w:rsidRPr="007F0E49">
        <w:rPr>
          <w:rFonts w:ascii="Arial" w:hAnsi="Arial" w:cs="Arial"/>
          <w:color w:val="000000"/>
          <w:sz w:val="22"/>
          <w:szCs w:val="22"/>
        </w:rPr>
        <w:t>na</w:t>
      </w:r>
      <w:r w:rsidR="00F71C9A" w:rsidRPr="007F0E49">
        <w:rPr>
          <w:rFonts w:ascii="Arial" w:hAnsi="Arial" w:cs="Arial"/>
          <w:color w:val="000000"/>
          <w:sz w:val="22"/>
          <w:szCs w:val="22"/>
        </w:rPr>
        <w:t xml:space="preserve"> </w:t>
      </w:r>
      <w:r w:rsidR="000368A7" w:rsidRPr="007F0E49">
        <w:rPr>
          <w:rFonts w:ascii="Arial" w:hAnsi="Arial" w:cs="Arial"/>
          <w:color w:val="000000"/>
          <w:sz w:val="22"/>
          <w:szCs w:val="22"/>
        </w:rPr>
        <w:t>ispla</w:t>
      </w:r>
      <w:r w:rsidR="00481FF0" w:rsidRPr="007F0E49">
        <w:rPr>
          <w:rFonts w:ascii="Arial" w:hAnsi="Arial" w:cs="Arial"/>
          <w:color w:val="000000"/>
          <w:sz w:val="22"/>
          <w:szCs w:val="22"/>
        </w:rPr>
        <w:t>tu bespovratnih sredstava Ministarstva regionalnog razvoja i fondova europske unije općinama i gradovima partnerima temeljem Ugovora o sufinanciranju provedbe EU projekta Postrojenje za sortiranje odvojeno prikupljenog otpada (sortirnica) na lokaciji M</w:t>
      </w:r>
      <w:r w:rsidR="002F3FD7" w:rsidRPr="007F0E49">
        <w:rPr>
          <w:rFonts w:ascii="Arial" w:hAnsi="Arial" w:cs="Arial"/>
          <w:color w:val="000000"/>
          <w:sz w:val="22"/>
          <w:szCs w:val="22"/>
        </w:rPr>
        <w:t xml:space="preserve">ihačeva draga, zatim </w:t>
      </w:r>
      <w:r w:rsidR="000368A7" w:rsidRPr="007F0E49">
        <w:rPr>
          <w:rFonts w:ascii="Arial" w:hAnsi="Arial" w:cs="Arial"/>
          <w:color w:val="000000"/>
          <w:sz w:val="22"/>
          <w:szCs w:val="22"/>
        </w:rPr>
        <w:t xml:space="preserve">na </w:t>
      </w:r>
      <w:r w:rsidR="00455FB8" w:rsidRPr="007F0E49">
        <w:rPr>
          <w:rFonts w:ascii="Arial" w:hAnsi="Arial" w:cs="Arial"/>
          <w:color w:val="000000"/>
          <w:sz w:val="22"/>
          <w:szCs w:val="22"/>
        </w:rPr>
        <w:t>sufinanciranje izrade projektne dokumentacije za izgradnju drugog kolosjeka</w:t>
      </w:r>
      <w:r w:rsidR="00B52155" w:rsidRPr="007F0E49">
        <w:rPr>
          <w:rFonts w:ascii="Arial" w:hAnsi="Arial" w:cs="Arial"/>
          <w:color w:val="000000"/>
          <w:sz w:val="22"/>
          <w:szCs w:val="22"/>
        </w:rPr>
        <w:t xml:space="preserve"> Škrljevo – Jurdani </w:t>
      </w:r>
      <w:r w:rsidR="000A3E03" w:rsidRPr="007F0E49">
        <w:rPr>
          <w:rFonts w:ascii="Arial" w:hAnsi="Arial" w:cs="Arial"/>
          <w:color w:val="000000"/>
          <w:sz w:val="22"/>
          <w:szCs w:val="22"/>
        </w:rPr>
        <w:t xml:space="preserve"> </w:t>
      </w:r>
      <w:r w:rsidR="0060010E" w:rsidRPr="007F0E49">
        <w:rPr>
          <w:rFonts w:ascii="Arial" w:hAnsi="Arial" w:cs="Arial"/>
          <w:color w:val="000000"/>
          <w:sz w:val="22"/>
          <w:szCs w:val="22"/>
        </w:rPr>
        <w:t>(</w:t>
      </w:r>
      <w:r w:rsidR="000A3E03" w:rsidRPr="007F0E49">
        <w:rPr>
          <w:rFonts w:ascii="Arial" w:hAnsi="Arial" w:cs="Arial"/>
          <w:color w:val="000000"/>
          <w:sz w:val="22"/>
          <w:szCs w:val="22"/>
        </w:rPr>
        <w:t>HŽ-infrastruktur</w:t>
      </w:r>
      <w:r w:rsidR="0060010E" w:rsidRPr="007F0E49">
        <w:rPr>
          <w:rFonts w:ascii="Arial" w:hAnsi="Arial" w:cs="Arial"/>
          <w:color w:val="000000"/>
          <w:sz w:val="22"/>
          <w:szCs w:val="22"/>
        </w:rPr>
        <w:t>a</w:t>
      </w:r>
      <w:r w:rsidR="000A3E03" w:rsidRPr="007F0E49">
        <w:rPr>
          <w:rFonts w:ascii="Arial" w:hAnsi="Arial" w:cs="Arial"/>
          <w:color w:val="000000"/>
          <w:sz w:val="22"/>
          <w:szCs w:val="22"/>
        </w:rPr>
        <w:t xml:space="preserve"> d.o.o. Zagreb)</w:t>
      </w:r>
      <w:r w:rsidR="00455FB8" w:rsidRPr="007F0E49">
        <w:rPr>
          <w:rFonts w:ascii="Arial" w:hAnsi="Arial" w:cs="Arial"/>
          <w:color w:val="000000"/>
          <w:sz w:val="22"/>
          <w:szCs w:val="22"/>
        </w:rPr>
        <w:t xml:space="preserve"> </w:t>
      </w:r>
      <w:r w:rsidR="002F3FD7" w:rsidRPr="007F0E49">
        <w:rPr>
          <w:rFonts w:ascii="Arial" w:hAnsi="Arial" w:cs="Arial"/>
          <w:color w:val="000000"/>
          <w:sz w:val="22"/>
          <w:szCs w:val="22"/>
        </w:rPr>
        <w:t xml:space="preserve">te na </w:t>
      </w:r>
      <w:r w:rsidR="00455FB8" w:rsidRPr="007F0E49">
        <w:rPr>
          <w:rFonts w:ascii="Arial" w:hAnsi="Arial" w:cs="Arial"/>
          <w:color w:val="000000"/>
          <w:sz w:val="22"/>
          <w:szCs w:val="22"/>
        </w:rPr>
        <w:t>pomoć općini Gradac za obnovu spomenika „Slobodi“.</w:t>
      </w:r>
    </w:p>
    <w:p w:rsidR="00455FB8" w:rsidRPr="007F0E49" w:rsidRDefault="00455FB8" w:rsidP="000E69DA">
      <w:pPr>
        <w:jc w:val="both"/>
        <w:rPr>
          <w:rFonts w:ascii="Arial" w:hAnsi="Arial" w:cs="Arial"/>
          <w:color w:val="000000"/>
          <w:sz w:val="22"/>
          <w:szCs w:val="22"/>
        </w:rPr>
      </w:pPr>
    </w:p>
    <w:p w:rsidR="000E69DA" w:rsidRPr="007F0E49" w:rsidRDefault="00F71C9A" w:rsidP="000E69DA">
      <w:pPr>
        <w:jc w:val="both"/>
        <w:rPr>
          <w:rFonts w:ascii="Arial" w:hAnsi="Arial" w:cs="Arial"/>
          <w:sz w:val="22"/>
          <w:szCs w:val="22"/>
        </w:rPr>
      </w:pPr>
      <w:r w:rsidRPr="007F0E49">
        <w:rPr>
          <w:rFonts w:ascii="Arial" w:hAnsi="Arial" w:cs="Arial"/>
          <w:i/>
          <w:sz w:val="22"/>
          <w:szCs w:val="22"/>
          <w:u w:val="single"/>
        </w:rPr>
        <w:t>P</w:t>
      </w:r>
      <w:r w:rsidR="000E69DA" w:rsidRPr="007F0E49">
        <w:rPr>
          <w:rFonts w:ascii="Arial" w:hAnsi="Arial" w:cs="Arial"/>
          <w:i/>
          <w:sz w:val="22"/>
          <w:szCs w:val="22"/>
          <w:u w:val="single"/>
        </w:rPr>
        <w:t>omoći proračunskim korisnicima drugih proračuna</w:t>
      </w:r>
      <w:r w:rsidR="002F3DFF" w:rsidRPr="007F0E49">
        <w:rPr>
          <w:rFonts w:ascii="Arial" w:hAnsi="Arial" w:cs="Arial"/>
          <w:i/>
          <w:sz w:val="22"/>
          <w:szCs w:val="22"/>
          <w:u w:val="single"/>
        </w:rPr>
        <w:t xml:space="preserve"> (366)</w:t>
      </w:r>
      <w:r w:rsidR="00A866B5" w:rsidRPr="007F0E49">
        <w:rPr>
          <w:rFonts w:ascii="Arial" w:hAnsi="Arial" w:cs="Arial"/>
          <w:sz w:val="22"/>
          <w:szCs w:val="22"/>
        </w:rPr>
        <w:t xml:space="preserve"> izvršene</w:t>
      </w:r>
      <w:r w:rsidR="00455FB8" w:rsidRPr="007F0E49">
        <w:rPr>
          <w:rFonts w:ascii="Arial" w:hAnsi="Arial" w:cs="Arial"/>
          <w:sz w:val="22"/>
          <w:szCs w:val="22"/>
        </w:rPr>
        <w:t xml:space="preserve"> su </w:t>
      </w:r>
      <w:r w:rsidR="00A8235A" w:rsidRPr="007F0E49">
        <w:rPr>
          <w:rFonts w:ascii="Arial" w:hAnsi="Arial" w:cs="Arial"/>
          <w:sz w:val="22"/>
          <w:szCs w:val="22"/>
        </w:rPr>
        <w:t xml:space="preserve">39% </w:t>
      </w:r>
      <w:r w:rsidR="00455FB8" w:rsidRPr="007F0E49">
        <w:rPr>
          <w:rFonts w:ascii="Arial" w:hAnsi="Arial" w:cs="Arial"/>
          <w:sz w:val="22"/>
          <w:szCs w:val="22"/>
        </w:rPr>
        <w:t xml:space="preserve">manje u odnosu na </w:t>
      </w:r>
      <w:r w:rsidR="00D35D2B" w:rsidRPr="007F0E49">
        <w:rPr>
          <w:rFonts w:ascii="Arial" w:hAnsi="Arial" w:cs="Arial"/>
          <w:sz w:val="22"/>
          <w:szCs w:val="22"/>
        </w:rPr>
        <w:t xml:space="preserve">izvršenje u </w:t>
      </w:r>
      <w:r w:rsidR="00455FB8" w:rsidRPr="007F0E49">
        <w:rPr>
          <w:rFonts w:ascii="Arial" w:hAnsi="Arial" w:cs="Arial"/>
          <w:sz w:val="22"/>
          <w:szCs w:val="22"/>
        </w:rPr>
        <w:t>2021</w:t>
      </w:r>
      <w:r w:rsidR="009A66FB" w:rsidRPr="007F0E49">
        <w:rPr>
          <w:rFonts w:ascii="Arial" w:hAnsi="Arial" w:cs="Arial"/>
          <w:sz w:val="22"/>
          <w:szCs w:val="22"/>
        </w:rPr>
        <w:t>. godin</w:t>
      </w:r>
      <w:r w:rsidR="00D35D2B" w:rsidRPr="007F0E49">
        <w:rPr>
          <w:rFonts w:ascii="Arial" w:hAnsi="Arial" w:cs="Arial"/>
          <w:sz w:val="22"/>
          <w:szCs w:val="22"/>
        </w:rPr>
        <w:t>i</w:t>
      </w:r>
      <w:r w:rsidR="001B0150" w:rsidRPr="007F0E49">
        <w:rPr>
          <w:rFonts w:ascii="Arial" w:hAnsi="Arial" w:cs="Arial"/>
          <w:sz w:val="22"/>
          <w:szCs w:val="22"/>
        </w:rPr>
        <w:t>.</w:t>
      </w:r>
      <w:r w:rsidR="000E69DA" w:rsidRPr="007F0E49">
        <w:rPr>
          <w:rFonts w:ascii="Arial" w:hAnsi="Arial" w:cs="Arial"/>
          <w:sz w:val="22"/>
          <w:szCs w:val="22"/>
        </w:rPr>
        <w:t xml:space="preserve"> Tekuće pomoći</w:t>
      </w:r>
      <w:r w:rsidR="006A44D8" w:rsidRPr="007F0E49">
        <w:rPr>
          <w:rFonts w:ascii="Arial" w:hAnsi="Arial" w:cs="Arial"/>
          <w:sz w:val="22"/>
          <w:szCs w:val="22"/>
        </w:rPr>
        <w:t xml:space="preserve"> (3661)</w:t>
      </w:r>
      <w:r w:rsidR="000E69DA" w:rsidRPr="007F0E49">
        <w:rPr>
          <w:rFonts w:ascii="Arial" w:hAnsi="Arial" w:cs="Arial"/>
          <w:sz w:val="22"/>
          <w:szCs w:val="22"/>
        </w:rPr>
        <w:t xml:space="preserve"> utrošene su za razne namjene u okviru provođenja socijalnog programa i programa zaštite zdravlja, za sufinanciranje </w:t>
      </w:r>
      <w:r w:rsidRPr="007F0E49">
        <w:rPr>
          <w:rFonts w:ascii="Arial" w:hAnsi="Arial" w:cs="Arial"/>
          <w:sz w:val="22"/>
          <w:szCs w:val="22"/>
        </w:rPr>
        <w:t>studija logo</w:t>
      </w:r>
      <w:r w:rsidR="00F87965" w:rsidRPr="007F0E49">
        <w:rPr>
          <w:rFonts w:ascii="Arial" w:hAnsi="Arial" w:cs="Arial"/>
          <w:sz w:val="22"/>
          <w:szCs w:val="22"/>
        </w:rPr>
        <w:t>pedije</w:t>
      </w:r>
      <w:r w:rsidR="00432002" w:rsidRPr="007F0E49">
        <w:rPr>
          <w:rFonts w:ascii="Arial" w:hAnsi="Arial" w:cs="Arial"/>
          <w:sz w:val="22"/>
          <w:szCs w:val="22"/>
        </w:rPr>
        <w:t xml:space="preserve"> i logopedskog centra</w:t>
      </w:r>
      <w:r w:rsidR="002F31CC" w:rsidRPr="007F0E49">
        <w:rPr>
          <w:rFonts w:ascii="Arial" w:hAnsi="Arial" w:cs="Arial"/>
          <w:sz w:val="22"/>
          <w:szCs w:val="22"/>
        </w:rPr>
        <w:t>, studija za prim</w:t>
      </w:r>
      <w:r w:rsidR="00D35D2B" w:rsidRPr="007F0E49">
        <w:rPr>
          <w:rFonts w:ascii="Arial" w:hAnsi="Arial" w:cs="Arial"/>
          <w:sz w:val="22"/>
          <w:szCs w:val="22"/>
        </w:rPr>
        <w:t>i</w:t>
      </w:r>
      <w:r w:rsidR="002F31CC" w:rsidRPr="007F0E49">
        <w:rPr>
          <w:rFonts w:ascii="Arial" w:hAnsi="Arial" w:cs="Arial"/>
          <w:sz w:val="22"/>
          <w:szCs w:val="22"/>
        </w:rPr>
        <w:t>jenjenu umjetnost</w:t>
      </w:r>
      <w:r w:rsidR="00F87965" w:rsidRPr="007F0E49">
        <w:rPr>
          <w:rFonts w:ascii="Arial" w:hAnsi="Arial" w:cs="Arial"/>
          <w:sz w:val="22"/>
          <w:szCs w:val="22"/>
        </w:rPr>
        <w:t xml:space="preserve"> na Sveučilištu u Rije</w:t>
      </w:r>
      <w:r w:rsidR="00432002" w:rsidRPr="007F0E49">
        <w:rPr>
          <w:rFonts w:ascii="Arial" w:hAnsi="Arial" w:cs="Arial"/>
          <w:sz w:val="22"/>
          <w:szCs w:val="22"/>
        </w:rPr>
        <w:t>ci</w:t>
      </w:r>
      <w:r w:rsidR="00D35D2B" w:rsidRPr="007F0E49">
        <w:rPr>
          <w:rFonts w:ascii="Arial" w:hAnsi="Arial" w:cs="Arial"/>
          <w:sz w:val="22"/>
          <w:szCs w:val="22"/>
        </w:rPr>
        <w:t>,</w:t>
      </w:r>
      <w:r w:rsidR="002F31CC" w:rsidRPr="007F0E49">
        <w:rPr>
          <w:rFonts w:ascii="Arial" w:hAnsi="Arial" w:cs="Arial"/>
          <w:sz w:val="22"/>
          <w:szCs w:val="22"/>
        </w:rPr>
        <w:t xml:space="preserve"> </w:t>
      </w:r>
      <w:r w:rsidR="00D35D2B" w:rsidRPr="007F0E49">
        <w:rPr>
          <w:rFonts w:ascii="Arial" w:hAnsi="Arial" w:cs="Arial"/>
          <w:sz w:val="22"/>
          <w:szCs w:val="22"/>
        </w:rPr>
        <w:t xml:space="preserve">za </w:t>
      </w:r>
      <w:r w:rsidR="002F31CC" w:rsidRPr="007F0E49">
        <w:rPr>
          <w:rFonts w:ascii="Arial" w:hAnsi="Arial" w:cs="Arial"/>
          <w:sz w:val="22"/>
          <w:szCs w:val="22"/>
        </w:rPr>
        <w:t xml:space="preserve">sufinanciranje zavoda za biomedicinske znanosti </w:t>
      </w:r>
      <w:r w:rsidR="00455FB8" w:rsidRPr="007F0E49">
        <w:rPr>
          <w:rFonts w:ascii="Arial" w:hAnsi="Arial" w:cs="Arial"/>
          <w:sz w:val="22"/>
          <w:szCs w:val="22"/>
        </w:rPr>
        <w:t xml:space="preserve">i </w:t>
      </w:r>
      <w:r w:rsidR="002354B1" w:rsidRPr="007F0E49">
        <w:rPr>
          <w:rFonts w:ascii="Arial" w:hAnsi="Arial" w:cs="Arial"/>
          <w:sz w:val="22"/>
          <w:szCs w:val="22"/>
        </w:rPr>
        <w:t>drugo.</w:t>
      </w:r>
    </w:p>
    <w:p w:rsidR="006A44D8" w:rsidRPr="007F0E49" w:rsidRDefault="006A44D8" w:rsidP="000E69DA">
      <w:pPr>
        <w:jc w:val="both"/>
        <w:rPr>
          <w:rFonts w:ascii="Arial" w:hAnsi="Arial" w:cs="Arial"/>
          <w:sz w:val="22"/>
          <w:szCs w:val="22"/>
        </w:rPr>
      </w:pPr>
      <w:r w:rsidRPr="007F0E49">
        <w:rPr>
          <w:rFonts w:ascii="Arial" w:hAnsi="Arial" w:cs="Arial"/>
          <w:sz w:val="22"/>
          <w:szCs w:val="22"/>
        </w:rPr>
        <w:t>Kapitalna pomoć unutar općeg proračuna (3662) odnosi se na uređenje laboratorijskog prostora studijskog programa farmacije na Medicinskom fakultetu u Rijeci u iznosu od 98.550</w:t>
      </w:r>
      <w:r w:rsidR="00BD491F" w:rsidRPr="007F0E49">
        <w:rPr>
          <w:rFonts w:ascii="Arial" w:hAnsi="Arial" w:cs="Arial"/>
          <w:sz w:val="22"/>
          <w:szCs w:val="22"/>
        </w:rPr>
        <w:t>,00</w:t>
      </w:r>
      <w:r w:rsidRPr="007F0E49">
        <w:rPr>
          <w:rFonts w:ascii="Arial" w:hAnsi="Arial" w:cs="Arial"/>
          <w:sz w:val="22"/>
          <w:szCs w:val="22"/>
        </w:rPr>
        <w:t xml:space="preserve"> kn.</w:t>
      </w:r>
    </w:p>
    <w:p w:rsidR="00F71C9A" w:rsidRPr="007F0E49" w:rsidRDefault="00F71C9A" w:rsidP="000E69DA">
      <w:pPr>
        <w:jc w:val="both"/>
        <w:rPr>
          <w:rFonts w:ascii="Arial" w:hAnsi="Arial" w:cs="Arial"/>
          <w:sz w:val="22"/>
          <w:szCs w:val="22"/>
        </w:rPr>
      </w:pPr>
    </w:p>
    <w:p w:rsidR="000E69DA" w:rsidRPr="007F0E49" w:rsidRDefault="000E69DA" w:rsidP="000E69DA">
      <w:pPr>
        <w:jc w:val="both"/>
        <w:rPr>
          <w:rFonts w:ascii="Arial" w:hAnsi="Arial" w:cs="Arial"/>
          <w:sz w:val="22"/>
          <w:szCs w:val="22"/>
        </w:rPr>
      </w:pPr>
      <w:r w:rsidRPr="007F0E49">
        <w:rPr>
          <w:rFonts w:ascii="Arial" w:hAnsi="Arial" w:cs="Arial"/>
          <w:b/>
          <w:sz w:val="22"/>
          <w:szCs w:val="22"/>
        </w:rPr>
        <w:t>Prijenosi proračunskim korisnicima</w:t>
      </w:r>
      <w:r w:rsidRPr="007F0E49">
        <w:rPr>
          <w:rFonts w:ascii="Arial" w:hAnsi="Arial" w:cs="Arial"/>
          <w:sz w:val="22"/>
          <w:szCs w:val="22"/>
        </w:rPr>
        <w:t xml:space="preserve"> iz nadležnog proračuna za financiranje redovne djelatnosti iznose </w:t>
      </w:r>
      <w:r w:rsidR="006A44D8" w:rsidRPr="007F0E49">
        <w:rPr>
          <w:rFonts w:ascii="Arial" w:hAnsi="Arial" w:cs="Arial"/>
          <w:sz w:val="22"/>
          <w:szCs w:val="22"/>
        </w:rPr>
        <w:t>202.733.704,14</w:t>
      </w:r>
      <w:r w:rsidRPr="007F0E49">
        <w:rPr>
          <w:rFonts w:ascii="Arial" w:hAnsi="Arial" w:cs="Arial"/>
          <w:sz w:val="22"/>
          <w:szCs w:val="22"/>
        </w:rPr>
        <w:t xml:space="preserve"> kn što, u odnosu na prošlu godinu, čini </w:t>
      </w:r>
      <w:r w:rsidR="006A44D8" w:rsidRPr="007F0E49">
        <w:rPr>
          <w:rFonts w:ascii="Arial" w:hAnsi="Arial" w:cs="Arial"/>
          <w:sz w:val="22"/>
          <w:szCs w:val="22"/>
        </w:rPr>
        <w:t>povećanje od 7,5%.</w:t>
      </w:r>
    </w:p>
    <w:p w:rsidR="000E69DA" w:rsidRPr="007F0E49" w:rsidRDefault="000E69DA" w:rsidP="000E69DA">
      <w:pPr>
        <w:jc w:val="both"/>
        <w:rPr>
          <w:rFonts w:ascii="Arial" w:hAnsi="Arial" w:cs="Arial"/>
          <w:sz w:val="22"/>
          <w:szCs w:val="22"/>
        </w:rPr>
      </w:pPr>
      <w:r w:rsidRPr="007F0E49">
        <w:rPr>
          <w:rFonts w:ascii="Arial" w:hAnsi="Arial" w:cs="Arial"/>
          <w:sz w:val="22"/>
          <w:szCs w:val="22"/>
        </w:rPr>
        <w:t xml:space="preserve">Za redovno poslovanje ukupno 34 mjesna odbora isplaćeno je </w:t>
      </w:r>
      <w:r w:rsidR="006A44D8" w:rsidRPr="007F0E49">
        <w:rPr>
          <w:rFonts w:ascii="Arial" w:hAnsi="Arial" w:cs="Arial"/>
          <w:sz w:val="22"/>
          <w:szCs w:val="22"/>
        </w:rPr>
        <w:t>624.729,15</w:t>
      </w:r>
      <w:r w:rsidRPr="007F0E49">
        <w:rPr>
          <w:rFonts w:ascii="Arial" w:hAnsi="Arial" w:cs="Arial"/>
          <w:sz w:val="22"/>
          <w:szCs w:val="22"/>
        </w:rPr>
        <w:t xml:space="preserve"> kn, a za 9 vijeća nacionalnih manjina </w:t>
      </w:r>
      <w:r w:rsidR="006A44D8" w:rsidRPr="007F0E49">
        <w:rPr>
          <w:rFonts w:ascii="Arial" w:hAnsi="Arial" w:cs="Arial"/>
          <w:sz w:val="22"/>
          <w:szCs w:val="22"/>
        </w:rPr>
        <w:t>473.051,31</w:t>
      </w:r>
      <w:r w:rsidRPr="007F0E49">
        <w:rPr>
          <w:rFonts w:ascii="Arial" w:hAnsi="Arial" w:cs="Arial"/>
          <w:sz w:val="22"/>
          <w:szCs w:val="22"/>
        </w:rPr>
        <w:t xml:space="preserve"> </w:t>
      </w:r>
      <w:r w:rsidR="0021146A" w:rsidRPr="007F0E49">
        <w:rPr>
          <w:rFonts w:ascii="Arial" w:hAnsi="Arial" w:cs="Arial"/>
          <w:sz w:val="22"/>
          <w:szCs w:val="22"/>
        </w:rPr>
        <w:t xml:space="preserve">kn. U skladu s uputama točke V. </w:t>
      </w:r>
      <w:r w:rsidRPr="007F0E49">
        <w:rPr>
          <w:rFonts w:ascii="Arial" w:hAnsi="Arial" w:cs="Arial"/>
          <w:sz w:val="22"/>
          <w:szCs w:val="22"/>
        </w:rPr>
        <w:t>Okružnice Ministarstva financija o sastavljanju, konsolidaciji i p</w:t>
      </w:r>
      <w:r w:rsidR="0021146A" w:rsidRPr="007F0E49">
        <w:rPr>
          <w:rFonts w:ascii="Arial" w:hAnsi="Arial" w:cs="Arial"/>
          <w:sz w:val="22"/>
          <w:szCs w:val="22"/>
        </w:rPr>
        <w:t xml:space="preserve">redaji financijskih izvještaja od 15. siječnja 2019. godine, </w:t>
      </w:r>
      <w:r w:rsidRPr="007F0E49">
        <w:rPr>
          <w:rFonts w:ascii="Arial" w:hAnsi="Arial" w:cs="Arial"/>
          <w:sz w:val="22"/>
          <w:szCs w:val="22"/>
        </w:rPr>
        <w:t>navedeni iznosi nisu u PR-RAS-u iskazani na računima podskupin</w:t>
      </w:r>
      <w:r w:rsidR="00444EBE" w:rsidRPr="007F0E49">
        <w:rPr>
          <w:rFonts w:ascii="Arial" w:hAnsi="Arial" w:cs="Arial"/>
          <w:sz w:val="22"/>
          <w:szCs w:val="22"/>
        </w:rPr>
        <w:t>e 367 već na izvornim rashodima.</w:t>
      </w:r>
      <w:r w:rsidRPr="007F0E49">
        <w:rPr>
          <w:rFonts w:ascii="Arial" w:hAnsi="Arial" w:cs="Arial"/>
          <w:sz w:val="22"/>
          <w:szCs w:val="22"/>
        </w:rPr>
        <w:t xml:space="preserve"> </w:t>
      </w:r>
      <w:r w:rsidR="00444EBE" w:rsidRPr="007F0E49">
        <w:rPr>
          <w:rFonts w:ascii="Arial" w:hAnsi="Arial" w:cs="Arial"/>
          <w:sz w:val="22"/>
          <w:szCs w:val="22"/>
        </w:rPr>
        <w:t>Grad</w:t>
      </w:r>
      <w:r w:rsidR="008B65FF" w:rsidRPr="007F0E49">
        <w:rPr>
          <w:rFonts w:ascii="Arial" w:hAnsi="Arial" w:cs="Arial"/>
          <w:sz w:val="22"/>
          <w:szCs w:val="22"/>
        </w:rPr>
        <w:t xml:space="preserve"> je, z</w:t>
      </w:r>
      <w:r w:rsidRPr="007F0E49">
        <w:rPr>
          <w:rFonts w:ascii="Arial" w:hAnsi="Arial" w:cs="Arial"/>
          <w:sz w:val="22"/>
          <w:szCs w:val="22"/>
        </w:rPr>
        <w:t>ajedno s prijenosima sredstava mjesnim odborima i vijećima nacionalnih manjina Grada Rijeke, sv</w:t>
      </w:r>
      <w:r w:rsidR="00730B23" w:rsidRPr="007F0E49">
        <w:rPr>
          <w:rFonts w:ascii="Arial" w:hAnsi="Arial" w:cs="Arial"/>
          <w:sz w:val="22"/>
          <w:szCs w:val="22"/>
        </w:rPr>
        <w:t>ojim</w:t>
      </w:r>
      <w:r w:rsidRPr="007F0E49">
        <w:rPr>
          <w:rFonts w:ascii="Arial" w:hAnsi="Arial" w:cs="Arial"/>
          <w:sz w:val="22"/>
          <w:szCs w:val="22"/>
        </w:rPr>
        <w:t xml:space="preserve"> </w:t>
      </w:r>
      <w:r w:rsidRPr="007F0E49">
        <w:rPr>
          <w:rFonts w:ascii="Arial" w:hAnsi="Arial" w:cs="Arial"/>
          <w:sz w:val="22"/>
          <w:szCs w:val="22"/>
        </w:rPr>
        <w:lastRenderedPageBreak/>
        <w:t>proračunskim korisnicima za redovno poslovanje u 20</w:t>
      </w:r>
      <w:r w:rsidR="006A44D8" w:rsidRPr="007F0E49">
        <w:rPr>
          <w:rFonts w:ascii="Arial" w:hAnsi="Arial" w:cs="Arial"/>
          <w:sz w:val="22"/>
          <w:szCs w:val="22"/>
        </w:rPr>
        <w:t>22</w:t>
      </w:r>
      <w:r w:rsidRPr="007F0E49">
        <w:rPr>
          <w:rFonts w:ascii="Arial" w:hAnsi="Arial" w:cs="Arial"/>
          <w:sz w:val="22"/>
          <w:szCs w:val="22"/>
        </w:rPr>
        <w:t>. godini</w:t>
      </w:r>
      <w:r w:rsidR="008B65FF" w:rsidRPr="007F0E49">
        <w:rPr>
          <w:rFonts w:ascii="Arial" w:hAnsi="Arial" w:cs="Arial"/>
          <w:sz w:val="22"/>
          <w:szCs w:val="22"/>
        </w:rPr>
        <w:t>,</w:t>
      </w:r>
      <w:r w:rsidRPr="007F0E49">
        <w:rPr>
          <w:rFonts w:ascii="Arial" w:hAnsi="Arial" w:cs="Arial"/>
          <w:sz w:val="22"/>
          <w:szCs w:val="22"/>
        </w:rPr>
        <w:t xml:space="preserve"> </w:t>
      </w:r>
      <w:r w:rsidR="00730B23" w:rsidRPr="007F0E49">
        <w:rPr>
          <w:rFonts w:ascii="Arial" w:hAnsi="Arial" w:cs="Arial"/>
          <w:sz w:val="22"/>
          <w:szCs w:val="22"/>
        </w:rPr>
        <w:t xml:space="preserve">doznačio ukupno </w:t>
      </w:r>
      <w:r w:rsidR="006A44D8" w:rsidRPr="007F0E49">
        <w:rPr>
          <w:rFonts w:ascii="Arial" w:hAnsi="Arial" w:cs="Arial"/>
          <w:b/>
          <w:sz w:val="22"/>
          <w:szCs w:val="22"/>
        </w:rPr>
        <w:t>203.831.484,60</w:t>
      </w:r>
      <w:r w:rsidRPr="007F0E49">
        <w:rPr>
          <w:rFonts w:ascii="Arial" w:hAnsi="Arial" w:cs="Arial"/>
          <w:b/>
          <w:sz w:val="22"/>
          <w:szCs w:val="22"/>
        </w:rPr>
        <w:t xml:space="preserve"> kn</w:t>
      </w:r>
      <w:r w:rsidRPr="007F0E49">
        <w:rPr>
          <w:rFonts w:ascii="Arial" w:hAnsi="Arial" w:cs="Arial"/>
          <w:sz w:val="22"/>
          <w:szCs w:val="22"/>
        </w:rPr>
        <w:t>.</w:t>
      </w:r>
    </w:p>
    <w:p w:rsidR="000E69DA" w:rsidRPr="007F0E49" w:rsidRDefault="000E69DA" w:rsidP="000E69DA">
      <w:pPr>
        <w:jc w:val="both"/>
        <w:rPr>
          <w:rFonts w:ascii="Arial" w:hAnsi="Arial" w:cs="Arial"/>
          <w:color w:val="000000"/>
          <w:sz w:val="22"/>
          <w:szCs w:val="22"/>
        </w:rPr>
      </w:pPr>
    </w:p>
    <w:p w:rsidR="000E69DA" w:rsidRPr="007F0E49" w:rsidRDefault="000E69DA" w:rsidP="000E69DA">
      <w:pPr>
        <w:jc w:val="both"/>
        <w:rPr>
          <w:rFonts w:ascii="Arial" w:hAnsi="Arial" w:cs="Arial"/>
          <w:color w:val="000000"/>
          <w:sz w:val="22"/>
          <w:szCs w:val="22"/>
        </w:rPr>
      </w:pPr>
      <w:r w:rsidRPr="007F0E49">
        <w:rPr>
          <w:rFonts w:ascii="Arial" w:hAnsi="Arial" w:cs="Arial"/>
          <w:i/>
          <w:color w:val="000000"/>
          <w:sz w:val="22"/>
          <w:szCs w:val="22"/>
          <w:u w:val="single"/>
        </w:rPr>
        <w:t>Naknade građanima i kućanstvima na temelju osi</w:t>
      </w:r>
      <w:r w:rsidR="00B760FE" w:rsidRPr="007F0E49">
        <w:rPr>
          <w:rFonts w:ascii="Arial" w:hAnsi="Arial" w:cs="Arial"/>
          <w:i/>
          <w:color w:val="000000"/>
          <w:sz w:val="22"/>
          <w:szCs w:val="22"/>
          <w:u w:val="single"/>
        </w:rPr>
        <w:t>guranja i druge naknade (37</w:t>
      </w:r>
      <w:r w:rsidRPr="007F0E49">
        <w:rPr>
          <w:rFonts w:ascii="Arial" w:hAnsi="Arial" w:cs="Arial"/>
          <w:i/>
          <w:color w:val="000000"/>
          <w:sz w:val="22"/>
          <w:szCs w:val="22"/>
          <w:u w:val="single"/>
        </w:rPr>
        <w:t>)</w:t>
      </w:r>
      <w:r w:rsidRPr="007F0E49">
        <w:rPr>
          <w:rFonts w:ascii="Arial" w:hAnsi="Arial" w:cs="Arial"/>
          <w:b/>
          <w:color w:val="000000"/>
          <w:sz w:val="22"/>
          <w:szCs w:val="22"/>
        </w:rPr>
        <w:t xml:space="preserve"> </w:t>
      </w:r>
      <w:r w:rsidRPr="007F0E49">
        <w:rPr>
          <w:rFonts w:ascii="Arial" w:hAnsi="Arial" w:cs="Arial"/>
          <w:color w:val="000000"/>
          <w:sz w:val="22"/>
          <w:szCs w:val="22"/>
        </w:rPr>
        <w:t xml:space="preserve">ostvarene su u iznosu od </w:t>
      </w:r>
      <w:r w:rsidR="00B760FE" w:rsidRPr="007F0E49">
        <w:rPr>
          <w:rFonts w:ascii="Arial" w:hAnsi="Arial" w:cs="Arial"/>
          <w:color w:val="000000"/>
          <w:sz w:val="22"/>
          <w:szCs w:val="22"/>
        </w:rPr>
        <w:t>27.704.676,02 kn, 11,4</w:t>
      </w:r>
      <w:r w:rsidR="00C72072" w:rsidRPr="007F0E49">
        <w:rPr>
          <w:rFonts w:ascii="Arial" w:hAnsi="Arial" w:cs="Arial"/>
          <w:color w:val="000000"/>
          <w:sz w:val="22"/>
          <w:szCs w:val="22"/>
        </w:rPr>
        <w:t>%</w:t>
      </w:r>
      <w:r w:rsidR="00BA28AD" w:rsidRPr="007F0E49">
        <w:rPr>
          <w:rFonts w:ascii="Arial" w:hAnsi="Arial" w:cs="Arial"/>
          <w:color w:val="000000"/>
          <w:sz w:val="22"/>
          <w:szCs w:val="22"/>
        </w:rPr>
        <w:t xml:space="preserve"> više</w:t>
      </w:r>
      <w:r w:rsidRPr="007F0E49">
        <w:rPr>
          <w:rFonts w:ascii="Arial" w:hAnsi="Arial" w:cs="Arial"/>
          <w:color w:val="000000"/>
          <w:sz w:val="22"/>
          <w:szCs w:val="22"/>
        </w:rPr>
        <w:t xml:space="preserve"> od izvršenja prethodne godine i najvećim dijelom se odnose na naknade koje se isplaćuju korisnicima Socijalnog programa sukladno Odluci o socijalnoj skrbi Grada Rijeke. Ostale naknade odnose se </w:t>
      </w:r>
      <w:r w:rsidRPr="007F0E49">
        <w:rPr>
          <w:rFonts w:ascii="Arial" w:hAnsi="Arial" w:cs="Arial"/>
          <w:sz w:val="22"/>
          <w:szCs w:val="22"/>
        </w:rPr>
        <w:t>na isplatu stipendija za darovite učenike i studente i stipendije koje se dodjeljuju prema socijalnom kriteriju, stipendiranje studenata za studij deficitarnih zanimanja, na sufinanciranje studentskih karata</w:t>
      </w:r>
      <w:r w:rsidR="00333643" w:rsidRPr="007F0E49">
        <w:rPr>
          <w:rFonts w:ascii="Arial" w:hAnsi="Arial" w:cs="Arial"/>
          <w:sz w:val="22"/>
          <w:szCs w:val="22"/>
        </w:rPr>
        <w:t>,</w:t>
      </w:r>
      <w:r w:rsidRPr="007F0E49">
        <w:rPr>
          <w:rFonts w:ascii="Arial" w:hAnsi="Arial" w:cs="Arial"/>
          <w:color w:val="000000"/>
          <w:sz w:val="22"/>
          <w:szCs w:val="22"/>
        </w:rPr>
        <w:t xml:space="preserve"> na isplatu novčanih donacija za novorođenu djecu u okviru populacijske politike Grada Rijeke</w:t>
      </w:r>
      <w:r w:rsidR="00333643" w:rsidRPr="007F0E49">
        <w:rPr>
          <w:rFonts w:ascii="Arial" w:hAnsi="Arial" w:cs="Arial"/>
          <w:color w:val="000000"/>
          <w:sz w:val="22"/>
          <w:szCs w:val="22"/>
        </w:rPr>
        <w:t>, zatim na</w:t>
      </w:r>
      <w:r w:rsidRPr="007F0E49">
        <w:rPr>
          <w:rFonts w:ascii="Arial" w:hAnsi="Arial" w:cs="Arial"/>
          <w:color w:val="000000"/>
          <w:sz w:val="22"/>
          <w:szCs w:val="22"/>
        </w:rPr>
        <w:t xml:space="preserve"> subvencije umirovljenicima kroz novčane pomoći </w:t>
      </w:r>
      <w:r w:rsidR="00333643" w:rsidRPr="007F0E49">
        <w:rPr>
          <w:rFonts w:ascii="Arial" w:hAnsi="Arial" w:cs="Arial"/>
          <w:color w:val="000000"/>
          <w:sz w:val="22"/>
          <w:szCs w:val="22"/>
        </w:rPr>
        <w:t>i</w:t>
      </w:r>
      <w:r w:rsidRPr="007F0E49">
        <w:rPr>
          <w:rFonts w:ascii="Arial" w:hAnsi="Arial" w:cs="Arial"/>
          <w:color w:val="000000"/>
          <w:sz w:val="22"/>
          <w:szCs w:val="22"/>
        </w:rPr>
        <w:t xml:space="preserve"> sufina</w:t>
      </w:r>
      <w:r w:rsidR="00333643" w:rsidRPr="007F0E49">
        <w:rPr>
          <w:rFonts w:ascii="Arial" w:hAnsi="Arial" w:cs="Arial"/>
          <w:color w:val="000000"/>
          <w:sz w:val="22"/>
          <w:szCs w:val="22"/>
        </w:rPr>
        <w:t>n</w:t>
      </w:r>
      <w:r w:rsidRPr="007F0E49">
        <w:rPr>
          <w:rFonts w:ascii="Arial" w:hAnsi="Arial" w:cs="Arial"/>
          <w:color w:val="000000"/>
          <w:sz w:val="22"/>
          <w:szCs w:val="22"/>
        </w:rPr>
        <w:t>ciranje cijene prijevoza.</w:t>
      </w:r>
    </w:p>
    <w:p w:rsidR="00624B85" w:rsidRPr="007F0E49" w:rsidRDefault="00624B85" w:rsidP="000E69DA">
      <w:pPr>
        <w:jc w:val="both"/>
        <w:rPr>
          <w:rFonts w:ascii="Arial" w:hAnsi="Arial" w:cs="Arial"/>
          <w:color w:val="000000"/>
          <w:sz w:val="22"/>
          <w:szCs w:val="22"/>
        </w:rPr>
      </w:pPr>
    </w:p>
    <w:p w:rsidR="00624B85" w:rsidRPr="007F0E49" w:rsidRDefault="00624B85" w:rsidP="000E69DA">
      <w:pPr>
        <w:jc w:val="both"/>
        <w:rPr>
          <w:rFonts w:ascii="Arial" w:hAnsi="Arial" w:cs="Arial"/>
          <w:color w:val="000000"/>
          <w:sz w:val="22"/>
          <w:szCs w:val="22"/>
        </w:rPr>
      </w:pPr>
      <w:r w:rsidRPr="007F0E49">
        <w:rPr>
          <w:rFonts w:ascii="Arial" w:hAnsi="Arial" w:cs="Arial"/>
          <w:i/>
          <w:color w:val="000000"/>
          <w:sz w:val="22"/>
          <w:szCs w:val="22"/>
          <w:u w:val="single"/>
        </w:rPr>
        <w:t>Ostali rashodi (38)</w:t>
      </w:r>
      <w:r w:rsidR="004B16E6" w:rsidRPr="007F0E49">
        <w:rPr>
          <w:rFonts w:ascii="Arial" w:hAnsi="Arial" w:cs="Arial"/>
          <w:color w:val="000000"/>
          <w:sz w:val="22"/>
          <w:szCs w:val="22"/>
          <w:u w:val="single"/>
        </w:rPr>
        <w:t xml:space="preserve"> </w:t>
      </w:r>
      <w:r w:rsidR="004B16E6" w:rsidRPr="007F0E49">
        <w:rPr>
          <w:rFonts w:ascii="Arial" w:hAnsi="Arial" w:cs="Arial"/>
          <w:color w:val="000000"/>
          <w:sz w:val="22"/>
          <w:szCs w:val="22"/>
        </w:rPr>
        <w:t>iznose 60.974.218,47</w:t>
      </w:r>
      <w:r w:rsidRPr="007F0E49">
        <w:rPr>
          <w:rFonts w:ascii="Arial" w:hAnsi="Arial" w:cs="Arial"/>
          <w:color w:val="000000"/>
          <w:sz w:val="22"/>
          <w:szCs w:val="22"/>
        </w:rPr>
        <w:t xml:space="preserve"> kn i bil</w:t>
      </w:r>
      <w:r w:rsidR="000462A8" w:rsidRPr="007F0E49">
        <w:rPr>
          <w:rFonts w:ascii="Arial" w:hAnsi="Arial" w:cs="Arial"/>
          <w:color w:val="000000"/>
          <w:sz w:val="22"/>
          <w:szCs w:val="22"/>
        </w:rPr>
        <w:t>j</w:t>
      </w:r>
      <w:r w:rsidRPr="007F0E49">
        <w:rPr>
          <w:rFonts w:ascii="Arial" w:hAnsi="Arial" w:cs="Arial"/>
          <w:color w:val="000000"/>
          <w:sz w:val="22"/>
          <w:szCs w:val="22"/>
        </w:rPr>
        <w:t xml:space="preserve">eže rast od 7%. Do porasta u odnosu na prethodnu godinu </w:t>
      </w:r>
      <w:r w:rsidR="00CE5CCA" w:rsidRPr="007F0E49">
        <w:rPr>
          <w:rFonts w:ascii="Arial" w:hAnsi="Arial" w:cs="Arial"/>
          <w:color w:val="000000"/>
          <w:sz w:val="22"/>
          <w:szCs w:val="22"/>
        </w:rPr>
        <w:t>dolazi</w:t>
      </w:r>
      <w:r w:rsidRPr="007F0E49">
        <w:rPr>
          <w:rFonts w:ascii="Arial" w:hAnsi="Arial" w:cs="Arial"/>
          <w:color w:val="000000"/>
          <w:sz w:val="22"/>
          <w:szCs w:val="22"/>
        </w:rPr>
        <w:t xml:space="preserve"> kod tekućih donacija u novcu i naravi, kod kapitalnih donacija građanima i kućanstvima dok se pad bilježi kod t</w:t>
      </w:r>
      <w:r w:rsidR="000462A8" w:rsidRPr="007F0E49">
        <w:rPr>
          <w:rFonts w:ascii="Arial" w:hAnsi="Arial" w:cs="Arial"/>
          <w:color w:val="000000"/>
          <w:sz w:val="22"/>
          <w:szCs w:val="22"/>
        </w:rPr>
        <w:t>ekućih donacija iz EU sredstava</w:t>
      </w:r>
      <w:r w:rsidRPr="007F0E49">
        <w:rPr>
          <w:rFonts w:ascii="Arial" w:hAnsi="Arial" w:cs="Arial"/>
          <w:color w:val="000000"/>
          <w:sz w:val="22"/>
          <w:szCs w:val="22"/>
        </w:rPr>
        <w:t xml:space="preserve">, kapitalnih donacija neprofitnim organizacijama </w:t>
      </w:r>
      <w:r w:rsidR="00CE5CCA" w:rsidRPr="007F0E49">
        <w:rPr>
          <w:rFonts w:ascii="Arial" w:hAnsi="Arial" w:cs="Arial"/>
          <w:color w:val="000000"/>
          <w:sz w:val="22"/>
          <w:szCs w:val="22"/>
        </w:rPr>
        <w:t>te</w:t>
      </w:r>
      <w:r w:rsidRPr="007F0E49">
        <w:rPr>
          <w:rFonts w:ascii="Arial" w:hAnsi="Arial" w:cs="Arial"/>
          <w:color w:val="000000"/>
          <w:sz w:val="22"/>
          <w:szCs w:val="22"/>
        </w:rPr>
        <w:t xml:space="preserve"> kod kapitalnih pomoći trgovačkim društvima u javnom sektoru </w:t>
      </w:r>
      <w:r w:rsidR="00CE5CCA" w:rsidRPr="007F0E49">
        <w:rPr>
          <w:rFonts w:ascii="Arial" w:hAnsi="Arial" w:cs="Arial"/>
          <w:color w:val="000000"/>
          <w:sz w:val="22"/>
          <w:szCs w:val="22"/>
        </w:rPr>
        <w:t xml:space="preserve">za 13,3% </w:t>
      </w:r>
      <w:r w:rsidRPr="007F0E49">
        <w:rPr>
          <w:rFonts w:ascii="Arial" w:hAnsi="Arial" w:cs="Arial"/>
          <w:color w:val="000000"/>
          <w:sz w:val="22"/>
          <w:szCs w:val="22"/>
        </w:rPr>
        <w:t>(Čistoća</w:t>
      </w:r>
      <w:r w:rsidR="005B66D4" w:rsidRPr="007F0E49">
        <w:rPr>
          <w:rFonts w:ascii="Arial" w:hAnsi="Arial" w:cs="Arial"/>
          <w:color w:val="000000"/>
          <w:sz w:val="22"/>
          <w:szCs w:val="22"/>
        </w:rPr>
        <w:t xml:space="preserve"> d.o.o.</w:t>
      </w:r>
      <w:r w:rsidRPr="007F0E49">
        <w:rPr>
          <w:rFonts w:ascii="Arial" w:hAnsi="Arial" w:cs="Arial"/>
          <w:color w:val="000000"/>
          <w:sz w:val="22"/>
          <w:szCs w:val="22"/>
        </w:rPr>
        <w:t>, Autotrolej</w:t>
      </w:r>
      <w:r w:rsidR="005B66D4" w:rsidRPr="007F0E49">
        <w:rPr>
          <w:rFonts w:ascii="Arial" w:hAnsi="Arial" w:cs="Arial"/>
          <w:color w:val="000000"/>
          <w:sz w:val="22"/>
          <w:szCs w:val="22"/>
        </w:rPr>
        <w:t xml:space="preserve"> d.o.o.</w:t>
      </w:r>
      <w:r w:rsidRPr="007F0E49">
        <w:rPr>
          <w:rFonts w:ascii="Arial" w:hAnsi="Arial" w:cs="Arial"/>
          <w:color w:val="000000"/>
          <w:sz w:val="22"/>
          <w:szCs w:val="22"/>
        </w:rPr>
        <w:t xml:space="preserve"> i</w:t>
      </w:r>
      <w:r w:rsidR="005B66D4" w:rsidRPr="007F0E49">
        <w:rPr>
          <w:rFonts w:ascii="Arial" w:hAnsi="Arial" w:cs="Arial"/>
          <w:color w:val="000000"/>
          <w:sz w:val="22"/>
          <w:szCs w:val="22"/>
        </w:rPr>
        <w:t xml:space="preserve"> </w:t>
      </w:r>
      <w:r w:rsidRPr="007F0E49">
        <w:rPr>
          <w:rFonts w:ascii="Arial" w:hAnsi="Arial" w:cs="Arial"/>
          <w:color w:val="000000"/>
          <w:sz w:val="22"/>
          <w:szCs w:val="22"/>
        </w:rPr>
        <w:t>Rijeka sport</w:t>
      </w:r>
      <w:r w:rsidR="005B66D4" w:rsidRPr="007F0E49">
        <w:rPr>
          <w:rFonts w:ascii="Arial" w:hAnsi="Arial" w:cs="Arial"/>
          <w:color w:val="000000"/>
          <w:sz w:val="22"/>
          <w:szCs w:val="22"/>
        </w:rPr>
        <w:t xml:space="preserve"> d.o.o.</w:t>
      </w:r>
      <w:r w:rsidRPr="007F0E49">
        <w:rPr>
          <w:rFonts w:ascii="Arial" w:hAnsi="Arial" w:cs="Arial"/>
          <w:color w:val="000000"/>
          <w:sz w:val="22"/>
          <w:szCs w:val="22"/>
        </w:rPr>
        <w:t>).</w:t>
      </w:r>
    </w:p>
    <w:p w:rsidR="000E69DA" w:rsidRPr="007F0E49" w:rsidRDefault="000E69DA" w:rsidP="000E69DA">
      <w:pPr>
        <w:jc w:val="both"/>
        <w:rPr>
          <w:rFonts w:ascii="Arial" w:hAnsi="Arial" w:cs="Arial"/>
          <w:sz w:val="22"/>
          <w:szCs w:val="22"/>
        </w:rPr>
      </w:pPr>
    </w:p>
    <w:p w:rsidR="003A42B4" w:rsidRPr="007F0E49" w:rsidRDefault="003A42B4" w:rsidP="003A42B4">
      <w:pPr>
        <w:tabs>
          <w:tab w:val="left" w:pos="284"/>
          <w:tab w:val="left" w:pos="567"/>
          <w:tab w:val="left" w:pos="851"/>
        </w:tabs>
        <w:jc w:val="both"/>
        <w:rPr>
          <w:rFonts w:ascii="Arial" w:hAnsi="Arial" w:cs="Arial"/>
          <w:b/>
          <w:sz w:val="22"/>
          <w:szCs w:val="22"/>
        </w:rPr>
      </w:pPr>
    </w:p>
    <w:p w:rsidR="000E69DA" w:rsidRPr="007F0E49" w:rsidRDefault="000E69DA" w:rsidP="003A42B4">
      <w:pPr>
        <w:tabs>
          <w:tab w:val="left" w:pos="284"/>
          <w:tab w:val="left" w:pos="567"/>
          <w:tab w:val="left" w:pos="851"/>
        </w:tabs>
        <w:jc w:val="both"/>
        <w:rPr>
          <w:rFonts w:ascii="Arial" w:hAnsi="Arial" w:cs="Arial"/>
          <w:b/>
          <w:sz w:val="22"/>
          <w:szCs w:val="22"/>
        </w:rPr>
      </w:pPr>
      <w:r w:rsidRPr="007F0E49">
        <w:rPr>
          <w:rFonts w:ascii="Arial" w:hAnsi="Arial" w:cs="Arial"/>
          <w:b/>
          <w:sz w:val="22"/>
          <w:szCs w:val="22"/>
        </w:rPr>
        <w:t>Bilješka broj 1</w:t>
      </w:r>
      <w:r w:rsidR="00B02DC9" w:rsidRPr="007F0E49">
        <w:rPr>
          <w:rFonts w:ascii="Arial" w:hAnsi="Arial" w:cs="Arial"/>
          <w:b/>
          <w:sz w:val="22"/>
          <w:szCs w:val="22"/>
        </w:rPr>
        <w:t>4</w:t>
      </w:r>
      <w:r w:rsidR="00EC0558" w:rsidRPr="007F0E49">
        <w:rPr>
          <w:rFonts w:ascii="Arial" w:hAnsi="Arial" w:cs="Arial"/>
          <w:b/>
          <w:sz w:val="22"/>
          <w:szCs w:val="22"/>
        </w:rPr>
        <w:t xml:space="preserve"> – </w:t>
      </w:r>
      <w:r w:rsidR="00C14104" w:rsidRPr="007F0E49">
        <w:rPr>
          <w:rFonts w:ascii="Arial" w:hAnsi="Arial" w:cs="Arial"/>
          <w:b/>
          <w:sz w:val="22"/>
          <w:szCs w:val="22"/>
        </w:rPr>
        <w:t>7</w:t>
      </w:r>
      <w:r w:rsidRPr="007F0E49">
        <w:rPr>
          <w:rFonts w:ascii="Arial" w:hAnsi="Arial" w:cs="Arial"/>
          <w:b/>
          <w:sz w:val="22"/>
          <w:szCs w:val="22"/>
        </w:rPr>
        <w:t xml:space="preserve">  PRIHODI OD PRODAJE NEFINANCIJSKE IMOVINE</w:t>
      </w:r>
    </w:p>
    <w:p w:rsidR="000E69DA" w:rsidRPr="007F0E49" w:rsidRDefault="000E69DA" w:rsidP="000E69DA">
      <w:pPr>
        <w:jc w:val="both"/>
        <w:rPr>
          <w:rFonts w:ascii="Arial" w:hAnsi="Arial" w:cs="Arial"/>
          <w:sz w:val="22"/>
          <w:szCs w:val="22"/>
        </w:rPr>
      </w:pPr>
    </w:p>
    <w:p w:rsidR="000E69DA" w:rsidRPr="007F0E49" w:rsidRDefault="000E69DA" w:rsidP="000E69DA">
      <w:pPr>
        <w:jc w:val="both"/>
        <w:rPr>
          <w:rFonts w:ascii="Arial" w:hAnsi="Arial" w:cs="Arial"/>
          <w:sz w:val="22"/>
          <w:szCs w:val="22"/>
        </w:rPr>
      </w:pPr>
      <w:r w:rsidRPr="007F0E49">
        <w:rPr>
          <w:rFonts w:ascii="Arial" w:hAnsi="Arial" w:cs="Arial"/>
          <w:b/>
          <w:sz w:val="22"/>
          <w:szCs w:val="22"/>
        </w:rPr>
        <w:t>Prihodi od prodaj</w:t>
      </w:r>
      <w:r w:rsidR="00BA28AD" w:rsidRPr="007F0E49">
        <w:rPr>
          <w:rFonts w:ascii="Arial" w:hAnsi="Arial" w:cs="Arial"/>
          <w:b/>
          <w:sz w:val="22"/>
          <w:szCs w:val="22"/>
        </w:rPr>
        <w:t>e nefinancijske imovine (</w:t>
      </w:r>
      <w:r w:rsidR="00624B85" w:rsidRPr="007F0E49">
        <w:rPr>
          <w:rFonts w:ascii="Arial" w:hAnsi="Arial" w:cs="Arial"/>
          <w:b/>
          <w:sz w:val="22"/>
          <w:szCs w:val="22"/>
        </w:rPr>
        <w:t>7</w:t>
      </w:r>
      <w:r w:rsidRPr="007F0E49">
        <w:rPr>
          <w:rFonts w:ascii="Arial" w:hAnsi="Arial" w:cs="Arial"/>
          <w:b/>
          <w:sz w:val="22"/>
          <w:szCs w:val="22"/>
        </w:rPr>
        <w:t>)</w:t>
      </w:r>
      <w:r w:rsidRPr="007F0E49">
        <w:rPr>
          <w:rFonts w:ascii="Arial" w:hAnsi="Arial" w:cs="Arial"/>
          <w:sz w:val="22"/>
          <w:szCs w:val="22"/>
        </w:rPr>
        <w:t xml:space="preserve"> ostvareni su u iznosu </w:t>
      </w:r>
      <w:r w:rsidR="00624B85" w:rsidRPr="007F0E49">
        <w:rPr>
          <w:rFonts w:ascii="Arial" w:hAnsi="Arial" w:cs="Arial"/>
          <w:sz w:val="22"/>
          <w:szCs w:val="22"/>
        </w:rPr>
        <w:t>55.254.062,30</w:t>
      </w:r>
      <w:r w:rsidRPr="007F0E49">
        <w:rPr>
          <w:rFonts w:ascii="Arial" w:hAnsi="Arial" w:cs="Arial"/>
          <w:sz w:val="22"/>
          <w:szCs w:val="22"/>
        </w:rPr>
        <w:t xml:space="preserve"> kn što u odnosu na prethod</w:t>
      </w:r>
      <w:r w:rsidR="00C72072" w:rsidRPr="007F0E49">
        <w:rPr>
          <w:rFonts w:ascii="Arial" w:hAnsi="Arial" w:cs="Arial"/>
          <w:sz w:val="22"/>
          <w:szCs w:val="22"/>
        </w:rPr>
        <w:t xml:space="preserve">nu godinu, čini </w:t>
      </w:r>
      <w:r w:rsidR="00AE4C2C" w:rsidRPr="007F0E49">
        <w:rPr>
          <w:rFonts w:ascii="Arial" w:hAnsi="Arial" w:cs="Arial"/>
          <w:sz w:val="22"/>
          <w:szCs w:val="22"/>
        </w:rPr>
        <w:t>povećanje</w:t>
      </w:r>
      <w:r w:rsidRPr="007F0E49">
        <w:rPr>
          <w:rFonts w:ascii="Arial" w:hAnsi="Arial" w:cs="Arial"/>
          <w:sz w:val="22"/>
          <w:szCs w:val="22"/>
        </w:rPr>
        <w:t xml:space="preserve"> za </w:t>
      </w:r>
      <w:r w:rsidR="00C14104" w:rsidRPr="007F0E49">
        <w:rPr>
          <w:rFonts w:ascii="Arial" w:hAnsi="Arial" w:cs="Arial"/>
          <w:sz w:val="22"/>
          <w:szCs w:val="22"/>
        </w:rPr>
        <w:t>23.367.077,30</w:t>
      </w:r>
      <w:r w:rsidR="00BA28AD" w:rsidRPr="007F0E49">
        <w:rPr>
          <w:rFonts w:ascii="Arial" w:hAnsi="Arial" w:cs="Arial"/>
          <w:sz w:val="22"/>
          <w:szCs w:val="22"/>
        </w:rPr>
        <w:t xml:space="preserve"> kn ili </w:t>
      </w:r>
      <w:r w:rsidR="00624B85" w:rsidRPr="007F0E49">
        <w:rPr>
          <w:rFonts w:ascii="Arial" w:hAnsi="Arial" w:cs="Arial"/>
          <w:sz w:val="22"/>
          <w:szCs w:val="22"/>
        </w:rPr>
        <w:t>73,3</w:t>
      </w:r>
      <w:r w:rsidRPr="007F0E49">
        <w:rPr>
          <w:rFonts w:ascii="Arial" w:hAnsi="Arial" w:cs="Arial"/>
          <w:sz w:val="22"/>
          <w:szCs w:val="22"/>
        </w:rPr>
        <w:t>%. Ovi prihodi odnose se na ostvarene prihode od prodaje zemljišta, prihode od osnivanja prava građenja te od prodaje stanova i poslovnih prostora.</w:t>
      </w:r>
    </w:p>
    <w:p w:rsidR="000E69DA" w:rsidRPr="007F0E49" w:rsidRDefault="000E69DA" w:rsidP="000E69DA">
      <w:pPr>
        <w:jc w:val="both"/>
        <w:rPr>
          <w:rFonts w:ascii="Arial" w:hAnsi="Arial" w:cs="Arial"/>
          <w:sz w:val="22"/>
          <w:szCs w:val="22"/>
        </w:rPr>
      </w:pPr>
    </w:p>
    <w:p w:rsidR="001B1A36" w:rsidRPr="007F0E49" w:rsidRDefault="000E69DA" w:rsidP="000E69DA">
      <w:pPr>
        <w:jc w:val="both"/>
        <w:rPr>
          <w:rFonts w:ascii="Arial" w:hAnsi="Arial" w:cs="Arial"/>
          <w:sz w:val="22"/>
          <w:szCs w:val="22"/>
        </w:rPr>
      </w:pPr>
      <w:r w:rsidRPr="007F0E49">
        <w:rPr>
          <w:rFonts w:ascii="Arial" w:hAnsi="Arial" w:cs="Arial"/>
          <w:i/>
          <w:sz w:val="22"/>
          <w:szCs w:val="22"/>
          <w:u w:val="single"/>
        </w:rPr>
        <w:t>Prihodi od prodaj</w:t>
      </w:r>
      <w:r w:rsidR="00BA28AD" w:rsidRPr="007F0E49">
        <w:rPr>
          <w:rFonts w:ascii="Arial" w:hAnsi="Arial" w:cs="Arial"/>
          <w:i/>
          <w:sz w:val="22"/>
          <w:szCs w:val="22"/>
          <w:u w:val="single"/>
        </w:rPr>
        <w:t>e neproizvedene imovine (</w:t>
      </w:r>
      <w:r w:rsidR="00C14104" w:rsidRPr="007F0E49">
        <w:rPr>
          <w:rFonts w:ascii="Arial" w:hAnsi="Arial" w:cs="Arial"/>
          <w:i/>
          <w:sz w:val="22"/>
          <w:szCs w:val="22"/>
          <w:u w:val="single"/>
        </w:rPr>
        <w:t>71</w:t>
      </w:r>
      <w:r w:rsidRPr="007F0E49">
        <w:rPr>
          <w:rFonts w:ascii="Arial" w:hAnsi="Arial" w:cs="Arial"/>
          <w:i/>
          <w:sz w:val="22"/>
          <w:szCs w:val="22"/>
          <w:u w:val="single"/>
        </w:rPr>
        <w:t>)</w:t>
      </w:r>
      <w:r w:rsidRPr="007F0E49">
        <w:rPr>
          <w:rFonts w:ascii="Arial" w:hAnsi="Arial" w:cs="Arial"/>
          <w:sz w:val="22"/>
          <w:szCs w:val="22"/>
        </w:rPr>
        <w:t xml:space="preserve"> ostvareni su u iznosu </w:t>
      </w:r>
      <w:r w:rsidR="00C14104" w:rsidRPr="007F0E49">
        <w:rPr>
          <w:rFonts w:ascii="Arial" w:hAnsi="Arial" w:cs="Arial"/>
          <w:sz w:val="22"/>
          <w:szCs w:val="22"/>
        </w:rPr>
        <w:t>42.497.478,37</w:t>
      </w:r>
      <w:r w:rsidR="00BA28AD" w:rsidRPr="007F0E49">
        <w:rPr>
          <w:rFonts w:ascii="Arial" w:hAnsi="Arial" w:cs="Arial"/>
          <w:sz w:val="22"/>
          <w:szCs w:val="22"/>
        </w:rPr>
        <w:t xml:space="preserve"> kn i veći </w:t>
      </w:r>
      <w:r w:rsidR="00983753" w:rsidRPr="007F0E49">
        <w:rPr>
          <w:rFonts w:ascii="Arial" w:hAnsi="Arial" w:cs="Arial"/>
          <w:sz w:val="22"/>
          <w:szCs w:val="22"/>
        </w:rPr>
        <w:t xml:space="preserve">su </w:t>
      </w:r>
      <w:r w:rsidR="00C14104" w:rsidRPr="007F0E49">
        <w:rPr>
          <w:rFonts w:ascii="Arial" w:hAnsi="Arial" w:cs="Arial"/>
          <w:sz w:val="22"/>
          <w:szCs w:val="22"/>
        </w:rPr>
        <w:t>221,9</w:t>
      </w:r>
      <w:r w:rsidRPr="007F0E49">
        <w:rPr>
          <w:rFonts w:ascii="Arial" w:hAnsi="Arial" w:cs="Arial"/>
          <w:sz w:val="22"/>
          <w:szCs w:val="22"/>
        </w:rPr>
        <w:t xml:space="preserve">% u odnosu na prethodnu godinu. Najznačajniji prihod u ovoj podskupini je prihod od prodaje zemljišta koji je ostvaren u iznosu od </w:t>
      </w:r>
      <w:r w:rsidR="00C14104" w:rsidRPr="007F0E49">
        <w:rPr>
          <w:rFonts w:ascii="Arial" w:hAnsi="Arial" w:cs="Arial"/>
          <w:sz w:val="22"/>
          <w:szCs w:val="22"/>
        </w:rPr>
        <w:t>42.243.151,21</w:t>
      </w:r>
      <w:r w:rsidRPr="007F0E49">
        <w:rPr>
          <w:rFonts w:ascii="Arial" w:hAnsi="Arial" w:cs="Arial"/>
          <w:sz w:val="22"/>
          <w:szCs w:val="22"/>
        </w:rPr>
        <w:t xml:space="preserve"> kn</w:t>
      </w:r>
      <w:r w:rsidR="001B1A36" w:rsidRPr="007F0E49">
        <w:rPr>
          <w:rFonts w:ascii="Arial" w:hAnsi="Arial" w:cs="Arial"/>
          <w:sz w:val="22"/>
          <w:szCs w:val="22"/>
        </w:rPr>
        <w:t>.</w:t>
      </w:r>
    </w:p>
    <w:p w:rsidR="00415546" w:rsidRPr="007F0E49" w:rsidRDefault="00415546" w:rsidP="00415546">
      <w:pPr>
        <w:jc w:val="both"/>
        <w:rPr>
          <w:rFonts w:ascii="Arial" w:hAnsi="Arial" w:cs="Arial"/>
          <w:sz w:val="22"/>
          <w:szCs w:val="22"/>
        </w:rPr>
      </w:pPr>
    </w:p>
    <w:p w:rsidR="00293B54" w:rsidRPr="007F0E49" w:rsidRDefault="00415546" w:rsidP="000E69DA">
      <w:pPr>
        <w:jc w:val="both"/>
        <w:rPr>
          <w:rFonts w:ascii="Arial" w:hAnsi="Arial" w:cs="Arial"/>
          <w:b/>
          <w:sz w:val="22"/>
          <w:szCs w:val="22"/>
        </w:rPr>
      </w:pPr>
      <w:r w:rsidRPr="007F0E49">
        <w:rPr>
          <w:rFonts w:ascii="Arial" w:hAnsi="Arial" w:cs="Arial"/>
          <w:sz w:val="22"/>
          <w:szCs w:val="22"/>
        </w:rPr>
        <w:t xml:space="preserve">Na značajno ostvarenje ovih prihoda utjecala je prodaja nekretnina za izgradnju višenamjenske građevine „Kompleks Žabica“, temeljem Odluke Gradskog vijeća Grada Rijeke od 21. srpnja 2022. (Službene novine Grada Rijeke, broj 10/22). Temeljem </w:t>
      </w:r>
      <w:r w:rsidR="00055FCC" w:rsidRPr="007F0E49">
        <w:rPr>
          <w:rFonts w:ascii="Arial" w:hAnsi="Arial" w:cs="Arial"/>
          <w:sz w:val="22"/>
          <w:szCs w:val="22"/>
        </w:rPr>
        <w:t xml:space="preserve">predmetnog </w:t>
      </w:r>
      <w:r w:rsidR="002D4F13" w:rsidRPr="007F0E49">
        <w:rPr>
          <w:rFonts w:ascii="Arial" w:hAnsi="Arial" w:cs="Arial"/>
          <w:sz w:val="22"/>
          <w:szCs w:val="22"/>
        </w:rPr>
        <w:t>Ugovor</w:t>
      </w:r>
      <w:r w:rsidRPr="007F0E49">
        <w:rPr>
          <w:rFonts w:ascii="Arial" w:hAnsi="Arial" w:cs="Arial"/>
          <w:sz w:val="22"/>
          <w:szCs w:val="22"/>
        </w:rPr>
        <w:t>a</w:t>
      </w:r>
      <w:r w:rsidR="002D4F13" w:rsidRPr="007F0E49">
        <w:rPr>
          <w:rFonts w:ascii="Arial" w:hAnsi="Arial" w:cs="Arial"/>
          <w:sz w:val="22"/>
          <w:szCs w:val="22"/>
        </w:rPr>
        <w:t xml:space="preserve"> o kupoprodaji </w:t>
      </w:r>
      <w:r w:rsidR="00293B54" w:rsidRPr="007F0E49">
        <w:rPr>
          <w:rFonts w:ascii="Arial" w:hAnsi="Arial" w:cs="Arial"/>
          <w:sz w:val="22"/>
          <w:szCs w:val="22"/>
        </w:rPr>
        <w:t>nekretnine</w:t>
      </w:r>
      <w:r w:rsidRPr="007F0E49">
        <w:rPr>
          <w:rFonts w:ascii="Arial" w:hAnsi="Arial" w:cs="Arial"/>
          <w:sz w:val="22"/>
          <w:szCs w:val="22"/>
        </w:rPr>
        <w:t xml:space="preserve"> </w:t>
      </w:r>
      <w:r w:rsidR="00E37E5A" w:rsidRPr="007F0E49">
        <w:rPr>
          <w:rFonts w:ascii="Arial" w:hAnsi="Arial" w:cs="Arial"/>
          <w:sz w:val="22"/>
          <w:szCs w:val="22"/>
        </w:rPr>
        <w:t xml:space="preserve">Gradu </w:t>
      </w:r>
      <w:r w:rsidRPr="007F0E49">
        <w:rPr>
          <w:rFonts w:ascii="Arial" w:hAnsi="Arial" w:cs="Arial"/>
          <w:sz w:val="22"/>
          <w:szCs w:val="22"/>
        </w:rPr>
        <w:t>je</w:t>
      </w:r>
      <w:r w:rsidR="00E37E5A" w:rsidRPr="007F0E49">
        <w:rPr>
          <w:rFonts w:ascii="Arial" w:hAnsi="Arial" w:cs="Arial"/>
          <w:sz w:val="22"/>
          <w:szCs w:val="22"/>
        </w:rPr>
        <w:t xml:space="preserve"> </w:t>
      </w:r>
      <w:r w:rsidRPr="007F0E49">
        <w:rPr>
          <w:rFonts w:ascii="Arial" w:hAnsi="Arial" w:cs="Arial"/>
          <w:sz w:val="22"/>
          <w:szCs w:val="22"/>
        </w:rPr>
        <w:t>u izvještajnoj godini u</w:t>
      </w:r>
      <w:r w:rsidR="00E37E5A" w:rsidRPr="007F0E49">
        <w:rPr>
          <w:rFonts w:ascii="Arial" w:hAnsi="Arial" w:cs="Arial"/>
          <w:sz w:val="22"/>
          <w:szCs w:val="22"/>
        </w:rPr>
        <w:t>plaćen iznos</w:t>
      </w:r>
      <w:r w:rsidRPr="007F0E49">
        <w:rPr>
          <w:rFonts w:ascii="Arial" w:hAnsi="Arial" w:cs="Arial"/>
          <w:sz w:val="22"/>
          <w:szCs w:val="22"/>
        </w:rPr>
        <w:t xml:space="preserve"> od</w:t>
      </w:r>
      <w:r w:rsidR="00293B54" w:rsidRPr="007F0E49">
        <w:rPr>
          <w:rFonts w:ascii="Arial" w:hAnsi="Arial" w:cs="Arial"/>
          <w:sz w:val="22"/>
          <w:szCs w:val="22"/>
        </w:rPr>
        <w:t xml:space="preserve"> </w:t>
      </w:r>
      <w:r w:rsidR="00800540" w:rsidRPr="007F0E49">
        <w:rPr>
          <w:rFonts w:ascii="Arial" w:hAnsi="Arial" w:cs="Arial"/>
          <w:sz w:val="22"/>
          <w:szCs w:val="22"/>
        </w:rPr>
        <w:t>32.189.535,00</w:t>
      </w:r>
      <w:r w:rsidR="00D22EFE" w:rsidRPr="007F0E49">
        <w:rPr>
          <w:rFonts w:ascii="Arial" w:hAnsi="Arial" w:cs="Arial"/>
          <w:sz w:val="22"/>
          <w:szCs w:val="22"/>
        </w:rPr>
        <w:t xml:space="preserve"> kn</w:t>
      </w:r>
      <w:r w:rsidR="00293B54" w:rsidRPr="007F0E49">
        <w:rPr>
          <w:rFonts w:ascii="Arial" w:hAnsi="Arial" w:cs="Arial"/>
          <w:sz w:val="22"/>
          <w:szCs w:val="22"/>
        </w:rPr>
        <w:t xml:space="preserve">. </w:t>
      </w:r>
    </w:p>
    <w:p w:rsidR="00435AFD" w:rsidRPr="007F0E49" w:rsidRDefault="00435AFD" w:rsidP="000E69DA">
      <w:pPr>
        <w:jc w:val="both"/>
        <w:rPr>
          <w:rFonts w:ascii="Arial" w:hAnsi="Arial" w:cs="Arial"/>
          <w:color w:val="FF0000"/>
          <w:sz w:val="22"/>
          <w:szCs w:val="22"/>
        </w:rPr>
      </w:pPr>
    </w:p>
    <w:p w:rsidR="00D22EFE" w:rsidRPr="007F0E49" w:rsidRDefault="00D22EFE" w:rsidP="00D93521">
      <w:pPr>
        <w:jc w:val="both"/>
        <w:rPr>
          <w:rFonts w:ascii="Arial" w:hAnsi="Arial" w:cs="Arial"/>
          <w:i/>
          <w:sz w:val="22"/>
          <w:szCs w:val="22"/>
          <w:u w:val="single"/>
        </w:rPr>
      </w:pPr>
    </w:p>
    <w:p w:rsidR="00C14104" w:rsidRPr="007F0E49" w:rsidRDefault="000E69DA" w:rsidP="00D93521">
      <w:pPr>
        <w:jc w:val="both"/>
        <w:rPr>
          <w:rFonts w:ascii="Arial" w:hAnsi="Arial" w:cs="Arial"/>
          <w:sz w:val="22"/>
          <w:szCs w:val="22"/>
        </w:rPr>
      </w:pPr>
      <w:r w:rsidRPr="007F0E49">
        <w:rPr>
          <w:rFonts w:ascii="Arial" w:hAnsi="Arial" w:cs="Arial"/>
          <w:i/>
          <w:sz w:val="22"/>
          <w:szCs w:val="22"/>
          <w:u w:val="single"/>
        </w:rPr>
        <w:t xml:space="preserve">Prihodi od prodaje proizvedene </w:t>
      </w:r>
      <w:r w:rsidR="001C0CD4" w:rsidRPr="007F0E49">
        <w:rPr>
          <w:rFonts w:ascii="Arial" w:hAnsi="Arial" w:cs="Arial"/>
          <w:i/>
          <w:sz w:val="22"/>
          <w:szCs w:val="22"/>
          <w:u w:val="single"/>
        </w:rPr>
        <w:t>dugotrajne imovine (</w:t>
      </w:r>
      <w:r w:rsidR="00C14104" w:rsidRPr="007F0E49">
        <w:rPr>
          <w:rFonts w:ascii="Arial" w:hAnsi="Arial" w:cs="Arial"/>
          <w:i/>
          <w:sz w:val="22"/>
          <w:szCs w:val="22"/>
          <w:u w:val="single"/>
        </w:rPr>
        <w:t>72</w:t>
      </w:r>
      <w:r w:rsidRPr="007F0E49">
        <w:rPr>
          <w:rFonts w:ascii="Arial" w:hAnsi="Arial" w:cs="Arial"/>
          <w:i/>
          <w:sz w:val="22"/>
          <w:szCs w:val="22"/>
          <w:u w:val="single"/>
        </w:rPr>
        <w:t>)</w:t>
      </w:r>
      <w:r w:rsidRPr="007F0E49">
        <w:rPr>
          <w:rFonts w:ascii="Arial" w:hAnsi="Arial" w:cs="Arial"/>
          <w:sz w:val="22"/>
          <w:szCs w:val="22"/>
        </w:rPr>
        <w:t xml:space="preserve"> ostvareni su u iznosu </w:t>
      </w:r>
      <w:r w:rsidR="00C14104" w:rsidRPr="007F0E49">
        <w:rPr>
          <w:rFonts w:ascii="Arial" w:hAnsi="Arial" w:cs="Arial"/>
          <w:sz w:val="22"/>
          <w:szCs w:val="22"/>
        </w:rPr>
        <w:t>12.756.583,93</w:t>
      </w:r>
      <w:r w:rsidRPr="007F0E49">
        <w:rPr>
          <w:rFonts w:ascii="Arial" w:hAnsi="Arial" w:cs="Arial"/>
          <w:sz w:val="22"/>
          <w:szCs w:val="22"/>
        </w:rPr>
        <w:t xml:space="preserve"> kn što u odnosu na ostvarenje prošle godine čini </w:t>
      </w:r>
      <w:r w:rsidR="00C14104" w:rsidRPr="007F0E49">
        <w:rPr>
          <w:rFonts w:ascii="Arial" w:hAnsi="Arial" w:cs="Arial"/>
          <w:sz w:val="22"/>
          <w:szCs w:val="22"/>
        </w:rPr>
        <w:t>smanjenje</w:t>
      </w:r>
      <w:r w:rsidR="00B02DC9" w:rsidRPr="007F0E49">
        <w:rPr>
          <w:rFonts w:ascii="Arial" w:hAnsi="Arial" w:cs="Arial"/>
          <w:sz w:val="22"/>
          <w:szCs w:val="22"/>
        </w:rPr>
        <w:t xml:space="preserve"> </w:t>
      </w:r>
      <w:r w:rsidRPr="007F0E49">
        <w:rPr>
          <w:rFonts w:ascii="Arial" w:hAnsi="Arial" w:cs="Arial"/>
          <w:sz w:val="22"/>
          <w:szCs w:val="22"/>
        </w:rPr>
        <w:t xml:space="preserve">od </w:t>
      </w:r>
      <w:r w:rsidR="00C14104" w:rsidRPr="007F0E49">
        <w:rPr>
          <w:rFonts w:ascii="Arial" w:hAnsi="Arial" w:cs="Arial"/>
          <w:sz w:val="22"/>
          <w:szCs w:val="22"/>
        </w:rPr>
        <w:t>5.926.521,07</w:t>
      </w:r>
      <w:r w:rsidR="00BA28AD" w:rsidRPr="007F0E49">
        <w:rPr>
          <w:rFonts w:ascii="Arial" w:hAnsi="Arial" w:cs="Arial"/>
          <w:sz w:val="22"/>
          <w:szCs w:val="22"/>
        </w:rPr>
        <w:t xml:space="preserve"> kn ili </w:t>
      </w:r>
      <w:r w:rsidR="00C14104" w:rsidRPr="007F0E49">
        <w:rPr>
          <w:rFonts w:ascii="Arial" w:hAnsi="Arial" w:cs="Arial"/>
          <w:sz w:val="22"/>
          <w:szCs w:val="22"/>
        </w:rPr>
        <w:t>31,7</w:t>
      </w:r>
      <w:r w:rsidR="00AE4C2C" w:rsidRPr="007F0E49">
        <w:rPr>
          <w:rFonts w:ascii="Arial" w:hAnsi="Arial" w:cs="Arial"/>
          <w:sz w:val="22"/>
          <w:szCs w:val="22"/>
        </w:rPr>
        <w:t>%.</w:t>
      </w:r>
      <w:r w:rsidR="00BA28AD" w:rsidRPr="007F0E49">
        <w:rPr>
          <w:rFonts w:ascii="Arial" w:hAnsi="Arial" w:cs="Arial"/>
          <w:sz w:val="22"/>
          <w:szCs w:val="22"/>
        </w:rPr>
        <w:t xml:space="preserve"> S</w:t>
      </w:r>
      <w:r w:rsidR="00ED6501" w:rsidRPr="007F0E49">
        <w:rPr>
          <w:rFonts w:ascii="Arial" w:hAnsi="Arial" w:cs="Arial"/>
          <w:sz w:val="22"/>
          <w:szCs w:val="22"/>
        </w:rPr>
        <w:t xml:space="preserve">manjenje se bilježi kod prihoda od prodaje </w:t>
      </w:r>
      <w:r w:rsidR="00BA28AD" w:rsidRPr="007F0E49">
        <w:rPr>
          <w:rFonts w:ascii="Arial" w:hAnsi="Arial" w:cs="Arial"/>
          <w:sz w:val="22"/>
          <w:szCs w:val="22"/>
        </w:rPr>
        <w:t>stambenih</w:t>
      </w:r>
      <w:r w:rsidR="00C14104" w:rsidRPr="007F0E49">
        <w:rPr>
          <w:rFonts w:ascii="Arial" w:hAnsi="Arial" w:cs="Arial"/>
          <w:sz w:val="22"/>
          <w:szCs w:val="22"/>
        </w:rPr>
        <w:t xml:space="preserve"> i poslovnih</w:t>
      </w:r>
      <w:r w:rsidR="00BA28AD" w:rsidRPr="007F0E49">
        <w:rPr>
          <w:rFonts w:ascii="Arial" w:hAnsi="Arial" w:cs="Arial"/>
          <w:sz w:val="22"/>
          <w:szCs w:val="22"/>
        </w:rPr>
        <w:t xml:space="preserve"> objekata</w:t>
      </w:r>
      <w:r w:rsidR="00AC7D96" w:rsidRPr="007F0E49">
        <w:rPr>
          <w:rFonts w:ascii="Arial" w:hAnsi="Arial" w:cs="Arial"/>
          <w:sz w:val="22"/>
          <w:szCs w:val="22"/>
        </w:rPr>
        <w:t>.</w:t>
      </w:r>
      <w:r w:rsidR="00067375" w:rsidRPr="007F0E49">
        <w:rPr>
          <w:rFonts w:ascii="Arial" w:hAnsi="Arial" w:cs="Arial"/>
          <w:sz w:val="22"/>
          <w:szCs w:val="22"/>
        </w:rPr>
        <w:t xml:space="preserve"> </w:t>
      </w:r>
    </w:p>
    <w:p w:rsidR="002677ED" w:rsidRPr="007F0E49" w:rsidRDefault="002677ED" w:rsidP="00D93521">
      <w:pPr>
        <w:jc w:val="both"/>
        <w:rPr>
          <w:rFonts w:ascii="Arial" w:hAnsi="Arial" w:cs="Arial"/>
          <w:sz w:val="22"/>
          <w:szCs w:val="22"/>
        </w:rPr>
      </w:pPr>
    </w:p>
    <w:p w:rsidR="000E69DA" w:rsidRPr="007F0E49" w:rsidRDefault="009F3513" w:rsidP="00D93521">
      <w:pPr>
        <w:jc w:val="both"/>
        <w:rPr>
          <w:rFonts w:ascii="Arial" w:hAnsi="Arial" w:cs="Arial"/>
          <w:sz w:val="22"/>
          <w:szCs w:val="22"/>
        </w:rPr>
      </w:pPr>
      <w:r w:rsidRPr="007F0E49">
        <w:rPr>
          <w:rFonts w:ascii="Arial" w:hAnsi="Arial" w:cs="Arial"/>
          <w:sz w:val="22"/>
          <w:szCs w:val="22"/>
        </w:rPr>
        <w:t xml:space="preserve"> </w:t>
      </w:r>
    </w:p>
    <w:p w:rsidR="000E69DA" w:rsidRPr="007F0E49" w:rsidRDefault="000E69DA" w:rsidP="000E69DA">
      <w:pPr>
        <w:tabs>
          <w:tab w:val="left" w:pos="284"/>
          <w:tab w:val="left" w:pos="567"/>
          <w:tab w:val="left" w:pos="851"/>
        </w:tabs>
        <w:ind w:left="1440" w:hanging="1440"/>
        <w:jc w:val="both"/>
        <w:rPr>
          <w:rFonts w:ascii="Arial" w:hAnsi="Arial" w:cs="Arial"/>
          <w:b/>
          <w:sz w:val="22"/>
          <w:szCs w:val="22"/>
        </w:rPr>
      </w:pPr>
      <w:r w:rsidRPr="007F0E49">
        <w:rPr>
          <w:rFonts w:ascii="Arial" w:hAnsi="Arial" w:cs="Arial"/>
          <w:b/>
          <w:sz w:val="22"/>
          <w:szCs w:val="22"/>
        </w:rPr>
        <w:t>Bilješka broj 1</w:t>
      </w:r>
      <w:r w:rsidR="002D41E3" w:rsidRPr="007F0E49">
        <w:rPr>
          <w:rFonts w:ascii="Arial" w:hAnsi="Arial" w:cs="Arial"/>
          <w:b/>
          <w:sz w:val="22"/>
          <w:szCs w:val="22"/>
        </w:rPr>
        <w:t>5</w:t>
      </w:r>
      <w:r w:rsidR="00810C6D" w:rsidRPr="007F0E49">
        <w:rPr>
          <w:rFonts w:ascii="Arial" w:hAnsi="Arial" w:cs="Arial"/>
          <w:b/>
          <w:sz w:val="22"/>
          <w:szCs w:val="22"/>
        </w:rPr>
        <w:t xml:space="preserve"> – </w:t>
      </w:r>
      <w:r w:rsidR="00C14104" w:rsidRPr="007F0E49">
        <w:rPr>
          <w:rFonts w:ascii="Arial" w:hAnsi="Arial" w:cs="Arial"/>
          <w:b/>
          <w:sz w:val="22"/>
          <w:szCs w:val="22"/>
        </w:rPr>
        <w:t>4</w:t>
      </w:r>
      <w:r w:rsidRPr="007F0E49">
        <w:rPr>
          <w:rFonts w:ascii="Arial" w:hAnsi="Arial" w:cs="Arial"/>
          <w:b/>
          <w:sz w:val="22"/>
          <w:szCs w:val="22"/>
        </w:rPr>
        <w:t xml:space="preserve">  RASHODI ZA NABAVU NEFINANCIJSKE IMOVINE</w:t>
      </w:r>
    </w:p>
    <w:p w:rsidR="000E69DA" w:rsidRPr="007F0E49" w:rsidRDefault="000E69DA" w:rsidP="000E69DA">
      <w:pPr>
        <w:keepNext/>
        <w:jc w:val="both"/>
        <w:outlineLvl w:val="3"/>
        <w:rPr>
          <w:rFonts w:ascii="Arial" w:hAnsi="Arial" w:cs="Arial"/>
          <w:b/>
          <w:sz w:val="22"/>
          <w:szCs w:val="22"/>
        </w:rPr>
      </w:pPr>
    </w:p>
    <w:p w:rsidR="000E69DA" w:rsidRPr="007F0E49" w:rsidRDefault="000E69DA" w:rsidP="000E69DA">
      <w:pPr>
        <w:jc w:val="both"/>
        <w:rPr>
          <w:rFonts w:ascii="Arial" w:hAnsi="Arial" w:cs="Arial"/>
          <w:sz w:val="22"/>
          <w:szCs w:val="22"/>
        </w:rPr>
      </w:pPr>
      <w:r w:rsidRPr="007F0E49">
        <w:rPr>
          <w:rFonts w:ascii="Arial" w:hAnsi="Arial" w:cs="Arial"/>
          <w:b/>
          <w:sz w:val="22"/>
          <w:szCs w:val="22"/>
        </w:rPr>
        <w:t>Rashodi za nabav</w:t>
      </w:r>
      <w:r w:rsidR="00D93521" w:rsidRPr="007F0E49">
        <w:rPr>
          <w:rFonts w:ascii="Arial" w:hAnsi="Arial" w:cs="Arial"/>
          <w:b/>
          <w:sz w:val="22"/>
          <w:szCs w:val="22"/>
        </w:rPr>
        <w:t>u nefinancijske imovine (</w:t>
      </w:r>
      <w:r w:rsidR="00C14104" w:rsidRPr="007F0E49">
        <w:rPr>
          <w:rFonts w:ascii="Arial" w:hAnsi="Arial" w:cs="Arial"/>
          <w:b/>
          <w:sz w:val="22"/>
          <w:szCs w:val="22"/>
        </w:rPr>
        <w:t>4</w:t>
      </w:r>
      <w:r w:rsidRPr="007F0E49">
        <w:rPr>
          <w:rFonts w:ascii="Arial" w:hAnsi="Arial" w:cs="Arial"/>
          <w:b/>
          <w:sz w:val="22"/>
          <w:szCs w:val="22"/>
        </w:rPr>
        <w:t>)</w:t>
      </w:r>
      <w:r w:rsidRPr="007F0E49">
        <w:rPr>
          <w:rFonts w:ascii="Arial" w:hAnsi="Arial" w:cs="Arial"/>
          <w:sz w:val="22"/>
          <w:szCs w:val="22"/>
        </w:rPr>
        <w:t xml:space="preserve"> izvršeni su u iznosu </w:t>
      </w:r>
      <w:r w:rsidR="00C14104" w:rsidRPr="007F0E49">
        <w:rPr>
          <w:rFonts w:ascii="Arial" w:hAnsi="Arial" w:cs="Arial"/>
          <w:sz w:val="22"/>
          <w:szCs w:val="22"/>
        </w:rPr>
        <w:t>90.610.639,96</w:t>
      </w:r>
      <w:r w:rsidRPr="007F0E49">
        <w:rPr>
          <w:rFonts w:ascii="Arial" w:hAnsi="Arial" w:cs="Arial"/>
          <w:sz w:val="22"/>
          <w:szCs w:val="22"/>
        </w:rPr>
        <w:t xml:space="preserve"> kn i u odnosu na ostvarenje u istom razdoblju pretho</w:t>
      </w:r>
      <w:r w:rsidR="00D93521" w:rsidRPr="007F0E49">
        <w:rPr>
          <w:rFonts w:ascii="Arial" w:hAnsi="Arial" w:cs="Arial"/>
          <w:sz w:val="22"/>
          <w:szCs w:val="22"/>
        </w:rPr>
        <w:t>dne godine manji</w:t>
      </w:r>
      <w:r w:rsidR="00BB1D5D" w:rsidRPr="007F0E49">
        <w:rPr>
          <w:rFonts w:ascii="Arial" w:hAnsi="Arial" w:cs="Arial"/>
          <w:sz w:val="22"/>
          <w:szCs w:val="22"/>
        </w:rPr>
        <w:t xml:space="preserve"> su za </w:t>
      </w:r>
      <w:r w:rsidR="00C14104" w:rsidRPr="007F0E49">
        <w:rPr>
          <w:rFonts w:ascii="Arial" w:hAnsi="Arial" w:cs="Arial"/>
          <w:sz w:val="22"/>
          <w:szCs w:val="22"/>
        </w:rPr>
        <w:t>30.838.977,04</w:t>
      </w:r>
      <w:r w:rsidRPr="007F0E49">
        <w:rPr>
          <w:rFonts w:ascii="Arial" w:hAnsi="Arial" w:cs="Arial"/>
          <w:sz w:val="22"/>
          <w:szCs w:val="22"/>
        </w:rPr>
        <w:t xml:space="preserve"> k</w:t>
      </w:r>
      <w:r w:rsidR="00C14104" w:rsidRPr="007F0E49">
        <w:rPr>
          <w:rFonts w:ascii="Arial" w:hAnsi="Arial" w:cs="Arial"/>
          <w:sz w:val="22"/>
          <w:szCs w:val="22"/>
        </w:rPr>
        <w:t>n ili 25,4</w:t>
      </w:r>
      <w:r w:rsidRPr="007F0E49">
        <w:rPr>
          <w:rFonts w:ascii="Arial" w:hAnsi="Arial" w:cs="Arial"/>
          <w:sz w:val="22"/>
          <w:szCs w:val="22"/>
        </w:rPr>
        <w:t>%.</w:t>
      </w:r>
    </w:p>
    <w:p w:rsidR="00E63E2D" w:rsidRPr="007F0E49" w:rsidRDefault="00E63E2D" w:rsidP="000E69DA">
      <w:pPr>
        <w:jc w:val="both"/>
        <w:rPr>
          <w:rFonts w:ascii="Arial" w:hAnsi="Arial" w:cs="Arial"/>
          <w:sz w:val="22"/>
          <w:szCs w:val="22"/>
        </w:rPr>
      </w:pPr>
    </w:p>
    <w:p w:rsidR="000E69DA" w:rsidRPr="007F0E49" w:rsidRDefault="00E63E2D" w:rsidP="000E69DA">
      <w:pPr>
        <w:jc w:val="both"/>
        <w:rPr>
          <w:rFonts w:ascii="Arial" w:hAnsi="Arial" w:cs="Arial"/>
          <w:sz w:val="22"/>
          <w:szCs w:val="22"/>
        </w:rPr>
      </w:pPr>
      <w:r w:rsidRPr="007F0E49">
        <w:rPr>
          <w:rFonts w:ascii="Arial" w:hAnsi="Arial" w:cs="Arial"/>
          <w:i/>
          <w:sz w:val="22"/>
          <w:szCs w:val="22"/>
          <w:u w:val="single"/>
        </w:rPr>
        <w:t xml:space="preserve">Rashodi za nabavu </w:t>
      </w:r>
      <w:r w:rsidR="00810C6D" w:rsidRPr="007F0E49">
        <w:rPr>
          <w:rFonts w:ascii="Arial" w:hAnsi="Arial" w:cs="Arial"/>
          <w:i/>
          <w:sz w:val="22"/>
          <w:szCs w:val="22"/>
          <w:u w:val="single"/>
        </w:rPr>
        <w:t>ne</w:t>
      </w:r>
      <w:r w:rsidRPr="007F0E49">
        <w:rPr>
          <w:rFonts w:ascii="Arial" w:hAnsi="Arial" w:cs="Arial"/>
          <w:i/>
          <w:sz w:val="22"/>
          <w:szCs w:val="22"/>
          <w:u w:val="single"/>
        </w:rPr>
        <w:t>proizvedene dugotrajne imovine (</w:t>
      </w:r>
      <w:r w:rsidR="00C14104" w:rsidRPr="007F0E49">
        <w:rPr>
          <w:rFonts w:ascii="Arial" w:hAnsi="Arial" w:cs="Arial"/>
          <w:i/>
          <w:sz w:val="22"/>
          <w:szCs w:val="22"/>
          <w:u w:val="single"/>
        </w:rPr>
        <w:t>41</w:t>
      </w:r>
      <w:r w:rsidRPr="007F0E49">
        <w:rPr>
          <w:rFonts w:ascii="Arial" w:hAnsi="Arial" w:cs="Arial"/>
          <w:i/>
          <w:sz w:val="22"/>
          <w:szCs w:val="22"/>
          <w:u w:val="single"/>
        </w:rPr>
        <w:t>)</w:t>
      </w:r>
      <w:r w:rsidRPr="007F0E49">
        <w:rPr>
          <w:rFonts w:ascii="Arial" w:hAnsi="Arial" w:cs="Arial"/>
          <w:i/>
          <w:sz w:val="22"/>
          <w:szCs w:val="22"/>
        </w:rPr>
        <w:t xml:space="preserve"> </w:t>
      </w:r>
      <w:r w:rsidR="00C14104" w:rsidRPr="007F0E49">
        <w:rPr>
          <w:rFonts w:ascii="Arial" w:hAnsi="Arial" w:cs="Arial"/>
          <w:sz w:val="22"/>
          <w:szCs w:val="22"/>
        </w:rPr>
        <w:t>bilježe rast</w:t>
      </w:r>
      <w:r w:rsidRPr="007F0E49">
        <w:rPr>
          <w:rFonts w:ascii="Arial" w:hAnsi="Arial" w:cs="Arial"/>
          <w:sz w:val="22"/>
          <w:szCs w:val="22"/>
        </w:rPr>
        <w:t xml:space="preserve"> od </w:t>
      </w:r>
      <w:r w:rsidR="00C14104" w:rsidRPr="007F0E49">
        <w:rPr>
          <w:rFonts w:ascii="Arial" w:hAnsi="Arial" w:cs="Arial"/>
          <w:sz w:val="22"/>
          <w:szCs w:val="22"/>
        </w:rPr>
        <w:t>23,8</w:t>
      </w:r>
      <w:r w:rsidRPr="007F0E49">
        <w:rPr>
          <w:rFonts w:ascii="Arial" w:hAnsi="Arial" w:cs="Arial"/>
          <w:sz w:val="22"/>
          <w:szCs w:val="22"/>
        </w:rPr>
        <w:t>% i to kod sta</w:t>
      </w:r>
      <w:r w:rsidR="00C14104" w:rsidRPr="007F0E49">
        <w:rPr>
          <w:rFonts w:ascii="Arial" w:hAnsi="Arial" w:cs="Arial"/>
          <w:sz w:val="22"/>
          <w:szCs w:val="22"/>
        </w:rPr>
        <w:t>vke rashoda za nabavu zemljišta i kod nabava licenci.</w:t>
      </w:r>
    </w:p>
    <w:p w:rsidR="00E63E2D" w:rsidRPr="007F0E49" w:rsidRDefault="00E63E2D" w:rsidP="000E69DA">
      <w:pPr>
        <w:jc w:val="both"/>
        <w:rPr>
          <w:rFonts w:ascii="Arial" w:hAnsi="Arial" w:cs="Arial"/>
          <w:sz w:val="22"/>
          <w:szCs w:val="22"/>
        </w:rPr>
      </w:pPr>
    </w:p>
    <w:p w:rsidR="00BC5147" w:rsidRPr="007F0E49" w:rsidRDefault="000E69DA" w:rsidP="000E69DA">
      <w:pPr>
        <w:jc w:val="both"/>
        <w:rPr>
          <w:rFonts w:ascii="Arial" w:hAnsi="Arial" w:cs="Arial"/>
          <w:b/>
          <w:sz w:val="22"/>
          <w:szCs w:val="22"/>
        </w:rPr>
      </w:pPr>
      <w:r w:rsidRPr="007F0E49">
        <w:rPr>
          <w:rFonts w:ascii="Arial" w:hAnsi="Arial" w:cs="Arial"/>
          <w:i/>
          <w:sz w:val="22"/>
          <w:szCs w:val="22"/>
          <w:u w:val="single"/>
        </w:rPr>
        <w:t>Rashodi za nabavu proizvedene dugotrajne i</w:t>
      </w:r>
      <w:r w:rsidR="00E63E2D" w:rsidRPr="007F0E49">
        <w:rPr>
          <w:rFonts w:ascii="Arial" w:hAnsi="Arial" w:cs="Arial"/>
          <w:i/>
          <w:sz w:val="22"/>
          <w:szCs w:val="22"/>
          <w:u w:val="single"/>
        </w:rPr>
        <w:t>movine (</w:t>
      </w:r>
      <w:r w:rsidR="00C14104" w:rsidRPr="007F0E49">
        <w:rPr>
          <w:rFonts w:ascii="Arial" w:hAnsi="Arial" w:cs="Arial"/>
          <w:i/>
          <w:sz w:val="22"/>
          <w:szCs w:val="22"/>
          <w:u w:val="single"/>
        </w:rPr>
        <w:t>42</w:t>
      </w:r>
      <w:r w:rsidRPr="007F0E49">
        <w:rPr>
          <w:rFonts w:ascii="Arial" w:hAnsi="Arial" w:cs="Arial"/>
          <w:i/>
          <w:sz w:val="22"/>
          <w:szCs w:val="22"/>
          <w:u w:val="single"/>
        </w:rPr>
        <w:t>)</w:t>
      </w:r>
      <w:r w:rsidRPr="007F0E49">
        <w:rPr>
          <w:rFonts w:ascii="Arial" w:hAnsi="Arial" w:cs="Arial"/>
          <w:b/>
          <w:sz w:val="22"/>
          <w:szCs w:val="22"/>
        </w:rPr>
        <w:t xml:space="preserve"> </w:t>
      </w:r>
    </w:p>
    <w:p w:rsidR="00AD5540" w:rsidRPr="007F0E49" w:rsidRDefault="000E69DA" w:rsidP="000E69DA">
      <w:pPr>
        <w:jc w:val="both"/>
        <w:rPr>
          <w:rFonts w:ascii="Arial" w:hAnsi="Arial" w:cs="Arial"/>
          <w:sz w:val="22"/>
          <w:szCs w:val="22"/>
        </w:rPr>
      </w:pPr>
      <w:r w:rsidRPr="007F0E49">
        <w:rPr>
          <w:rFonts w:ascii="Arial" w:hAnsi="Arial" w:cs="Arial"/>
          <w:sz w:val="22"/>
          <w:szCs w:val="22"/>
        </w:rPr>
        <w:t>Rashodi za n</w:t>
      </w:r>
      <w:r w:rsidR="00C14104" w:rsidRPr="007F0E49">
        <w:rPr>
          <w:rFonts w:ascii="Arial" w:hAnsi="Arial" w:cs="Arial"/>
          <w:sz w:val="22"/>
          <w:szCs w:val="22"/>
        </w:rPr>
        <w:t xml:space="preserve">abavu građevinskih objekata manje </w:t>
      </w:r>
      <w:r w:rsidRPr="007F0E49">
        <w:rPr>
          <w:rFonts w:ascii="Arial" w:hAnsi="Arial" w:cs="Arial"/>
          <w:sz w:val="22"/>
          <w:szCs w:val="22"/>
        </w:rPr>
        <w:t>su ostvareni (</w:t>
      </w:r>
      <w:r w:rsidR="00C14104" w:rsidRPr="007F0E49">
        <w:rPr>
          <w:rFonts w:ascii="Arial" w:hAnsi="Arial" w:cs="Arial"/>
          <w:sz w:val="22"/>
          <w:szCs w:val="22"/>
        </w:rPr>
        <w:t>63,8</w:t>
      </w:r>
      <w:r w:rsidRPr="007F0E49">
        <w:rPr>
          <w:rFonts w:ascii="Arial" w:hAnsi="Arial" w:cs="Arial"/>
          <w:sz w:val="22"/>
          <w:szCs w:val="22"/>
        </w:rPr>
        <w:t xml:space="preserve">%) </w:t>
      </w:r>
      <w:r w:rsidR="00BB1D5D" w:rsidRPr="007F0E49">
        <w:rPr>
          <w:rFonts w:ascii="Arial" w:hAnsi="Arial" w:cs="Arial"/>
          <w:sz w:val="22"/>
          <w:szCs w:val="22"/>
        </w:rPr>
        <w:t xml:space="preserve">u </w:t>
      </w:r>
      <w:r w:rsidR="008F384D" w:rsidRPr="007F0E49">
        <w:rPr>
          <w:rFonts w:ascii="Arial" w:hAnsi="Arial" w:cs="Arial"/>
          <w:sz w:val="22"/>
          <w:szCs w:val="22"/>
        </w:rPr>
        <w:t>tekućoj godini, a</w:t>
      </w:r>
      <w:r w:rsidR="00AD5540" w:rsidRPr="007F0E49">
        <w:rPr>
          <w:rFonts w:ascii="Arial" w:hAnsi="Arial" w:cs="Arial"/>
          <w:sz w:val="22"/>
          <w:szCs w:val="22"/>
        </w:rPr>
        <w:t xml:space="preserve"> smanjenje se bilježi kod stambenih objekata,</w:t>
      </w:r>
      <w:r w:rsidR="008F384D" w:rsidRPr="007F0E49">
        <w:rPr>
          <w:rFonts w:ascii="Arial" w:hAnsi="Arial" w:cs="Arial"/>
          <w:sz w:val="22"/>
          <w:szCs w:val="22"/>
        </w:rPr>
        <w:t xml:space="preserve"> </w:t>
      </w:r>
      <w:r w:rsidR="00AD5540" w:rsidRPr="007F0E49">
        <w:rPr>
          <w:rFonts w:ascii="Arial" w:hAnsi="Arial" w:cs="Arial"/>
          <w:sz w:val="22"/>
          <w:szCs w:val="22"/>
        </w:rPr>
        <w:t>cesta, željeznice i ostalih prometnih objekata i ostalih</w:t>
      </w:r>
      <w:r w:rsidR="00313479" w:rsidRPr="007F0E49">
        <w:rPr>
          <w:rFonts w:ascii="Arial" w:hAnsi="Arial" w:cs="Arial"/>
          <w:sz w:val="22"/>
          <w:szCs w:val="22"/>
        </w:rPr>
        <w:t xml:space="preserve"> g</w:t>
      </w:r>
      <w:r w:rsidR="00AD5540" w:rsidRPr="007F0E49">
        <w:rPr>
          <w:rFonts w:ascii="Arial" w:hAnsi="Arial" w:cs="Arial"/>
          <w:sz w:val="22"/>
          <w:szCs w:val="22"/>
        </w:rPr>
        <w:t>rađevinskih objekata.</w:t>
      </w:r>
    </w:p>
    <w:p w:rsidR="00AD5540" w:rsidRPr="007F0E49" w:rsidRDefault="00AD5540" w:rsidP="000E69DA">
      <w:pPr>
        <w:jc w:val="both"/>
        <w:rPr>
          <w:rFonts w:ascii="Arial" w:hAnsi="Arial" w:cs="Arial"/>
          <w:sz w:val="22"/>
          <w:szCs w:val="22"/>
        </w:rPr>
      </w:pPr>
    </w:p>
    <w:p w:rsidR="00CF0BFE" w:rsidRPr="00D5481C" w:rsidRDefault="00AD5540" w:rsidP="00E109F9">
      <w:pPr>
        <w:jc w:val="both"/>
        <w:rPr>
          <w:rFonts w:ascii="Arial" w:hAnsi="Arial" w:cs="Arial"/>
          <w:sz w:val="22"/>
          <w:szCs w:val="22"/>
        </w:rPr>
      </w:pPr>
      <w:r w:rsidRPr="007F0E49">
        <w:rPr>
          <w:rFonts w:ascii="Arial" w:hAnsi="Arial" w:cs="Arial"/>
          <w:i/>
          <w:sz w:val="22"/>
          <w:szCs w:val="22"/>
          <w:u w:val="single"/>
        </w:rPr>
        <w:t>Nematerijalna proizvedena imovina (426)</w:t>
      </w:r>
      <w:r w:rsidRPr="007F0E49">
        <w:rPr>
          <w:rFonts w:ascii="Arial" w:hAnsi="Arial" w:cs="Arial"/>
          <w:sz w:val="22"/>
          <w:szCs w:val="22"/>
        </w:rPr>
        <w:t xml:space="preserve"> bilježi rast za 62,7</w:t>
      </w:r>
      <w:r w:rsidR="00492B78" w:rsidRPr="007F0E49">
        <w:rPr>
          <w:rFonts w:ascii="Arial" w:hAnsi="Arial" w:cs="Arial"/>
          <w:sz w:val="22"/>
          <w:szCs w:val="22"/>
        </w:rPr>
        <w:t>%</w:t>
      </w:r>
      <w:r w:rsidR="00B76044" w:rsidRPr="007F0E49">
        <w:rPr>
          <w:rFonts w:ascii="Arial" w:hAnsi="Arial" w:cs="Arial"/>
          <w:sz w:val="22"/>
          <w:szCs w:val="22"/>
        </w:rPr>
        <w:t xml:space="preserve">, najvećim dijelom zbog pripreme lokacije za gradsku investiciju </w:t>
      </w:r>
      <w:r w:rsidRPr="007F0E49">
        <w:rPr>
          <w:rFonts w:ascii="Arial" w:hAnsi="Arial" w:cs="Arial"/>
          <w:sz w:val="22"/>
          <w:szCs w:val="22"/>
        </w:rPr>
        <w:t>EX Tvornica papira</w:t>
      </w:r>
      <w:r w:rsidR="00E109F9" w:rsidRPr="007F0E49">
        <w:rPr>
          <w:rFonts w:ascii="Arial" w:hAnsi="Arial" w:cs="Arial"/>
          <w:sz w:val="22"/>
          <w:szCs w:val="22"/>
        </w:rPr>
        <w:t xml:space="preserve"> </w:t>
      </w:r>
      <w:r w:rsidRPr="007F0E49">
        <w:rPr>
          <w:rFonts w:ascii="Arial" w:hAnsi="Arial" w:cs="Arial"/>
          <w:sz w:val="22"/>
          <w:szCs w:val="22"/>
        </w:rPr>
        <w:t>-</w:t>
      </w:r>
      <w:r w:rsidR="00E109F9" w:rsidRPr="007F0E49">
        <w:rPr>
          <w:rFonts w:ascii="Arial" w:hAnsi="Arial" w:cs="Arial"/>
          <w:sz w:val="22"/>
          <w:szCs w:val="22"/>
        </w:rPr>
        <w:t xml:space="preserve"> uklanjanje građevina-rušenje objekata A 27 i A 28 i asfaltiranje.</w:t>
      </w:r>
    </w:p>
    <w:p w:rsidR="000E69DA" w:rsidRPr="007F0E49" w:rsidRDefault="000E69DA" w:rsidP="000E69DA">
      <w:pPr>
        <w:tabs>
          <w:tab w:val="left" w:pos="284"/>
          <w:tab w:val="left" w:pos="567"/>
          <w:tab w:val="left" w:pos="851"/>
        </w:tabs>
        <w:ind w:left="1440" w:hanging="1440"/>
        <w:jc w:val="both"/>
        <w:rPr>
          <w:rFonts w:ascii="Arial" w:hAnsi="Arial" w:cs="Arial"/>
          <w:b/>
          <w:sz w:val="22"/>
          <w:szCs w:val="22"/>
        </w:rPr>
      </w:pPr>
      <w:r w:rsidRPr="007F0E49">
        <w:rPr>
          <w:rFonts w:ascii="Arial" w:hAnsi="Arial" w:cs="Arial"/>
          <w:b/>
          <w:sz w:val="22"/>
          <w:szCs w:val="22"/>
        </w:rPr>
        <w:lastRenderedPageBreak/>
        <w:t>Bilješka broj 1</w:t>
      </w:r>
      <w:r w:rsidR="00A5605F" w:rsidRPr="007F0E49">
        <w:rPr>
          <w:rFonts w:ascii="Arial" w:hAnsi="Arial" w:cs="Arial"/>
          <w:b/>
          <w:sz w:val="22"/>
          <w:szCs w:val="22"/>
        </w:rPr>
        <w:t>6</w:t>
      </w:r>
      <w:r w:rsidR="00E07808" w:rsidRPr="007F0E49">
        <w:rPr>
          <w:rFonts w:ascii="Arial" w:hAnsi="Arial" w:cs="Arial"/>
          <w:b/>
          <w:sz w:val="22"/>
          <w:szCs w:val="22"/>
        </w:rPr>
        <w:t xml:space="preserve"> – </w:t>
      </w:r>
      <w:r w:rsidR="00505082" w:rsidRPr="007F0E49">
        <w:rPr>
          <w:rFonts w:ascii="Arial" w:hAnsi="Arial" w:cs="Arial"/>
          <w:b/>
          <w:sz w:val="22"/>
          <w:szCs w:val="22"/>
        </w:rPr>
        <w:t>8</w:t>
      </w:r>
      <w:r w:rsidRPr="007F0E49">
        <w:rPr>
          <w:rFonts w:ascii="Arial" w:hAnsi="Arial" w:cs="Arial"/>
          <w:b/>
          <w:sz w:val="22"/>
          <w:szCs w:val="22"/>
        </w:rPr>
        <w:t xml:space="preserve">  PRIMICI OD FINANCIJSKE IMOVINE I ZADUŽIVANJA</w:t>
      </w:r>
    </w:p>
    <w:p w:rsidR="000E69DA" w:rsidRPr="007F0E49" w:rsidRDefault="000E69DA" w:rsidP="000E69DA">
      <w:pPr>
        <w:keepNext/>
        <w:jc w:val="both"/>
        <w:outlineLvl w:val="3"/>
        <w:rPr>
          <w:rFonts w:ascii="Arial" w:hAnsi="Arial" w:cs="Arial"/>
          <w:b/>
          <w:sz w:val="22"/>
          <w:szCs w:val="22"/>
        </w:rPr>
      </w:pPr>
    </w:p>
    <w:p w:rsidR="000E69DA" w:rsidRPr="007F0E49" w:rsidRDefault="000E69DA" w:rsidP="000E69DA">
      <w:pPr>
        <w:jc w:val="both"/>
        <w:rPr>
          <w:rFonts w:ascii="Arial" w:hAnsi="Arial" w:cs="Arial"/>
          <w:sz w:val="22"/>
          <w:szCs w:val="22"/>
        </w:rPr>
      </w:pPr>
      <w:r w:rsidRPr="007F0E49">
        <w:rPr>
          <w:rFonts w:ascii="Arial" w:hAnsi="Arial" w:cs="Arial"/>
          <w:b/>
          <w:sz w:val="22"/>
          <w:szCs w:val="22"/>
        </w:rPr>
        <w:t>Primici od financijske imovine i zaduživanja</w:t>
      </w:r>
      <w:r w:rsidRPr="007F0E49">
        <w:rPr>
          <w:rFonts w:ascii="Arial" w:hAnsi="Arial" w:cs="Arial"/>
          <w:sz w:val="22"/>
          <w:szCs w:val="22"/>
        </w:rPr>
        <w:t xml:space="preserve"> ostvareni su u iznosu od </w:t>
      </w:r>
      <w:r w:rsidR="00505082" w:rsidRPr="007F0E49">
        <w:rPr>
          <w:rFonts w:ascii="Arial" w:hAnsi="Arial" w:cs="Arial"/>
          <w:sz w:val="22"/>
          <w:szCs w:val="22"/>
        </w:rPr>
        <w:t>24.808.261,55</w:t>
      </w:r>
      <w:r w:rsidRPr="007F0E49">
        <w:rPr>
          <w:rFonts w:ascii="Arial" w:hAnsi="Arial" w:cs="Arial"/>
          <w:sz w:val="22"/>
          <w:szCs w:val="22"/>
        </w:rPr>
        <w:t xml:space="preserve"> kn i u odnosu na ostvarenje u istom razdoblju prethodne godine, </w:t>
      </w:r>
      <w:r w:rsidR="00A94B1E" w:rsidRPr="007F0E49">
        <w:rPr>
          <w:rFonts w:ascii="Arial" w:hAnsi="Arial" w:cs="Arial"/>
          <w:sz w:val="22"/>
          <w:szCs w:val="22"/>
        </w:rPr>
        <w:t xml:space="preserve">značajno su </w:t>
      </w:r>
      <w:r w:rsidR="00E46845" w:rsidRPr="007F0E49">
        <w:rPr>
          <w:rFonts w:ascii="Arial" w:hAnsi="Arial" w:cs="Arial"/>
          <w:sz w:val="22"/>
          <w:szCs w:val="22"/>
        </w:rPr>
        <w:t>manje ostvareni</w:t>
      </w:r>
      <w:r w:rsidR="00E07808" w:rsidRPr="007F0E49">
        <w:rPr>
          <w:rFonts w:ascii="Arial" w:hAnsi="Arial" w:cs="Arial"/>
          <w:sz w:val="22"/>
          <w:szCs w:val="22"/>
        </w:rPr>
        <w:t>.</w:t>
      </w:r>
      <w:r w:rsidRPr="007F0E49">
        <w:rPr>
          <w:rFonts w:ascii="Arial" w:hAnsi="Arial" w:cs="Arial"/>
          <w:sz w:val="22"/>
          <w:szCs w:val="22"/>
        </w:rPr>
        <w:t xml:space="preserve"> </w:t>
      </w:r>
    </w:p>
    <w:p w:rsidR="00B76044" w:rsidRPr="007F0E49" w:rsidRDefault="00B76044" w:rsidP="000E69DA">
      <w:pPr>
        <w:jc w:val="both"/>
        <w:rPr>
          <w:rFonts w:ascii="Arial" w:hAnsi="Arial" w:cs="Arial"/>
          <w:sz w:val="22"/>
          <w:szCs w:val="22"/>
        </w:rPr>
      </w:pPr>
    </w:p>
    <w:p w:rsidR="000E69DA" w:rsidRPr="007F0E49" w:rsidRDefault="005D0B7E" w:rsidP="000E69DA">
      <w:pPr>
        <w:jc w:val="both"/>
        <w:rPr>
          <w:rFonts w:ascii="Arial" w:hAnsi="Arial" w:cs="Arial"/>
          <w:sz w:val="22"/>
          <w:szCs w:val="22"/>
        </w:rPr>
      </w:pPr>
      <w:r w:rsidRPr="007F0E49">
        <w:rPr>
          <w:rFonts w:ascii="Arial" w:hAnsi="Arial" w:cs="Arial"/>
          <w:i/>
          <w:sz w:val="22"/>
          <w:szCs w:val="22"/>
          <w:u w:val="single"/>
        </w:rPr>
        <w:t>Primljeni povrati glavnica</w:t>
      </w:r>
      <w:r w:rsidR="000E69DA" w:rsidRPr="007F0E49">
        <w:rPr>
          <w:rFonts w:ascii="Arial" w:hAnsi="Arial" w:cs="Arial"/>
          <w:i/>
          <w:sz w:val="22"/>
          <w:szCs w:val="22"/>
          <w:u w:val="single"/>
        </w:rPr>
        <w:t xml:space="preserve"> d</w:t>
      </w:r>
      <w:r w:rsidR="00E07808" w:rsidRPr="007F0E49">
        <w:rPr>
          <w:rFonts w:ascii="Arial" w:hAnsi="Arial" w:cs="Arial"/>
          <w:i/>
          <w:sz w:val="22"/>
          <w:szCs w:val="22"/>
          <w:u w:val="single"/>
        </w:rPr>
        <w:t>anih zajmova i depozita (</w:t>
      </w:r>
      <w:r w:rsidR="00505082" w:rsidRPr="007F0E49">
        <w:rPr>
          <w:rFonts w:ascii="Arial" w:hAnsi="Arial" w:cs="Arial"/>
          <w:i/>
          <w:sz w:val="22"/>
          <w:szCs w:val="22"/>
          <w:u w:val="single"/>
        </w:rPr>
        <w:t>81</w:t>
      </w:r>
      <w:r w:rsidR="000E69DA" w:rsidRPr="007F0E49">
        <w:rPr>
          <w:rFonts w:ascii="Arial" w:hAnsi="Arial" w:cs="Arial"/>
          <w:i/>
          <w:sz w:val="22"/>
          <w:szCs w:val="22"/>
          <w:u w:val="single"/>
        </w:rPr>
        <w:t>)</w:t>
      </w:r>
      <w:r w:rsidR="000E69DA" w:rsidRPr="007F0E49">
        <w:rPr>
          <w:rFonts w:ascii="Arial" w:hAnsi="Arial" w:cs="Arial"/>
          <w:sz w:val="22"/>
          <w:szCs w:val="22"/>
        </w:rPr>
        <w:t xml:space="preserve"> ostvareni su u iznosu od </w:t>
      </w:r>
      <w:r w:rsidR="00505082" w:rsidRPr="007F0E49">
        <w:rPr>
          <w:rFonts w:ascii="Arial" w:hAnsi="Arial" w:cs="Arial"/>
          <w:sz w:val="22"/>
          <w:szCs w:val="22"/>
        </w:rPr>
        <w:t>2.065.293,31</w:t>
      </w:r>
      <w:r w:rsidR="000E69DA" w:rsidRPr="007F0E49">
        <w:rPr>
          <w:rFonts w:ascii="Arial" w:hAnsi="Arial" w:cs="Arial"/>
          <w:sz w:val="22"/>
          <w:szCs w:val="22"/>
        </w:rPr>
        <w:t xml:space="preserve"> kn po osnovi povrata depozita danih u prethodnim godinama.</w:t>
      </w:r>
    </w:p>
    <w:p w:rsidR="000E69DA" w:rsidRPr="007F0E49" w:rsidRDefault="000E69DA" w:rsidP="000E69DA">
      <w:pPr>
        <w:jc w:val="both"/>
        <w:rPr>
          <w:rFonts w:ascii="Arial" w:hAnsi="Arial" w:cs="Arial"/>
          <w:sz w:val="22"/>
          <w:szCs w:val="22"/>
        </w:rPr>
      </w:pPr>
    </w:p>
    <w:p w:rsidR="00DE4FD7" w:rsidRPr="007F0E49" w:rsidRDefault="000E69DA" w:rsidP="000E69DA">
      <w:pPr>
        <w:jc w:val="both"/>
        <w:rPr>
          <w:rFonts w:ascii="Arial" w:hAnsi="Arial" w:cs="Arial"/>
          <w:sz w:val="22"/>
          <w:szCs w:val="22"/>
        </w:rPr>
      </w:pPr>
      <w:r w:rsidRPr="007F0E49">
        <w:rPr>
          <w:rFonts w:ascii="Arial" w:hAnsi="Arial" w:cs="Arial"/>
          <w:i/>
          <w:sz w:val="22"/>
          <w:szCs w:val="22"/>
          <w:u w:val="single"/>
        </w:rPr>
        <w:t>Primici od z</w:t>
      </w:r>
      <w:r w:rsidR="001C0CD4" w:rsidRPr="007F0E49">
        <w:rPr>
          <w:rFonts w:ascii="Arial" w:hAnsi="Arial" w:cs="Arial"/>
          <w:i/>
          <w:sz w:val="22"/>
          <w:szCs w:val="22"/>
          <w:u w:val="single"/>
        </w:rPr>
        <w:t>aduživanja (</w:t>
      </w:r>
      <w:r w:rsidR="00505082" w:rsidRPr="007F0E49">
        <w:rPr>
          <w:rFonts w:ascii="Arial" w:hAnsi="Arial" w:cs="Arial"/>
          <w:i/>
          <w:sz w:val="22"/>
          <w:szCs w:val="22"/>
          <w:u w:val="single"/>
        </w:rPr>
        <w:t>84</w:t>
      </w:r>
      <w:r w:rsidRPr="007F0E49">
        <w:rPr>
          <w:rFonts w:ascii="Arial" w:hAnsi="Arial" w:cs="Arial"/>
          <w:i/>
          <w:sz w:val="22"/>
          <w:szCs w:val="22"/>
          <w:u w:val="single"/>
        </w:rPr>
        <w:t>)</w:t>
      </w:r>
      <w:r w:rsidRPr="007F0E49">
        <w:rPr>
          <w:rFonts w:ascii="Arial" w:hAnsi="Arial" w:cs="Arial"/>
          <w:sz w:val="22"/>
          <w:szCs w:val="22"/>
        </w:rPr>
        <w:t xml:space="preserve"> ostvareni su u </w:t>
      </w:r>
      <w:r w:rsidR="00DE4FD7" w:rsidRPr="007F0E49">
        <w:rPr>
          <w:rFonts w:ascii="Arial" w:hAnsi="Arial" w:cs="Arial"/>
          <w:sz w:val="22"/>
          <w:szCs w:val="22"/>
        </w:rPr>
        <w:t xml:space="preserve">ukupnom </w:t>
      </w:r>
      <w:r w:rsidRPr="007F0E49">
        <w:rPr>
          <w:rFonts w:ascii="Arial" w:hAnsi="Arial" w:cs="Arial"/>
          <w:sz w:val="22"/>
          <w:szCs w:val="22"/>
        </w:rPr>
        <w:t xml:space="preserve">iznosu od </w:t>
      </w:r>
      <w:r w:rsidR="00505082" w:rsidRPr="007F0E49">
        <w:rPr>
          <w:rFonts w:ascii="Arial" w:hAnsi="Arial" w:cs="Arial"/>
          <w:sz w:val="22"/>
          <w:szCs w:val="22"/>
        </w:rPr>
        <w:t>22.741.392,64</w:t>
      </w:r>
      <w:r w:rsidRPr="007F0E49">
        <w:rPr>
          <w:rFonts w:ascii="Arial" w:hAnsi="Arial" w:cs="Arial"/>
          <w:sz w:val="22"/>
          <w:szCs w:val="22"/>
        </w:rPr>
        <w:t xml:space="preserve"> kn. </w:t>
      </w:r>
    </w:p>
    <w:p w:rsidR="001D6849" w:rsidRPr="007F0E49" w:rsidRDefault="000E69DA" w:rsidP="000E69DA">
      <w:pPr>
        <w:jc w:val="both"/>
        <w:rPr>
          <w:rFonts w:ascii="Arial" w:hAnsi="Arial" w:cs="Arial"/>
          <w:sz w:val="22"/>
          <w:szCs w:val="22"/>
        </w:rPr>
      </w:pPr>
      <w:r w:rsidRPr="007F0E49">
        <w:rPr>
          <w:rFonts w:ascii="Arial" w:hAnsi="Arial" w:cs="Arial"/>
          <w:sz w:val="22"/>
          <w:szCs w:val="22"/>
        </w:rPr>
        <w:t xml:space="preserve">Iznos od </w:t>
      </w:r>
      <w:r w:rsidR="00505082" w:rsidRPr="007F0E49">
        <w:rPr>
          <w:rFonts w:ascii="Arial" w:hAnsi="Arial" w:cs="Arial"/>
          <w:sz w:val="22"/>
          <w:szCs w:val="22"/>
        </w:rPr>
        <w:t>22.741.392,64</w:t>
      </w:r>
      <w:r w:rsidR="00E07808" w:rsidRPr="007F0E49">
        <w:rPr>
          <w:rFonts w:ascii="Arial" w:hAnsi="Arial" w:cs="Arial"/>
          <w:sz w:val="22"/>
          <w:szCs w:val="22"/>
        </w:rPr>
        <w:t xml:space="preserve"> kn (</w:t>
      </w:r>
      <w:r w:rsidR="00505082" w:rsidRPr="007F0E49">
        <w:rPr>
          <w:rFonts w:ascii="Arial" w:hAnsi="Arial" w:cs="Arial"/>
          <w:sz w:val="22"/>
          <w:szCs w:val="22"/>
        </w:rPr>
        <w:t>8443</w:t>
      </w:r>
      <w:r w:rsidRPr="007F0E49">
        <w:rPr>
          <w:rFonts w:ascii="Arial" w:hAnsi="Arial" w:cs="Arial"/>
          <w:sz w:val="22"/>
          <w:szCs w:val="22"/>
        </w:rPr>
        <w:t>) odnosi se na iskorišteni dio kredita do 31.</w:t>
      </w:r>
      <w:r w:rsidR="00DA1681" w:rsidRPr="007F0E49">
        <w:rPr>
          <w:rFonts w:ascii="Arial" w:hAnsi="Arial" w:cs="Arial"/>
          <w:sz w:val="22"/>
          <w:szCs w:val="22"/>
        </w:rPr>
        <w:t xml:space="preserve"> prosinca </w:t>
      </w:r>
      <w:r w:rsidR="00505082" w:rsidRPr="007F0E49">
        <w:rPr>
          <w:rFonts w:ascii="Arial" w:hAnsi="Arial" w:cs="Arial"/>
          <w:sz w:val="22"/>
          <w:szCs w:val="22"/>
        </w:rPr>
        <w:t>2022</w:t>
      </w:r>
      <w:r w:rsidRPr="007F0E49">
        <w:rPr>
          <w:rFonts w:ascii="Arial" w:hAnsi="Arial" w:cs="Arial"/>
          <w:sz w:val="22"/>
          <w:szCs w:val="22"/>
        </w:rPr>
        <w:t xml:space="preserve">. </w:t>
      </w:r>
      <w:r w:rsidR="0021402B" w:rsidRPr="007F0E49">
        <w:rPr>
          <w:rFonts w:ascii="Arial" w:hAnsi="Arial" w:cs="Arial"/>
          <w:sz w:val="22"/>
          <w:szCs w:val="22"/>
        </w:rPr>
        <w:t xml:space="preserve">po osnovu </w:t>
      </w:r>
      <w:r w:rsidR="00505082" w:rsidRPr="007F0E49">
        <w:rPr>
          <w:rFonts w:ascii="Arial" w:hAnsi="Arial" w:cs="Arial"/>
          <w:sz w:val="22"/>
          <w:szCs w:val="22"/>
        </w:rPr>
        <w:t xml:space="preserve">dva </w:t>
      </w:r>
      <w:r w:rsidR="0021402B" w:rsidRPr="007F0E49">
        <w:rPr>
          <w:rFonts w:ascii="Arial" w:hAnsi="Arial" w:cs="Arial"/>
          <w:sz w:val="22"/>
          <w:szCs w:val="22"/>
        </w:rPr>
        <w:t xml:space="preserve">primljena dugoročna </w:t>
      </w:r>
      <w:r w:rsidRPr="007F0E49">
        <w:rPr>
          <w:rFonts w:ascii="Arial" w:hAnsi="Arial" w:cs="Arial"/>
          <w:sz w:val="22"/>
          <w:szCs w:val="22"/>
        </w:rPr>
        <w:t xml:space="preserve">kredita </w:t>
      </w:r>
      <w:r w:rsidR="0021402B" w:rsidRPr="007F0E49">
        <w:rPr>
          <w:rFonts w:ascii="Arial" w:hAnsi="Arial" w:cs="Arial"/>
          <w:sz w:val="22"/>
          <w:szCs w:val="22"/>
        </w:rPr>
        <w:t xml:space="preserve">od </w:t>
      </w:r>
      <w:r w:rsidRPr="007F0E49">
        <w:rPr>
          <w:rFonts w:ascii="Arial" w:hAnsi="Arial" w:cs="Arial"/>
          <w:sz w:val="22"/>
          <w:szCs w:val="22"/>
        </w:rPr>
        <w:t xml:space="preserve">ERSTE&amp;STEIERMARKISCHE BANK d.d. i jedan </w:t>
      </w:r>
      <w:r w:rsidR="0021402B" w:rsidRPr="007F0E49">
        <w:rPr>
          <w:rFonts w:ascii="Arial" w:hAnsi="Arial" w:cs="Arial"/>
          <w:sz w:val="22"/>
          <w:szCs w:val="22"/>
        </w:rPr>
        <w:t xml:space="preserve">dugoročni </w:t>
      </w:r>
      <w:r w:rsidRPr="007F0E49">
        <w:rPr>
          <w:rFonts w:ascii="Arial" w:hAnsi="Arial" w:cs="Arial"/>
          <w:sz w:val="22"/>
          <w:szCs w:val="22"/>
        </w:rPr>
        <w:t>kredit Zagrebačke banke d.d.</w:t>
      </w:r>
      <w:r w:rsidR="001D6849" w:rsidRPr="007F0E49">
        <w:rPr>
          <w:rFonts w:ascii="Arial" w:hAnsi="Arial" w:cs="Arial"/>
          <w:sz w:val="22"/>
          <w:szCs w:val="22"/>
        </w:rPr>
        <w:t xml:space="preserve"> </w:t>
      </w:r>
    </w:p>
    <w:p w:rsidR="00D5481C" w:rsidRDefault="00D5481C" w:rsidP="00DE4FD7">
      <w:pPr>
        <w:jc w:val="both"/>
        <w:rPr>
          <w:rFonts w:ascii="Arial" w:hAnsi="Arial" w:cs="Arial"/>
          <w:i/>
          <w:sz w:val="22"/>
          <w:szCs w:val="22"/>
        </w:rPr>
      </w:pPr>
    </w:p>
    <w:p w:rsidR="00DE4FD7" w:rsidRPr="007F0E49" w:rsidRDefault="00DE4FD7" w:rsidP="00DE4FD7">
      <w:pPr>
        <w:jc w:val="both"/>
        <w:rPr>
          <w:rFonts w:ascii="Arial" w:hAnsi="Arial" w:cs="Arial"/>
          <w:i/>
          <w:sz w:val="22"/>
          <w:szCs w:val="22"/>
        </w:rPr>
      </w:pPr>
      <w:r w:rsidRPr="007F0E49">
        <w:rPr>
          <w:rFonts w:ascii="Arial" w:hAnsi="Arial" w:cs="Arial"/>
          <w:i/>
          <w:sz w:val="22"/>
          <w:szCs w:val="22"/>
        </w:rPr>
        <w:t>Više o navedenim kreditima vidjeti pod Bilješkom broj 4.</w:t>
      </w:r>
      <w:r w:rsidR="001536DF" w:rsidRPr="007F0E49">
        <w:rPr>
          <w:rFonts w:ascii="Arial" w:hAnsi="Arial" w:cs="Arial"/>
          <w:i/>
          <w:sz w:val="22"/>
          <w:szCs w:val="22"/>
        </w:rPr>
        <w:t xml:space="preserve"> uz Bilancu.</w:t>
      </w:r>
    </w:p>
    <w:p w:rsidR="000E69DA" w:rsidRPr="007F0E49" w:rsidRDefault="000E69DA" w:rsidP="000E69DA">
      <w:pPr>
        <w:tabs>
          <w:tab w:val="left" w:pos="284"/>
          <w:tab w:val="left" w:pos="567"/>
          <w:tab w:val="left" w:pos="851"/>
        </w:tabs>
        <w:ind w:left="1440"/>
        <w:jc w:val="both"/>
        <w:rPr>
          <w:rFonts w:ascii="Arial" w:hAnsi="Arial" w:cs="Arial"/>
          <w:sz w:val="22"/>
          <w:szCs w:val="22"/>
        </w:rPr>
      </w:pPr>
    </w:p>
    <w:p w:rsidR="00D0635C" w:rsidRPr="007F0E49" w:rsidRDefault="00D0635C" w:rsidP="000E69DA">
      <w:pPr>
        <w:tabs>
          <w:tab w:val="left" w:pos="284"/>
          <w:tab w:val="left" w:pos="567"/>
          <w:tab w:val="left" w:pos="851"/>
        </w:tabs>
        <w:ind w:left="1440"/>
        <w:jc w:val="both"/>
        <w:rPr>
          <w:rFonts w:ascii="Arial" w:hAnsi="Arial" w:cs="Arial"/>
          <w:sz w:val="22"/>
          <w:szCs w:val="22"/>
        </w:rPr>
      </w:pPr>
    </w:p>
    <w:p w:rsidR="000E69DA" w:rsidRPr="007F0E49" w:rsidRDefault="000E69DA" w:rsidP="000E69DA">
      <w:pPr>
        <w:tabs>
          <w:tab w:val="left" w:pos="284"/>
          <w:tab w:val="left" w:pos="567"/>
          <w:tab w:val="left" w:pos="851"/>
        </w:tabs>
        <w:ind w:left="1440" w:hanging="1440"/>
        <w:jc w:val="both"/>
        <w:rPr>
          <w:rFonts w:ascii="Arial" w:hAnsi="Arial" w:cs="Arial"/>
          <w:b/>
          <w:sz w:val="22"/>
          <w:szCs w:val="22"/>
        </w:rPr>
      </w:pPr>
      <w:r w:rsidRPr="007F0E49">
        <w:rPr>
          <w:rFonts w:ascii="Arial" w:hAnsi="Arial" w:cs="Arial"/>
          <w:b/>
          <w:sz w:val="22"/>
          <w:szCs w:val="22"/>
        </w:rPr>
        <w:t>Bilješka broj 1</w:t>
      </w:r>
      <w:r w:rsidR="002E521E" w:rsidRPr="007F0E49">
        <w:rPr>
          <w:rFonts w:ascii="Arial" w:hAnsi="Arial" w:cs="Arial"/>
          <w:b/>
          <w:sz w:val="22"/>
          <w:szCs w:val="22"/>
        </w:rPr>
        <w:t>7</w:t>
      </w:r>
      <w:r w:rsidR="00E07808" w:rsidRPr="007F0E49">
        <w:rPr>
          <w:rFonts w:ascii="Arial" w:hAnsi="Arial" w:cs="Arial"/>
          <w:b/>
          <w:sz w:val="22"/>
          <w:szCs w:val="22"/>
        </w:rPr>
        <w:t xml:space="preserve"> – </w:t>
      </w:r>
      <w:r w:rsidR="00505082" w:rsidRPr="007F0E49">
        <w:rPr>
          <w:rFonts w:ascii="Arial" w:hAnsi="Arial" w:cs="Arial"/>
          <w:b/>
          <w:sz w:val="22"/>
          <w:szCs w:val="22"/>
        </w:rPr>
        <w:t>5</w:t>
      </w:r>
      <w:r w:rsidRPr="007F0E49">
        <w:rPr>
          <w:rFonts w:ascii="Arial" w:hAnsi="Arial" w:cs="Arial"/>
          <w:b/>
          <w:sz w:val="22"/>
          <w:szCs w:val="22"/>
        </w:rPr>
        <w:t xml:space="preserve">  IZDACI ZA FINANCIJSKU IMOVINU I OTPLATE ZAJMOVA</w:t>
      </w:r>
    </w:p>
    <w:p w:rsidR="000E69DA" w:rsidRPr="007F0E49" w:rsidRDefault="000E69DA" w:rsidP="000E69DA">
      <w:pPr>
        <w:rPr>
          <w:rFonts w:ascii="Arial" w:hAnsi="Arial" w:cs="Arial"/>
          <w:sz w:val="22"/>
          <w:szCs w:val="22"/>
        </w:rPr>
      </w:pPr>
    </w:p>
    <w:p w:rsidR="000E69DA" w:rsidRPr="007F0E49" w:rsidRDefault="000E69DA" w:rsidP="000E69DA">
      <w:pPr>
        <w:jc w:val="both"/>
        <w:rPr>
          <w:rFonts w:ascii="Arial" w:hAnsi="Arial" w:cs="Arial"/>
          <w:sz w:val="22"/>
          <w:szCs w:val="22"/>
        </w:rPr>
      </w:pPr>
      <w:r w:rsidRPr="007F0E49">
        <w:rPr>
          <w:rFonts w:ascii="Arial" w:hAnsi="Arial" w:cs="Arial"/>
          <w:b/>
          <w:sz w:val="22"/>
          <w:szCs w:val="22"/>
        </w:rPr>
        <w:t>Izdaci za financijsku imovinu i otplate zajmova</w:t>
      </w:r>
      <w:r w:rsidRPr="007F0E49">
        <w:rPr>
          <w:rFonts w:ascii="Arial" w:hAnsi="Arial" w:cs="Arial"/>
          <w:sz w:val="22"/>
          <w:szCs w:val="22"/>
        </w:rPr>
        <w:t xml:space="preserve"> ostvareni su u iznosu od </w:t>
      </w:r>
      <w:r w:rsidR="00505082" w:rsidRPr="007F0E49">
        <w:rPr>
          <w:rFonts w:ascii="Arial" w:hAnsi="Arial" w:cs="Arial"/>
          <w:sz w:val="22"/>
          <w:szCs w:val="22"/>
        </w:rPr>
        <w:t>79.131.651,08</w:t>
      </w:r>
      <w:r w:rsidRPr="007F0E49">
        <w:rPr>
          <w:rFonts w:ascii="Arial" w:hAnsi="Arial" w:cs="Arial"/>
          <w:sz w:val="22"/>
          <w:szCs w:val="22"/>
        </w:rPr>
        <w:t xml:space="preserve"> što</w:t>
      </w:r>
      <w:r w:rsidR="00DB61F1" w:rsidRPr="007F0E49">
        <w:rPr>
          <w:rFonts w:ascii="Arial" w:hAnsi="Arial" w:cs="Arial"/>
          <w:sz w:val="22"/>
          <w:szCs w:val="22"/>
        </w:rPr>
        <w:t>,</w:t>
      </w:r>
      <w:r w:rsidRPr="007F0E49">
        <w:rPr>
          <w:rFonts w:ascii="Arial" w:hAnsi="Arial" w:cs="Arial"/>
          <w:sz w:val="22"/>
          <w:szCs w:val="22"/>
        </w:rPr>
        <w:t xml:space="preserve"> u odnosu na prethodnu godinu</w:t>
      </w:r>
      <w:r w:rsidR="00DB61F1" w:rsidRPr="007F0E49">
        <w:rPr>
          <w:rFonts w:ascii="Arial" w:hAnsi="Arial" w:cs="Arial"/>
          <w:sz w:val="22"/>
          <w:szCs w:val="22"/>
        </w:rPr>
        <w:t>,</w:t>
      </w:r>
      <w:r w:rsidRPr="007F0E49">
        <w:rPr>
          <w:rFonts w:ascii="Arial" w:hAnsi="Arial" w:cs="Arial"/>
          <w:sz w:val="22"/>
          <w:szCs w:val="22"/>
        </w:rPr>
        <w:t xml:space="preserve"> predstavlja povećanje za </w:t>
      </w:r>
      <w:r w:rsidR="00505082" w:rsidRPr="007F0E49">
        <w:rPr>
          <w:rFonts w:ascii="Arial" w:hAnsi="Arial" w:cs="Arial"/>
          <w:sz w:val="22"/>
          <w:szCs w:val="22"/>
        </w:rPr>
        <w:t>29.249.782,08</w:t>
      </w:r>
      <w:r w:rsidR="00E07808" w:rsidRPr="007F0E49">
        <w:rPr>
          <w:rFonts w:ascii="Arial" w:hAnsi="Arial" w:cs="Arial"/>
          <w:sz w:val="22"/>
          <w:szCs w:val="22"/>
        </w:rPr>
        <w:t xml:space="preserve"> kn </w:t>
      </w:r>
      <w:r w:rsidR="00DB61F1" w:rsidRPr="007F0E49">
        <w:rPr>
          <w:rFonts w:ascii="Arial" w:hAnsi="Arial" w:cs="Arial"/>
          <w:sz w:val="22"/>
          <w:szCs w:val="22"/>
        </w:rPr>
        <w:t>(</w:t>
      </w:r>
      <w:r w:rsidR="00505082" w:rsidRPr="007F0E49">
        <w:rPr>
          <w:rFonts w:ascii="Arial" w:hAnsi="Arial" w:cs="Arial"/>
          <w:sz w:val="22"/>
          <w:szCs w:val="22"/>
        </w:rPr>
        <w:t>58,6</w:t>
      </w:r>
      <w:r w:rsidR="00E07808" w:rsidRPr="007F0E49">
        <w:rPr>
          <w:rFonts w:ascii="Arial" w:hAnsi="Arial" w:cs="Arial"/>
          <w:sz w:val="22"/>
          <w:szCs w:val="22"/>
        </w:rPr>
        <w:t>%</w:t>
      </w:r>
      <w:r w:rsidR="00DB61F1" w:rsidRPr="007F0E49">
        <w:rPr>
          <w:rFonts w:ascii="Arial" w:hAnsi="Arial" w:cs="Arial"/>
          <w:sz w:val="22"/>
          <w:szCs w:val="22"/>
        </w:rPr>
        <w:t>)</w:t>
      </w:r>
      <w:r w:rsidR="000F530A" w:rsidRPr="007F0E49">
        <w:rPr>
          <w:rFonts w:ascii="Arial" w:hAnsi="Arial" w:cs="Arial"/>
          <w:sz w:val="22"/>
          <w:szCs w:val="22"/>
        </w:rPr>
        <w:t xml:space="preserve">, prvenstveno zbog većih izdataka </w:t>
      </w:r>
      <w:r w:rsidR="00DB61F1" w:rsidRPr="007F0E49">
        <w:rPr>
          <w:rFonts w:ascii="Arial" w:hAnsi="Arial" w:cs="Arial"/>
          <w:sz w:val="22"/>
          <w:szCs w:val="22"/>
        </w:rPr>
        <w:t xml:space="preserve">nastalih </w:t>
      </w:r>
      <w:r w:rsidR="000F530A" w:rsidRPr="007F0E49">
        <w:rPr>
          <w:rFonts w:ascii="Arial" w:hAnsi="Arial" w:cs="Arial"/>
          <w:sz w:val="22"/>
          <w:szCs w:val="22"/>
        </w:rPr>
        <w:t xml:space="preserve">u svrhu povećanja poslovnih udjela u temeljnom kapitalu </w:t>
      </w:r>
      <w:r w:rsidR="00DB61F1" w:rsidRPr="007F0E49">
        <w:rPr>
          <w:rFonts w:ascii="Arial" w:hAnsi="Arial" w:cs="Arial"/>
          <w:sz w:val="22"/>
          <w:szCs w:val="22"/>
        </w:rPr>
        <w:t xml:space="preserve">(dokapitalizacije) </w:t>
      </w:r>
      <w:r w:rsidR="000F530A" w:rsidRPr="007F0E49">
        <w:rPr>
          <w:rFonts w:ascii="Arial" w:hAnsi="Arial" w:cs="Arial"/>
          <w:sz w:val="22"/>
          <w:szCs w:val="22"/>
        </w:rPr>
        <w:t>trgovačkih društava u većinskom vlasništvu i suvlasništvu Grada</w:t>
      </w:r>
      <w:r w:rsidR="00E07808" w:rsidRPr="007F0E49">
        <w:rPr>
          <w:rFonts w:ascii="Arial" w:hAnsi="Arial" w:cs="Arial"/>
          <w:sz w:val="22"/>
          <w:szCs w:val="22"/>
        </w:rPr>
        <w:t>.</w:t>
      </w:r>
    </w:p>
    <w:p w:rsidR="00505082" w:rsidRPr="007F0E49" w:rsidRDefault="00505082" w:rsidP="000E69DA">
      <w:pPr>
        <w:jc w:val="both"/>
        <w:rPr>
          <w:rFonts w:ascii="Arial" w:hAnsi="Arial" w:cs="Arial"/>
          <w:sz w:val="22"/>
          <w:szCs w:val="22"/>
        </w:rPr>
      </w:pPr>
    </w:p>
    <w:p w:rsidR="008E10DB" w:rsidRPr="007F0E49" w:rsidRDefault="00505082" w:rsidP="008E10DB">
      <w:pPr>
        <w:jc w:val="both"/>
        <w:rPr>
          <w:rFonts w:ascii="Arial" w:hAnsi="Arial" w:cs="Arial"/>
          <w:sz w:val="22"/>
          <w:szCs w:val="22"/>
        </w:rPr>
      </w:pPr>
      <w:r w:rsidRPr="007F0E49">
        <w:rPr>
          <w:rFonts w:ascii="Arial" w:hAnsi="Arial" w:cs="Arial"/>
          <w:i/>
          <w:sz w:val="22"/>
          <w:szCs w:val="22"/>
          <w:u w:val="single"/>
        </w:rPr>
        <w:t>Izdaci za dane zajmove</w:t>
      </w:r>
      <w:r w:rsidR="00285A5F" w:rsidRPr="007F0E49">
        <w:rPr>
          <w:rFonts w:ascii="Arial" w:hAnsi="Arial" w:cs="Arial"/>
          <w:i/>
          <w:sz w:val="22"/>
          <w:szCs w:val="22"/>
          <w:u w:val="single"/>
        </w:rPr>
        <w:t xml:space="preserve"> i depozite (51) </w:t>
      </w:r>
      <w:r w:rsidR="00285A5F" w:rsidRPr="007F0E49">
        <w:rPr>
          <w:rFonts w:ascii="Arial" w:hAnsi="Arial" w:cs="Arial"/>
          <w:sz w:val="22"/>
          <w:szCs w:val="22"/>
        </w:rPr>
        <w:t xml:space="preserve">bilježe rast od </w:t>
      </w:r>
      <w:r w:rsidR="00B044C1" w:rsidRPr="007F0E49">
        <w:rPr>
          <w:rFonts w:ascii="Arial" w:hAnsi="Arial" w:cs="Arial"/>
          <w:sz w:val="22"/>
          <w:szCs w:val="22"/>
        </w:rPr>
        <w:t>2</w:t>
      </w:r>
      <w:r w:rsidR="00D4531E" w:rsidRPr="007F0E49">
        <w:rPr>
          <w:rFonts w:ascii="Arial" w:hAnsi="Arial" w:cs="Arial"/>
          <w:sz w:val="22"/>
          <w:szCs w:val="22"/>
        </w:rPr>
        <w:t>54,3</w:t>
      </w:r>
      <w:r w:rsidR="00285A5F" w:rsidRPr="007F0E49">
        <w:rPr>
          <w:rFonts w:ascii="Arial" w:hAnsi="Arial" w:cs="Arial"/>
          <w:sz w:val="22"/>
          <w:szCs w:val="22"/>
        </w:rPr>
        <w:t>%.</w:t>
      </w:r>
      <w:r w:rsidR="004A0CF8" w:rsidRPr="007F0E49">
        <w:rPr>
          <w:rFonts w:ascii="Arial" w:hAnsi="Arial" w:cs="Arial"/>
          <w:sz w:val="22"/>
          <w:szCs w:val="22"/>
        </w:rPr>
        <w:t xml:space="preserve"> </w:t>
      </w:r>
      <w:r w:rsidR="00285A5F" w:rsidRPr="007F0E49">
        <w:rPr>
          <w:rFonts w:ascii="Arial" w:hAnsi="Arial" w:cs="Arial"/>
          <w:sz w:val="22"/>
          <w:szCs w:val="22"/>
        </w:rPr>
        <w:t xml:space="preserve">Dani zajmovi tuzemnim kreditnim institucijama izvan javnog sektora (5153) ostvareni su </w:t>
      </w:r>
      <w:r w:rsidR="00690EB4" w:rsidRPr="007F0E49">
        <w:rPr>
          <w:rFonts w:ascii="Arial" w:hAnsi="Arial" w:cs="Arial"/>
          <w:sz w:val="22"/>
          <w:szCs w:val="22"/>
        </w:rPr>
        <w:t xml:space="preserve">u iznosu od </w:t>
      </w:r>
      <w:r w:rsidR="00285A5F" w:rsidRPr="007F0E49">
        <w:rPr>
          <w:rFonts w:ascii="Arial" w:hAnsi="Arial" w:cs="Arial"/>
          <w:sz w:val="22"/>
          <w:szCs w:val="22"/>
        </w:rPr>
        <w:t>1.518.000,00 kn zbog izdvajanj</w:t>
      </w:r>
      <w:r w:rsidR="00690EB4" w:rsidRPr="007F0E49">
        <w:rPr>
          <w:rFonts w:ascii="Arial" w:hAnsi="Arial" w:cs="Arial"/>
          <w:sz w:val="22"/>
          <w:szCs w:val="22"/>
        </w:rPr>
        <w:t xml:space="preserve">a sredstava </w:t>
      </w:r>
      <w:r w:rsidR="00285A5F" w:rsidRPr="007F0E49">
        <w:rPr>
          <w:rFonts w:ascii="Arial" w:hAnsi="Arial" w:cs="Arial"/>
          <w:sz w:val="22"/>
          <w:szCs w:val="22"/>
        </w:rPr>
        <w:t xml:space="preserve">na </w:t>
      </w:r>
      <w:r w:rsidR="00690EB4" w:rsidRPr="007F0E49">
        <w:rPr>
          <w:rFonts w:ascii="Arial" w:hAnsi="Arial" w:cs="Arial"/>
          <w:sz w:val="22"/>
          <w:szCs w:val="22"/>
        </w:rPr>
        <w:t xml:space="preserve">poseban račun </w:t>
      </w:r>
      <w:r w:rsidR="00285A5F" w:rsidRPr="007F0E49">
        <w:rPr>
          <w:rFonts w:ascii="Arial" w:hAnsi="Arial" w:cs="Arial"/>
          <w:sz w:val="22"/>
          <w:szCs w:val="22"/>
        </w:rPr>
        <w:t>depozit</w:t>
      </w:r>
      <w:r w:rsidR="00690EB4" w:rsidRPr="007F0E49">
        <w:rPr>
          <w:rFonts w:ascii="Arial" w:hAnsi="Arial" w:cs="Arial"/>
          <w:sz w:val="22"/>
          <w:szCs w:val="22"/>
        </w:rPr>
        <w:t xml:space="preserve">a za potrebe </w:t>
      </w:r>
      <w:r w:rsidR="00285A5F" w:rsidRPr="007F0E49">
        <w:rPr>
          <w:rFonts w:ascii="Arial" w:hAnsi="Arial" w:cs="Arial"/>
          <w:sz w:val="22"/>
          <w:szCs w:val="22"/>
        </w:rPr>
        <w:t>izvlaš</w:t>
      </w:r>
      <w:r w:rsidR="00AC7D96" w:rsidRPr="007F0E49">
        <w:rPr>
          <w:rFonts w:ascii="Arial" w:hAnsi="Arial" w:cs="Arial"/>
          <w:sz w:val="22"/>
          <w:szCs w:val="22"/>
        </w:rPr>
        <w:t xml:space="preserve">tenja </w:t>
      </w:r>
      <w:r w:rsidR="008E10DB" w:rsidRPr="007F0E49">
        <w:rPr>
          <w:rFonts w:ascii="Arial" w:hAnsi="Arial" w:cs="Arial"/>
          <w:sz w:val="22"/>
          <w:szCs w:val="22"/>
        </w:rPr>
        <w:t>po kapitalnim projektima  Rujevica - čvor Pilepići (568.000,00 kn) i Obalna šetnica Zapad (B1=751.000,00 kn i B3=199.000,00 kn).</w:t>
      </w:r>
    </w:p>
    <w:p w:rsidR="008E10DB" w:rsidRPr="007F0E49" w:rsidRDefault="008E10DB" w:rsidP="000E69DA">
      <w:pPr>
        <w:jc w:val="both"/>
        <w:rPr>
          <w:rFonts w:ascii="Arial" w:hAnsi="Arial" w:cs="Arial"/>
          <w:sz w:val="22"/>
          <w:szCs w:val="22"/>
        </w:rPr>
      </w:pPr>
    </w:p>
    <w:p w:rsidR="00285A5F" w:rsidRPr="007F0E49" w:rsidRDefault="00285A5F" w:rsidP="000E69DA">
      <w:pPr>
        <w:jc w:val="both"/>
        <w:rPr>
          <w:rFonts w:ascii="Arial" w:hAnsi="Arial" w:cs="Arial"/>
          <w:sz w:val="22"/>
          <w:szCs w:val="22"/>
        </w:rPr>
      </w:pPr>
      <w:r w:rsidRPr="007F0E49">
        <w:rPr>
          <w:rFonts w:ascii="Arial" w:hAnsi="Arial" w:cs="Arial"/>
          <w:sz w:val="22"/>
          <w:szCs w:val="22"/>
        </w:rPr>
        <w:t xml:space="preserve">Dani zajmovi gradskim proračunima (5173) </w:t>
      </w:r>
      <w:r w:rsidR="004E529A" w:rsidRPr="007F0E49">
        <w:rPr>
          <w:rFonts w:ascii="Arial" w:hAnsi="Arial" w:cs="Arial"/>
          <w:sz w:val="22"/>
          <w:szCs w:val="22"/>
        </w:rPr>
        <w:t xml:space="preserve">ostvareni </w:t>
      </w:r>
      <w:r w:rsidR="00287A92" w:rsidRPr="007F0E49">
        <w:rPr>
          <w:rFonts w:ascii="Arial" w:hAnsi="Arial" w:cs="Arial"/>
          <w:sz w:val="22"/>
          <w:szCs w:val="22"/>
        </w:rPr>
        <w:t>u iznosu od 664.439,50 kn</w:t>
      </w:r>
      <w:r w:rsidR="004E529A" w:rsidRPr="007F0E49">
        <w:rPr>
          <w:rFonts w:ascii="Arial" w:hAnsi="Arial" w:cs="Arial"/>
          <w:sz w:val="22"/>
          <w:szCs w:val="22"/>
        </w:rPr>
        <w:t xml:space="preserve">, a odnose se na </w:t>
      </w:r>
      <w:r w:rsidR="00287A92" w:rsidRPr="007F0E49">
        <w:rPr>
          <w:rFonts w:ascii="Arial" w:hAnsi="Arial" w:cs="Arial"/>
          <w:sz w:val="22"/>
          <w:szCs w:val="22"/>
        </w:rPr>
        <w:t>uređenj</w:t>
      </w:r>
      <w:r w:rsidR="004E529A" w:rsidRPr="007F0E49">
        <w:rPr>
          <w:rFonts w:ascii="Arial" w:hAnsi="Arial" w:cs="Arial"/>
          <w:sz w:val="22"/>
          <w:szCs w:val="22"/>
        </w:rPr>
        <w:t>e</w:t>
      </w:r>
      <w:r w:rsidR="0007093B" w:rsidRPr="007F0E49">
        <w:rPr>
          <w:rFonts w:ascii="Arial" w:hAnsi="Arial" w:cs="Arial"/>
          <w:sz w:val="22"/>
          <w:szCs w:val="22"/>
        </w:rPr>
        <w:t xml:space="preserve"> komunalne infrastrukture u okviru</w:t>
      </w:r>
      <w:r w:rsidR="0085368E" w:rsidRPr="007F0E49">
        <w:rPr>
          <w:rFonts w:ascii="Arial" w:hAnsi="Arial" w:cs="Arial"/>
          <w:sz w:val="22"/>
          <w:szCs w:val="22"/>
        </w:rPr>
        <w:t xml:space="preserve"> izgradnj</w:t>
      </w:r>
      <w:r w:rsidR="0007093B" w:rsidRPr="007F0E49">
        <w:rPr>
          <w:rFonts w:ascii="Arial" w:hAnsi="Arial" w:cs="Arial"/>
          <w:sz w:val="22"/>
          <w:szCs w:val="22"/>
        </w:rPr>
        <w:t>e</w:t>
      </w:r>
      <w:r w:rsidR="0085368E" w:rsidRPr="007F0E49">
        <w:rPr>
          <w:rFonts w:ascii="Arial" w:hAnsi="Arial" w:cs="Arial"/>
          <w:sz w:val="22"/>
          <w:szCs w:val="22"/>
        </w:rPr>
        <w:t xml:space="preserve"> </w:t>
      </w:r>
      <w:r w:rsidR="0007093B" w:rsidRPr="007F0E49">
        <w:rPr>
          <w:rFonts w:ascii="Arial" w:hAnsi="Arial" w:cs="Arial"/>
          <w:sz w:val="22"/>
          <w:szCs w:val="22"/>
        </w:rPr>
        <w:t xml:space="preserve">društveno poticanih </w:t>
      </w:r>
      <w:r w:rsidR="0085368E" w:rsidRPr="007F0E49">
        <w:rPr>
          <w:rFonts w:ascii="Arial" w:hAnsi="Arial" w:cs="Arial"/>
          <w:sz w:val="22"/>
          <w:szCs w:val="22"/>
        </w:rPr>
        <w:t>stanova na Martinkovcu</w:t>
      </w:r>
      <w:r w:rsidR="001B0C6C" w:rsidRPr="007F0E49">
        <w:rPr>
          <w:rFonts w:ascii="Arial" w:hAnsi="Arial" w:cs="Arial"/>
          <w:sz w:val="22"/>
          <w:szCs w:val="22"/>
        </w:rPr>
        <w:t>.</w:t>
      </w:r>
    </w:p>
    <w:p w:rsidR="000E69DA" w:rsidRPr="007F0E49" w:rsidRDefault="000E69DA" w:rsidP="000E69DA">
      <w:pPr>
        <w:jc w:val="both"/>
        <w:rPr>
          <w:rFonts w:ascii="Arial" w:hAnsi="Arial" w:cs="Arial"/>
          <w:i/>
          <w:sz w:val="22"/>
          <w:szCs w:val="22"/>
        </w:rPr>
      </w:pPr>
    </w:p>
    <w:p w:rsidR="000E69DA" w:rsidRPr="007F0E49" w:rsidRDefault="000E69DA" w:rsidP="000E69DA">
      <w:pPr>
        <w:jc w:val="both"/>
        <w:rPr>
          <w:rFonts w:ascii="Arial" w:hAnsi="Arial" w:cs="Arial"/>
          <w:sz w:val="22"/>
          <w:szCs w:val="22"/>
        </w:rPr>
      </w:pPr>
      <w:r w:rsidRPr="007F0E49">
        <w:rPr>
          <w:rFonts w:ascii="Arial" w:hAnsi="Arial" w:cs="Arial"/>
          <w:i/>
          <w:sz w:val="22"/>
          <w:szCs w:val="22"/>
          <w:u w:val="single"/>
        </w:rPr>
        <w:t>Izdaci za dion</w:t>
      </w:r>
      <w:r w:rsidR="002756BB" w:rsidRPr="007F0E49">
        <w:rPr>
          <w:rFonts w:ascii="Arial" w:hAnsi="Arial" w:cs="Arial"/>
          <w:i/>
          <w:sz w:val="22"/>
          <w:szCs w:val="22"/>
          <w:u w:val="single"/>
        </w:rPr>
        <w:t>ice i udjele u glavnici (</w:t>
      </w:r>
      <w:r w:rsidR="001B0C6C" w:rsidRPr="007F0E49">
        <w:rPr>
          <w:rFonts w:ascii="Arial" w:hAnsi="Arial" w:cs="Arial"/>
          <w:i/>
          <w:sz w:val="22"/>
          <w:szCs w:val="22"/>
          <w:u w:val="single"/>
        </w:rPr>
        <w:t>53</w:t>
      </w:r>
      <w:r w:rsidRPr="007F0E49">
        <w:rPr>
          <w:rFonts w:ascii="Arial" w:hAnsi="Arial" w:cs="Arial"/>
          <w:i/>
          <w:sz w:val="22"/>
          <w:szCs w:val="22"/>
          <w:u w:val="single"/>
        </w:rPr>
        <w:t>)</w:t>
      </w:r>
      <w:r w:rsidRPr="007F0E49">
        <w:rPr>
          <w:rFonts w:ascii="Arial" w:hAnsi="Arial" w:cs="Arial"/>
          <w:sz w:val="22"/>
          <w:szCs w:val="22"/>
        </w:rPr>
        <w:t xml:space="preserve"> ostvareni su u iznosu </w:t>
      </w:r>
      <w:r w:rsidR="001B0C6C" w:rsidRPr="007F0E49">
        <w:rPr>
          <w:rFonts w:ascii="Arial" w:hAnsi="Arial" w:cs="Arial"/>
          <w:sz w:val="22"/>
          <w:szCs w:val="22"/>
        </w:rPr>
        <w:t>40.616.207,20</w:t>
      </w:r>
      <w:r w:rsidRPr="007F0E49">
        <w:rPr>
          <w:rFonts w:ascii="Arial" w:hAnsi="Arial" w:cs="Arial"/>
          <w:sz w:val="22"/>
          <w:szCs w:val="22"/>
        </w:rPr>
        <w:t xml:space="preserve"> kn</w:t>
      </w:r>
      <w:r w:rsidR="00DE1DB7" w:rsidRPr="007F0E49">
        <w:rPr>
          <w:rFonts w:ascii="Arial" w:hAnsi="Arial" w:cs="Arial"/>
          <w:sz w:val="22"/>
          <w:szCs w:val="22"/>
        </w:rPr>
        <w:t xml:space="preserve"> </w:t>
      </w:r>
      <w:r w:rsidR="00902FDF" w:rsidRPr="007F0E49">
        <w:rPr>
          <w:rFonts w:ascii="Arial" w:hAnsi="Arial" w:cs="Arial"/>
          <w:sz w:val="22"/>
          <w:szCs w:val="22"/>
        </w:rPr>
        <w:t xml:space="preserve">i odnose se na </w:t>
      </w:r>
      <w:r w:rsidR="00DE1DB7" w:rsidRPr="007F0E49">
        <w:rPr>
          <w:rFonts w:ascii="Arial" w:hAnsi="Arial" w:cs="Arial"/>
          <w:sz w:val="22"/>
          <w:szCs w:val="22"/>
        </w:rPr>
        <w:t>kapitaln</w:t>
      </w:r>
      <w:r w:rsidR="00902FDF" w:rsidRPr="007F0E49">
        <w:rPr>
          <w:rFonts w:ascii="Arial" w:hAnsi="Arial" w:cs="Arial"/>
          <w:sz w:val="22"/>
          <w:szCs w:val="22"/>
        </w:rPr>
        <w:t>a</w:t>
      </w:r>
      <w:r w:rsidR="00DE1DB7" w:rsidRPr="007F0E49">
        <w:rPr>
          <w:rFonts w:ascii="Arial" w:hAnsi="Arial" w:cs="Arial"/>
          <w:sz w:val="22"/>
          <w:szCs w:val="22"/>
        </w:rPr>
        <w:t xml:space="preserve"> ulaganja u svrhu dokapitalizacije tj. </w:t>
      </w:r>
      <w:r w:rsidR="00C54830" w:rsidRPr="007F0E49">
        <w:rPr>
          <w:rFonts w:ascii="Arial" w:hAnsi="Arial" w:cs="Arial"/>
          <w:sz w:val="22"/>
          <w:szCs w:val="22"/>
        </w:rPr>
        <w:t>povećanj</w:t>
      </w:r>
      <w:r w:rsidR="00DE1DB7" w:rsidRPr="007F0E49">
        <w:rPr>
          <w:rFonts w:ascii="Arial" w:hAnsi="Arial" w:cs="Arial"/>
          <w:sz w:val="22"/>
          <w:szCs w:val="22"/>
        </w:rPr>
        <w:t>a</w:t>
      </w:r>
      <w:r w:rsidR="00C54830" w:rsidRPr="007F0E49">
        <w:rPr>
          <w:rFonts w:ascii="Arial" w:hAnsi="Arial" w:cs="Arial"/>
          <w:sz w:val="22"/>
          <w:szCs w:val="22"/>
        </w:rPr>
        <w:t xml:space="preserve"> poslovnog udjela Grada Rijeke</w:t>
      </w:r>
      <w:r w:rsidR="00886E02" w:rsidRPr="007F0E49">
        <w:rPr>
          <w:rFonts w:ascii="Arial" w:hAnsi="Arial" w:cs="Arial"/>
          <w:sz w:val="22"/>
          <w:szCs w:val="22"/>
        </w:rPr>
        <w:t xml:space="preserve"> u temeljnom kapitalu trgovačkih</w:t>
      </w:r>
      <w:r w:rsidR="00C54830" w:rsidRPr="007F0E49">
        <w:rPr>
          <w:rFonts w:ascii="Arial" w:hAnsi="Arial" w:cs="Arial"/>
          <w:sz w:val="22"/>
          <w:szCs w:val="22"/>
        </w:rPr>
        <w:t xml:space="preserve"> društ</w:t>
      </w:r>
      <w:r w:rsidR="00886E02" w:rsidRPr="007F0E49">
        <w:rPr>
          <w:rFonts w:ascii="Arial" w:hAnsi="Arial" w:cs="Arial"/>
          <w:sz w:val="22"/>
          <w:szCs w:val="22"/>
        </w:rPr>
        <w:t>a</w:t>
      </w:r>
      <w:r w:rsidR="00C54830" w:rsidRPr="007F0E49">
        <w:rPr>
          <w:rFonts w:ascii="Arial" w:hAnsi="Arial" w:cs="Arial"/>
          <w:sz w:val="22"/>
          <w:szCs w:val="22"/>
        </w:rPr>
        <w:t>va</w:t>
      </w:r>
      <w:r w:rsidR="001470F6" w:rsidRPr="007F0E49">
        <w:rPr>
          <w:rFonts w:ascii="Arial" w:hAnsi="Arial" w:cs="Arial"/>
          <w:sz w:val="22"/>
          <w:szCs w:val="22"/>
        </w:rPr>
        <w:t xml:space="preserve"> </w:t>
      </w:r>
      <w:r w:rsidR="007725BA" w:rsidRPr="007F0E49">
        <w:rPr>
          <w:rFonts w:ascii="Arial" w:hAnsi="Arial" w:cs="Arial"/>
          <w:sz w:val="22"/>
          <w:szCs w:val="22"/>
        </w:rPr>
        <w:t>(</w:t>
      </w:r>
      <w:r w:rsidR="00702E32" w:rsidRPr="007F0E49">
        <w:rPr>
          <w:rFonts w:ascii="Arial" w:hAnsi="Arial" w:cs="Arial"/>
          <w:sz w:val="22"/>
          <w:szCs w:val="22"/>
        </w:rPr>
        <w:t>Energo</w:t>
      </w:r>
      <w:r w:rsidR="007725BA" w:rsidRPr="007F0E49">
        <w:rPr>
          <w:rFonts w:ascii="Arial" w:hAnsi="Arial" w:cs="Arial"/>
          <w:sz w:val="22"/>
          <w:szCs w:val="22"/>
        </w:rPr>
        <w:t xml:space="preserve"> d.o.o.</w:t>
      </w:r>
      <w:r w:rsidR="001470F6" w:rsidRPr="007F0E49">
        <w:rPr>
          <w:rFonts w:ascii="Arial" w:hAnsi="Arial" w:cs="Arial"/>
          <w:sz w:val="22"/>
          <w:szCs w:val="22"/>
        </w:rPr>
        <w:t xml:space="preserve"> </w:t>
      </w:r>
      <w:r w:rsidR="00702E32" w:rsidRPr="007F0E49">
        <w:rPr>
          <w:rFonts w:ascii="Arial" w:hAnsi="Arial" w:cs="Arial"/>
          <w:sz w:val="22"/>
          <w:szCs w:val="22"/>
        </w:rPr>
        <w:t>,</w:t>
      </w:r>
      <w:r w:rsidR="00886E02" w:rsidRPr="007F0E49">
        <w:rPr>
          <w:rFonts w:ascii="Arial" w:hAnsi="Arial" w:cs="Arial"/>
          <w:sz w:val="22"/>
          <w:szCs w:val="22"/>
        </w:rPr>
        <w:t xml:space="preserve"> </w:t>
      </w:r>
      <w:r w:rsidR="00702E32" w:rsidRPr="007F0E49">
        <w:rPr>
          <w:rFonts w:ascii="Arial" w:hAnsi="Arial" w:cs="Arial"/>
          <w:sz w:val="22"/>
          <w:szCs w:val="22"/>
        </w:rPr>
        <w:t xml:space="preserve">Rijeka plus </w:t>
      </w:r>
      <w:r w:rsidR="007725BA" w:rsidRPr="007F0E49">
        <w:rPr>
          <w:rFonts w:ascii="Arial" w:hAnsi="Arial" w:cs="Arial"/>
          <w:sz w:val="22"/>
          <w:szCs w:val="22"/>
        </w:rPr>
        <w:t xml:space="preserve">d.o.o. </w:t>
      </w:r>
      <w:r w:rsidR="00702E32" w:rsidRPr="007F0E49">
        <w:rPr>
          <w:rFonts w:ascii="Arial" w:hAnsi="Arial" w:cs="Arial"/>
          <w:sz w:val="22"/>
          <w:szCs w:val="22"/>
        </w:rPr>
        <w:t>i Kanal RI</w:t>
      </w:r>
      <w:r w:rsidR="007725BA" w:rsidRPr="007F0E49">
        <w:rPr>
          <w:rFonts w:ascii="Arial" w:hAnsi="Arial" w:cs="Arial"/>
          <w:sz w:val="22"/>
          <w:szCs w:val="22"/>
        </w:rPr>
        <w:t xml:space="preserve"> d.o.o.</w:t>
      </w:r>
      <w:r w:rsidR="00702E32" w:rsidRPr="007F0E49">
        <w:rPr>
          <w:rFonts w:ascii="Arial" w:hAnsi="Arial" w:cs="Arial"/>
          <w:sz w:val="22"/>
          <w:szCs w:val="22"/>
        </w:rPr>
        <w:t>).</w:t>
      </w:r>
    </w:p>
    <w:p w:rsidR="000E69DA" w:rsidRPr="007F0E49" w:rsidRDefault="000E69DA" w:rsidP="000E69DA">
      <w:pPr>
        <w:jc w:val="both"/>
        <w:rPr>
          <w:rFonts w:ascii="Arial" w:hAnsi="Arial" w:cs="Arial"/>
          <w:sz w:val="22"/>
          <w:szCs w:val="22"/>
        </w:rPr>
      </w:pPr>
    </w:p>
    <w:p w:rsidR="000E69DA" w:rsidRPr="007F0E49" w:rsidRDefault="000E69DA" w:rsidP="000E69DA">
      <w:pPr>
        <w:jc w:val="both"/>
        <w:rPr>
          <w:rFonts w:ascii="Arial" w:hAnsi="Arial" w:cs="Arial"/>
          <w:color w:val="FF0000"/>
          <w:sz w:val="22"/>
          <w:szCs w:val="22"/>
        </w:rPr>
      </w:pPr>
      <w:r w:rsidRPr="007F0E49">
        <w:rPr>
          <w:rFonts w:ascii="Arial" w:hAnsi="Arial" w:cs="Arial"/>
          <w:i/>
          <w:color w:val="000000"/>
          <w:sz w:val="22"/>
          <w:szCs w:val="22"/>
          <w:u w:val="single"/>
        </w:rPr>
        <w:t>Izdaci za otplatu glavnice priml</w:t>
      </w:r>
      <w:r w:rsidR="002756BB" w:rsidRPr="007F0E49">
        <w:rPr>
          <w:rFonts w:ascii="Arial" w:hAnsi="Arial" w:cs="Arial"/>
          <w:i/>
          <w:color w:val="000000"/>
          <w:sz w:val="22"/>
          <w:szCs w:val="22"/>
          <w:u w:val="single"/>
        </w:rPr>
        <w:t>jenih kredita i zajmova (</w:t>
      </w:r>
      <w:r w:rsidR="00702E32" w:rsidRPr="007F0E49">
        <w:rPr>
          <w:rFonts w:ascii="Arial" w:hAnsi="Arial" w:cs="Arial"/>
          <w:i/>
          <w:color w:val="000000"/>
          <w:sz w:val="22"/>
          <w:szCs w:val="22"/>
          <w:u w:val="single"/>
        </w:rPr>
        <w:t>54</w:t>
      </w:r>
      <w:r w:rsidRPr="007F0E49">
        <w:rPr>
          <w:rFonts w:ascii="Arial" w:hAnsi="Arial" w:cs="Arial"/>
          <w:i/>
          <w:color w:val="000000"/>
          <w:sz w:val="22"/>
          <w:szCs w:val="22"/>
          <w:u w:val="single"/>
        </w:rPr>
        <w:t>)</w:t>
      </w:r>
      <w:r w:rsidRPr="007F0E49">
        <w:rPr>
          <w:rFonts w:ascii="Arial" w:hAnsi="Arial" w:cs="Arial"/>
          <w:b/>
          <w:color w:val="000000"/>
          <w:sz w:val="22"/>
          <w:szCs w:val="22"/>
        </w:rPr>
        <w:t xml:space="preserve"> </w:t>
      </w:r>
      <w:r w:rsidRPr="007F0E49">
        <w:rPr>
          <w:rFonts w:ascii="Arial" w:hAnsi="Arial" w:cs="Arial"/>
          <w:color w:val="000000"/>
          <w:sz w:val="22"/>
          <w:szCs w:val="22"/>
        </w:rPr>
        <w:t xml:space="preserve">odnose se na otplatu glavnice po osnovi primljenih </w:t>
      </w:r>
      <w:r w:rsidR="00290544" w:rsidRPr="007F0E49">
        <w:rPr>
          <w:rFonts w:ascii="Arial" w:hAnsi="Arial" w:cs="Arial"/>
          <w:color w:val="000000"/>
          <w:sz w:val="22"/>
          <w:szCs w:val="22"/>
        </w:rPr>
        <w:t xml:space="preserve">dugoročnih </w:t>
      </w:r>
      <w:r w:rsidRPr="007F0E49">
        <w:rPr>
          <w:rFonts w:ascii="Arial" w:hAnsi="Arial" w:cs="Arial"/>
          <w:color w:val="000000"/>
          <w:sz w:val="22"/>
          <w:szCs w:val="22"/>
        </w:rPr>
        <w:t>kredita i zajmova. Više o ovim izdacima opisano je uz Bilješku broj 4 uz Bilancu.</w:t>
      </w:r>
    </w:p>
    <w:p w:rsidR="00CF0BFE" w:rsidRPr="007F0E49" w:rsidRDefault="00CF0BFE" w:rsidP="000E69DA">
      <w:pPr>
        <w:tabs>
          <w:tab w:val="left" w:pos="284"/>
          <w:tab w:val="left" w:pos="567"/>
          <w:tab w:val="left" w:pos="851"/>
        </w:tabs>
        <w:ind w:left="1440" w:hanging="1440"/>
        <w:jc w:val="both"/>
        <w:rPr>
          <w:rFonts w:ascii="Arial" w:hAnsi="Arial" w:cs="Arial"/>
          <w:b/>
          <w:sz w:val="22"/>
          <w:szCs w:val="22"/>
        </w:rPr>
      </w:pPr>
    </w:p>
    <w:p w:rsidR="00301AA3" w:rsidRPr="007F0E49" w:rsidRDefault="00301AA3" w:rsidP="000E69DA">
      <w:pPr>
        <w:tabs>
          <w:tab w:val="left" w:pos="284"/>
          <w:tab w:val="left" w:pos="567"/>
          <w:tab w:val="left" w:pos="851"/>
        </w:tabs>
        <w:ind w:left="1440" w:hanging="1440"/>
        <w:jc w:val="both"/>
        <w:rPr>
          <w:rFonts w:ascii="Arial" w:hAnsi="Arial" w:cs="Arial"/>
          <w:b/>
          <w:sz w:val="22"/>
          <w:szCs w:val="22"/>
        </w:rPr>
      </w:pPr>
    </w:p>
    <w:p w:rsidR="000E69DA" w:rsidRPr="007F0E49" w:rsidRDefault="000E69DA" w:rsidP="000E69DA">
      <w:pPr>
        <w:tabs>
          <w:tab w:val="left" w:pos="284"/>
          <w:tab w:val="left" w:pos="567"/>
          <w:tab w:val="left" w:pos="851"/>
        </w:tabs>
        <w:ind w:left="1440" w:hanging="1440"/>
        <w:jc w:val="both"/>
        <w:rPr>
          <w:rFonts w:ascii="Arial" w:hAnsi="Arial" w:cs="Arial"/>
          <w:b/>
          <w:sz w:val="22"/>
          <w:szCs w:val="22"/>
        </w:rPr>
      </w:pPr>
      <w:r w:rsidRPr="007F0E49">
        <w:rPr>
          <w:rFonts w:ascii="Arial" w:hAnsi="Arial" w:cs="Arial"/>
          <w:b/>
          <w:sz w:val="22"/>
          <w:szCs w:val="22"/>
        </w:rPr>
        <w:t>Bilješka broj 1</w:t>
      </w:r>
      <w:r w:rsidR="00572BF3" w:rsidRPr="007F0E49">
        <w:rPr>
          <w:rFonts w:ascii="Arial" w:hAnsi="Arial" w:cs="Arial"/>
          <w:b/>
          <w:sz w:val="22"/>
          <w:szCs w:val="22"/>
        </w:rPr>
        <w:t>8</w:t>
      </w:r>
      <w:r w:rsidR="00962B25" w:rsidRPr="007F0E49">
        <w:rPr>
          <w:rFonts w:ascii="Arial" w:hAnsi="Arial" w:cs="Arial"/>
          <w:b/>
          <w:sz w:val="22"/>
          <w:szCs w:val="22"/>
        </w:rPr>
        <w:t xml:space="preserve"> – </w:t>
      </w:r>
      <w:r w:rsidR="00702E32" w:rsidRPr="007F0E49">
        <w:rPr>
          <w:rFonts w:ascii="Arial" w:hAnsi="Arial" w:cs="Arial"/>
          <w:b/>
          <w:sz w:val="22"/>
          <w:szCs w:val="22"/>
        </w:rPr>
        <w:t>X005</w:t>
      </w:r>
      <w:r w:rsidRPr="007F0E49">
        <w:rPr>
          <w:rFonts w:ascii="Arial" w:hAnsi="Arial" w:cs="Arial"/>
          <w:b/>
          <w:sz w:val="22"/>
          <w:szCs w:val="22"/>
        </w:rPr>
        <w:t xml:space="preserve">  VIŠAK PRIHODA I PRIMITAKA </w:t>
      </w:r>
    </w:p>
    <w:p w:rsidR="000E69DA" w:rsidRPr="007F0E49" w:rsidRDefault="000E69DA" w:rsidP="000E69DA">
      <w:pPr>
        <w:rPr>
          <w:rFonts w:ascii="Arial" w:hAnsi="Arial" w:cs="Arial"/>
          <w:sz w:val="22"/>
          <w:szCs w:val="22"/>
        </w:rPr>
      </w:pPr>
    </w:p>
    <w:p w:rsidR="000E69DA" w:rsidRPr="007F0E49" w:rsidRDefault="000E69DA" w:rsidP="000E69DA">
      <w:pPr>
        <w:jc w:val="both"/>
        <w:rPr>
          <w:rFonts w:ascii="Arial" w:hAnsi="Arial" w:cs="Arial"/>
          <w:sz w:val="22"/>
          <w:szCs w:val="22"/>
        </w:rPr>
      </w:pPr>
      <w:r w:rsidRPr="007F0E49">
        <w:rPr>
          <w:rFonts w:ascii="Arial" w:hAnsi="Arial" w:cs="Arial"/>
          <w:sz w:val="22"/>
          <w:szCs w:val="22"/>
        </w:rPr>
        <w:t xml:space="preserve">U izvještajnom razdoblju ostvaren je ukupan višak prihoda i primitaka u iznosu </w:t>
      </w:r>
      <w:r w:rsidR="00702E32" w:rsidRPr="007F0E49">
        <w:rPr>
          <w:rFonts w:ascii="Arial" w:hAnsi="Arial" w:cs="Arial"/>
          <w:b/>
          <w:sz w:val="22"/>
          <w:szCs w:val="22"/>
        </w:rPr>
        <w:t>91.863.544,13</w:t>
      </w:r>
      <w:r w:rsidR="002756BB" w:rsidRPr="007F0E49">
        <w:rPr>
          <w:rFonts w:ascii="Arial" w:hAnsi="Arial" w:cs="Arial"/>
          <w:b/>
          <w:sz w:val="22"/>
          <w:szCs w:val="22"/>
        </w:rPr>
        <w:t xml:space="preserve"> </w:t>
      </w:r>
      <w:r w:rsidRPr="007F0E49">
        <w:rPr>
          <w:rFonts w:ascii="Arial" w:hAnsi="Arial" w:cs="Arial"/>
          <w:sz w:val="22"/>
          <w:szCs w:val="22"/>
        </w:rPr>
        <w:t>kn i prije propisanog prebijanja viškova manjkova i konačne korekcije rezultata, proizašao je iz:</w:t>
      </w:r>
    </w:p>
    <w:p w:rsidR="000E69DA" w:rsidRPr="007F0E49" w:rsidRDefault="000E69DA" w:rsidP="000E69DA">
      <w:pPr>
        <w:jc w:val="both"/>
        <w:rPr>
          <w:rFonts w:ascii="Arial" w:hAnsi="Arial" w:cs="Arial"/>
          <w:sz w:val="22"/>
          <w:szCs w:val="22"/>
        </w:rPr>
      </w:pPr>
    </w:p>
    <w:p w:rsidR="000E69DA" w:rsidRPr="007F0E49" w:rsidRDefault="000E69DA" w:rsidP="00D907B7">
      <w:pPr>
        <w:numPr>
          <w:ilvl w:val="0"/>
          <w:numId w:val="5"/>
        </w:numPr>
        <w:jc w:val="both"/>
        <w:rPr>
          <w:rFonts w:ascii="Arial" w:hAnsi="Arial" w:cs="Arial"/>
          <w:sz w:val="22"/>
          <w:szCs w:val="22"/>
        </w:rPr>
      </w:pPr>
      <w:r w:rsidRPr="007F0E49">
        <w:rPr>
          <w:rFonts w:ascii="Arial" w:hAnsi="Arial" w:cs="Arial"/>
          <w:sz w:val="22"/>
          <w:szCs w:val="22"/>
        </w:rPr>
        <w:t>višk</w:t>
      </w:r>
      <w:r w:rsidR="002756BB" w:rsidRPr="007F0E49">
        <w:rPr>
          <w:rFonts w:ascii="Arial" w:hAnsi="Arial" w:cs="Arial"/>
          <w:sz w:val="22"/>
          <w:szCs w:val="22"/>
        </w:rPr>
        <w:t>a prihoda od poslovanja (</w:t>
      </w:r>
      <w:r w:rsidR="00702E32" w:rsidRPr="007F0E49">
        <w:rPr>
          <w:rFonts w:ascii="Arial" w:hAnsi="Arial" w:cs="Arial"/>
          <w:sz w:val="22"/>
          <w:szCs w:val="22"/>
        </w:rPr>
        <w:t>X001</w:t>
      </w:r>
      <w:r w:rsidRPr="007F0E49">
        <w:rPr>
          <w:rFonts w:ascii="Arial" w:hAnsi="Arial" w:cs="Arial"/>
          <w:sz w:val="22"/>
          <w:szCs w:val="22"/>
        </w:rPr>
        <w:t>)</w:t>
      </w:r>
      <w:r w:rsidRPr="007F0E49">
        <w:rPr>
          <w:rFonts w:ascii="Arial" w:hAnsi="Arial" w:cs="Arial"/>
          <w:sz w:val="22"/>
          <w:szCs w:val="22"/>
        </w:rPr>
        <w:tab/>
      </w:r>
      <w:r w:rsidRPr="007F0E49">
        <w:rPr>
          <w:rFonts w:ascii="Arial" w:hAnsi="Arial" w:cs="Arial"/>
          <w:sz w:val="22"/>
          <w:szCs w:val="22"/>
        </w:rPr>
        <w:tab/>
      </w:r>
      <w:r w:rsidRPr="007F0E49">
        <w:rPr>
          <w:rFonts w:ascii="Arial" w:hAnsi="Arial" w:cs="Arial"/>
          <w:sz w:val="22"/>
          <w:szCs w:val="22"/>
        </w:rPr>
        <w:tab/>
      </w:r>
      <w:r w:rsidRPr="007F0E49">
        <w:rPr>
          <w:rFonts w:ascii="Arial" w:hAnsi="Arial" w:cs="Arial"/>
          <w:sz w:val="22"/>
          <w:szCs w:val="22"/>
        </w:rPr>
        <w:tab/>
      </w:r>
      <w:r w:rsidR="00840216" w:rsidRPr="007F0E49">
        <w:rPr>
          <w:rFonts w:ascii="Arial" w:hAnsi="Arial" w:cs="Arial"/>
          <w:sz w:val="22"/>
          <w:szCs w:val="22"/>
        </w:rPr>
        <w:t xml:space="preserve"> </w:t>
      </w:r>
      <w:r w:rsidR="00D5481C">
        <w:rPr>
          <w:rFonts w:ascii="Arial" w:hAnsi="Arial" w:cs="Arial"/>
          <w:sz w:val="22"/>
          <w:szCs w:val="22"/>
        </w:rPr>
        <w:tab/>
        <w:t xml:space="preserve">   </w:t>
      </w:r>
      <w:r w:rsidR="00702E32" w:rsidRPr="007F0E49">
        <w:rPr>
          <w:rFonts w:ascii="Arial" w:hAnsi="Arial" w:cs="Arial"/>
          <w:sz w:val="22"/>
          <w:szCs w:val="22"/>
        </w:rPr>
        <w:t>181.543.511,32</w:t>
      </w:r>
      <w:r w:rsidRPr="007F0E49">
        <w:rPr>
          <w:rFonts w:ascii="Arial" w:hAnsi="Arial" w:cs="Arial"/>
          <w:sz w:val="22"/>
          <w:szCs w:val="22"/>
        </w:rPr>
        <w:t xml:space="preserve"> kn</w:t>
      </w:r>
    </w:p>
    <w:p w:rsidR="000E69DA" w:rsidRPr="007F0E49" w:rsidRDefault="000E69DA" w:rsidP="00D907B7">
      <w:pPr>
        <w:numPr>
          <w:ilvl w:val="0"/>
          <w:numId w:val="5"/>
        </w:numPr>
        <w:jc w:val="both"/>
        <w:rPr>
          <w:rFonts w:ascii="Arial" w:hAnsi="Arial" w:cs="Arial"/>
          <w:sz w:val="22"/>
          <w:szCs w:val="22"/>
        </w:rPr>
      </w:pPr>
      <w:r w:rsidRPr="007F0E49">
        <w:rPr>
          <w:rFonts w:ascii="Arial" w:hAnsi="Arial" w:cs="Arial"/>
          <w:sz w:val="22"/>
          <w:szCs w:val="22"/>
        </w:rPr>
        <w:t>manjka prihoda o</w:t>
      </w:r>
      <w:r w:rsidR="002756BB" w:rsidRPr="007F0E49">
        <w:rPr>
          <w:rFonts w:ascii="Arial" w:hAnsi="Arial" w:cs="Arial"/>
          <w:sz w:val="22"/>
          <w:szCs w:val="22"/>
        </w:rPr>
        <w:t>d nefinancijske imovine (</w:t>
      </w:r>
      <w:r w:rsidR="00702E32" w:rsidRPr="007F0E49">
        <w:rPr>
          <w:rFonts w:ascii="Arial" w:hAnsi="Arial" w:cs="Arial"/>
          <w:sz w:val="22"/>
          <w:szCs w:val="22"/>
        </w:rPr>
        <w:t>Y002</w:t>
      </w:r>
      <w:r w:rsidRPr="007F0E49">
        <w:rPr>
          <w:rFonts w:ascii="Arial" w:hAnsi="Arial" w:cs="Arial"/>
          <w:sz w:val="22"/>
          <w:szCs w:val="22"/>
        </w:rPr>
        <w:t>)</w:t>
      </w:r>
      <w:r w:rsidRPr="007F0E49">
        <w:rPr>
          <w:rFonts w:ascii="Arial" w:hAnsi="Arial" w:cs="Arial"/>
          <w:sz w:val="22"/>
          <w:szCs w:val="22"/>
        </w:rPr>
        <w:tab/>
      </w:r>
      <w:r w:rsidRPr="007F0E49">
        <w:rPr>
          <w:rFonts w:ascii="Arial" w:hAnsi="Arial" w:cs="Arial"/>
          <w:sz w:val="22"/>
          <w:szCs w:val="22"/>
        </w:rPr>
        <w:tab/>
      </w:r>
      <w:r w:rsidR="002756BB" w:rsidRPr="007F0E49">
        <w:rPr>
          <w:rFonts w:ascii="Arial" w:hAnsi="Arial" w:cs="Arial"/>
          <w:sz w:val="22"/>
          <w:szCs w:val="22"/>
        </w:rPr>
        <w:t xml:space="preserve"> </w:t>
      </w:r>
      <w:r w:rsidR="00702E32" w:rsidRPr="007F0E49">
        <w:rPr>
          <w:rFonts w:ascii="Arial" w:hAnsi="Arial" w:cs="Arial"/>
          <w:sz w:val="22"/>
          <w:szCs w:val="22"/>
        </w:rPr>
        <w:t xml:space="preserve">             </w:t>
      </w:r>
      <w:r w:rsidR="00D5481C">
        <w:rPr>
          <w:rFonts w:ascii="Arial" w:hAnsi="Arial" w:cs="Arial"/>
          <w:sz w:val="22"/>
          <w:szCs w:val="22"/>
        </w:rPr>
        <w:t xml:space="preserve"> </w:t>
      </w:r>
      <w:r w:rsidR="002756BB" w:rsidRPr="007F0E49">
        <w:rPr>
          <w:rFonts w:ascii="Arial" w:hAnsi="Arial" w:cs="Arial"/>
          <w:sz w:val="22"/>
          <w:szCs w:val="22"/>
        </w:rPr>
        <w:t xml:space="preserve">- </w:t>
      </w:r>
      <w:r w:rsidR="00702E32" w:rsidRPr="007F0E49">
        <w:rPr>
          <w:rFonts w:ascii="Arial" w:hAnsi="Arial" w:cs="Arial"/>
          <w:sz w:val="22"/>
          <w:szCs w:val="22"/>
        </w:rPr>
        <w:t>35.356.577,66</w:t>
      </w:r>
      <w:r w:rsidRPr="007F0E49">
        <w:rPr>
          <w:rFonts w:ascii="Arial" w:hAnsi="Arial" w:cs="Arial"/>
          <w:sz w:val="22"/>
          <w:szCs w:val="22"/>
        </w:rPr>
        <w:t xml:space="preserve"> kn</w:t>
      </w:r>
    </w:p>
    <w:p w:rsidR="000E69DA" w:rsidRPr="007F0E49" w:rsidRDefault="002756BB" w:rsidP="00D907B7">
      <w:pPr>
        <w:numPr>
          <w:ilvl w:val="0"/>
          <w:numId w:val="5"/>
        </w:numPr>
        <w:jc w:val="both"/>
        <w:rPr>
          <w:rFonts w:ascii="Arial" w:hAnsi="Arial" w:cs="Arial"/>
          <w:sz w:val="22"/>
          <w:szCs w:val="22"/>
        </w:rPr>
      </w:pPr>
      <w:r w:rsidRPr="007F0E49">
        <w:rPr>
          <w:rFonts w:ascii="Arial" w:hAnsi="Arial" w:cs="Arial"/>
          <w:sz w:val="22"/>
          <w:szCs w:val="22"/>
        </w:rPr>
        <w:t>manjak</w:t>
      </w:r>
      <w:r w:rsidR="000E69DA" w:rsidRPr="007F0E49">
        <w:rPr>
          <w:rFonts w:ascii="Arial" w:hAnsi="Arial" w:cs="Arial"/>
          <w:sz w:val="22"/>
          <w:szCs w:val="22"/>
        </w:rPr>
        <w:t xml:space="preserve"> primitaka od fin</w:t>
      </w:r>
      <w:r w:rsidRPr="007F0E49">
        <w:rPr>
          <w:rFonts w:ascii="Arial" w:hAnsi="Arial" w:cs="Arial"/>
          <w:sz w:val="22"/>
          <w:szCs w:val="22"/>
        </w:rPr>
        <w:t>ancijske imovine</w:t>
      </w:r>
      <w:r w:rsidR="00994CFF" w:rsidRPr="007F0E49">
        <w:rPr>
          <w:rFonts w:ascii="Arial" w:hAnsi="Arial" w:cs="Arial"/>
          <w:sz w:val="22"/>
          <w:szCs w:val="22"/>
        </w:rPr>
        <w:t xml:space="preserve"> i zaduživanja</w:t>
      </w:r>
      <w:r w:rsidRPr="007F0E49">
        <w:rPr>
          <w:rFonts w:ascii="Arial" w:hAnsi="Arial" w:cs="Arial"/>
          <w:sz w:val="22"/>
          <w:szCs w:val="22"/>
        </w:rPr>
        <w:t xml:space="preserve"> (</w:t>
      </w:r>
      <w:r w:rsidR="008D68B2" w:rsidRPr="007F0E49">
        <w:rPr>
          <w:rFonts w:ascii="Arial" w:hAnsi="Arial" w:cs="Arial"/>
          <w:sz w:val="22"/>
          <w:szCs w:val="22"/>
        </w:rPr>
        <w:t>Y003</w:t>
      </w:r>
      <w:r w:rsidRPr="007F0E49">
        <w:rPr>
          <w:rFonts w:ascii="Arial" w:hAnsi="Arial" w:cs="Arial"/>
          <w:sz w:val="22"/>
          <w:szCs w:val="22"/>
        </w:rPr>
        <w:t>)</w:t>
      </w:r>
      <w:r w:rsidRPr="007F0E49">
        <w:rPr>
          <w:rFonts w:ascii="Arial" w:hAnsi="Arial" w:cs="Arial"/>
          <w:sz w:val="22"/>
          <w:szCs w:val="22"/>
        </w:rPr>
        <w:tab/>
      </w:r>
      <w:r w:rsidR="008D68B2" w:rsidRPr="007F0E49">
        <w:rPr>
          <w:rFonts w:ascii="Arial" w:hAnsi="Arial" w:cs="Arial"/>
          <w:sz w:val="22"/>
          <w:szCs w:val="22"/>
        </w:rPr>
        <w:t xml:space="preserve"> </w:t>
      </w:r>
      <w:r w:rsidR="00D5481C">
        <w:rPr>
          <w:rFonts w:ascii="Arial" w:hAnsi="Arial" w:cs="Arial"/>
          <w:sz w:val="22"/>
          <w:szCs w:val="22"/>
        </w:rPr>
        <w:t xml:space="preserve">  </w:t>
      </w:r>
      <w:r w:rsidRPr="007F0E49">
        <w:rPr>
          <w:rFonts w:ascii="Arial" w:hAnsi="Arial" w:cs="Arial"/>
          <w:sz w:val="22"/>
          <w:szCs w:val="22"/>
        </w:rPr>
        <w:t xml:space="preserve">- </w:t>
      </w:r>
      <w:r w:rsidR="008D68B2" w:rsidRPr="007F0E49">
        <w:rPr>
          <w:rFonts w:ascii="Arial" w:hAnsi="Arial" w:cs="Arial"/>
          <w:sz w:val="22"/>
          <w:szCs w:val="22"/>
        </w:rPr>
        <w:t>54.323.389,53</w:t>
      </w:r>
      <w:r w:rsidR="00840216" w:rsidRPr="007F0E49">
        <w:rPr>
          <w:rFonts w:ascii="Arial" w:hAnsi="Arial" w:cs="Arial"/>
          <w:sz w:val="22"/>
          <w:szCs w:val="22"/>
        </w:rPr>
        <w:t xml:space="preserve"> </w:t>
      </w:r>
      <w:r w:rsidR="000E69DA" w:rsidRPr="007F0E49">
        <w:rPr>
          <w:rFonts w:ascii="Arial" w:hAnsi="Arial" w:cs="Arial"/>
          <w:sz w:val="22"/>
          <w:szCs w:val="22"/>
        </w:rPr>
        <w:t>kn</w:t>
      </w:r>
    </w:p>
    <w:p w:rsidR="00C62BC5" w:rsidRPr="007F0E49" w:rsidRDefault="00C62BC5" w:rsidP="000E69DA">
      <w:pPr>
        <w:jc w:val="both"/>
        <w:rPr>
          <w:rFonts w:ascii="Arial" w:hAnsi="Arial" w:cs="Arial"/>
          <w:sz w:val="22"/>
          <w:szCs w:val="22"/>
        </w:rPr>
      </w:pPr>
    </w:p>
    <w:p w:rsidR="000E69DA" w:rsidRPr="007F0E49" w:rsidRDefault="000E69DA" w:rsidP="000E69DA">
      <w:pPr>
        <w:jc w:val="both"/>
        <w:rPr>
          <w:rFonts w:ascii="Arial" w:hAnsi="Arial" w:cs="Arial"/>
          <w:sz w:val="22"/>
          <w:szCs w:val="22"/>
        </w:rPr>
      </w:pPr>
    </w:p>
    <w:p w:rsidR="000E69DA" w:rsidRPr="007F0E49" w:rsidRDefault="008D68B2" w:rsidP="000E69DA">
      <w:pPr>
        <w:keepNext/>
        <w:jc w:val="both"/>
        <w:outlineLvl w:val="3"/>
        <w:rPr>
          <w:rFonts w:ascii="Arial" w:hAnsi="Arial" w:cs="Arial"/>
          <w:b/>
          <w:sz w:val="22"/>
          <w:szCs w:val="22"/>
        </w:rPr>
      </w:pPr>
      <w:r w:rsidRPr="007F0E49">
        <w:rPr>
          <w:rFonts w:ascii="Arial" w:hAnsi="Arial" w:cs="Arial"/>
          <w:b/>
          <w:sz w:val="22"/>
          <w:szCs w:val="22"/>
        </w:rPr>
        <w:t>9222-9221</w:t>
      </w:r>
      <w:r w:rsidR="000E69DA" w:rsidRPr="007F0E49">
        <w:rPr>
          <w:rFonts w:ascii="Arial" w:hAnsi="Arial" w:cs="Arial"/>
          <w:b/>
          <w:sz w:val="22"/>
          <w:szCs w:val="22"/>
        </w:rPr>
        <w:t xml:space="preserve"> – MANJAK PRIHODA I PRIMITAKA - PRENESENI </w:t>
      </w:r>
    </w:p>
    <w:p w:rsidR="000E69DA" w:rsidRPr="007F0E49" w:rsidRDefault="000E69DA" w:rsidP="000E69DA">
      <w:pPr>
        <w:jc w:val="both"/>
        <w:rPr>
          <w:rFonts w:ascii="Arial" w:hAnsi="Arial" w:cs="Arial"/>
          <w:sz w:val="22"/>
          <w:szCs w:val="22"/>
        </w:rPr>
      </w:pPr>
    </w:p>
    <w:p w:rsidR="000E69DA" w:rsidRPr="007F0E49" w:rsidRDefault="000E69DA" w:rsidP="000E69DA">
      <w:pPr>
        <w:jc w:val="both"/>
        <w:rPr>
          <w:rFonts w:ascii="Arial" w:hAnsi="Arial" w:cs="Arial"/>
          <w:sz w:val="22"/>
          <w:szCs w:val="22"/>
        </w:rPr>
      </w:pPr>
      <w:r w:rsidRPr="007F0E49">
        <w:rPr>
          <w:rFonts w:ascii="Arial" w:hAnsi="Arial" w:cs="Arial"/>
          <w:sz w:val="22"/>
          <w:szCs w:val="22"/>
        </w:rPr>
        <w:t>Preneseni manjak prihoda iz prethodn</w:t>
      </w:r>
      <w:r w:rsidR="000A16DE" w:rsidRPr="007F0E49">
        <w:rPr>
          <w:rFonts w:ascii="Arial" w:hAnsi="Arial" w:cs="Arial"/>
          <w:sz w:val="22"/>
          <w:szCs w:val="22"/>
        </w:rPr>
        <w:t>ih razdoblja</w:t>
      </w:r>
      <w:r w:rsidRPr="007F0E49">
        <w:rPr>
          <w:rFonts w:ascii="Arial" w:hAnsi="Arial" w:cs="Arial"/>
          <w:sz w:val="22"/>
          <w:szCs w:val="22"/>
        </w:rPr>
        <w:t xml:space="preserve"> iskazan je u iznosu </w:t>
      </w:r>
      <w:r w:rsidR="008D68B2" w:rsidRPr="007F0E49">
        <w:rPr>
          <w:rFonts w:ascii="Arial" w:hAnsi="Arial" w:cs="Arial"/>
          <w:sz w:val="22"/>
          <w:szCs w:val="22"/>
        </w:rPr>
        <w:t>98.948.638,24</w:t>
      </w:r>
      <w:r w:rsidR="0037600B" w:rsidRPr="007F0E49">
        <w:rPr>
          <w:rFonts w:ascii="Arial" w:hAnsi="Arial" w:cs="Arial"/>
          <w:sz w:val="22"/>
          <w:szCs w:val="22"/>
        </w:rPr>
        <w:t xml:space="preserve"> kn, a pr</w:t>
      </w:r>
      <w:r w:rsidR="006659BA" w:rsidRPr="007F0E49">
        <w:rPr>
          <w:rFonts w:ascii="Arial" w:hAnsi="Arial" w:cs="Arial"/>
          <w:sz w:val="22"/>
          <w:szCs w:val="22"/>
        </w:rPr>
        <w:t>o</w:t>
      </w:r>
      <w:r w:rsidR="0037600B" w:rsidRPr="007F0E49">
        <w:rPr>
          <w:rFonts w:ascii="Arial" w:hAnsi="Arial" w:cs="Arial"/>
          <w:sz w:val="22"/>
          <w:szCs w:val="22"/>
        </w:rPr>
        <w:t xml:space="preserve">izlazi od viška prihoda poslovanja u </w:t>
      </w:r>
      <w:r w:rsidR="006659BA" w:rsidRPr="007F0E49">
        <w:rPr>
          <w:rFonts w:ascii="Arial" w:hAnsi="Arial" w:cs="Arial"/>
          <w:sz w:val="22"/>
          <w:szCs w:val="22"/>
        </w:rPr>
        <w:t xml:space="preserve">iznosu od </w:t>
      </w:r>
      <w:r w:rsidR="008D68B2" w:rsidRPr="007F0E49">
        <w:rPr>
          <w:rFonts w:ascii="Arial" w:hAnsi="Arial" w:cs="Arial"/>
          <w:sz w:val="22"/>
          <w:szCs w:val="22"/>
        </w:rPr>
        <w:t>198.635.292,25</w:t>
      </w:r>
      <w:r w:rsidR="006659BA" w:rsidRPr="007F0E49">
        <w:rPr>
          <w:rFonts w:ascii="Arial" w:hAnsi="Arial" w:cs="Arial"/>
          <w:sz w:val="22"/>
          <w:szCs w:val="22"/>
        </w:rPr>
        <w:t xml:space="preserve"> kn</w:t>
      </w:r>
      <w:r w:rsidR="001118BE" w:rsidRPr="007F0E49">
        <w:rPr>
          <w:rFonts w:ascii="Arial" w:hAnsi="Arial" w:cs="Arial"/>
          <w:sz w:val="22"/>
          <w:szCs w:val="22"/>
        </w:rPr>
        <w:t xml:space="preserve">, </w:t>
      </w:r>
      <w:r w:rsidR="008D68B2" w:rsidRPr="007F0E49">
        <w:rPr>
          <w:rFonts w:ascii="Arial" w:hAnsi="Arial" w:cs="Arial"/>
          <w:sz w:val="22"/>
          <w:szCs w:val="22"/>
        </w:rPr>
        <w:t>manjka</w:t>
      </w:r>
      <w:r w:rsidR="0037600B" w:rsidRPr="007F0E49">
        <w:rPr>
          <w:rFonts w:ascii="Arial" w:hAnsi="Arial" w:cs="Arial"/>
          <w:sz w:val="22"/>
          <w:szCs w:val="22"/>
        </w:rPr>
        <w:t xml:space="preserve"> primitka od financijske imovine </w:t>
      </w:r>
      <w:r w:rsidR="008D68B2" w:rsidRPr="007F0E49">
        <w:rPr>
          <w:rFonts w:ascii="Arial" w:hAnsi="Arial" w:cs="Arial"/>
          <w:sz w:val="22"/>
          <w:szCs w:val="22"/>
        </w:rPr>
        <w:t>14.447.744,92</w:t>
      </w:r>
      <w:r w:rsidR="0037600B" w:rsidRPr="007F0E49">
        <w:rPr>
          <w:rFonts w:ascii="Arial" w:hAnsi="Arial" w:cs="Arial"/>
          <w:sz w:val="22"/>
          <w:szCs w:val="22"/>
        </w:rPr>
        <w:t xml:space="preserve"> kn i manjka prihoda od nefinanc</w:t>
      </w:r>
      <w:r w:rsidR="002756BB" w:rsidRPr="007F0E49">
        <w:rPr>
          <w:rFonts w:ascii="Arial" w:hAnsi="Arial" w:cs="Arial"/>
          <w:sz w:val="22"/>
          <w:szCs w:val="22"/>
        </w:rPr>
        <w:t xml:space="preserve">ijske imovine u iznosu od </w:t>
      </w:r>
      <w:r w:rsidR="008D68B2" w:rsidRPr="007F0E49">
        <w:rPr>
          <w:rFonts w:ascii="Arial" w:hAnsi="Arial" w:cs="Arial"/>
          <w:sz w:val="22"/>
          <w:szCs w:val="22"/>
        </w:rPr>
        <w:t>283.136.185,57</w:t>
      </w:r>
      <w:r w:rsidR="0037600B" w:rsidRPr="007F0E49">
        <w:rPr>
          <w:rFonts w:ascii="Arial" w:hAnsi="Arial" w:cs="Arial"/>
          <w:sz w:val="22"/>
          <w:szCs w:val="22"/>
        </w:rPr>
        <w:t xml:space="preserve"> kn.</w:t>
      </w:r>
    </w:p>
    <w:p w:rsidR="00F23CD3" w:rsidRPr="007F0E49" w:rsidRDefault="00F23CD3" w:rsidP="000E69DA">
      <w:pPr>
        <w:jc w:val="both"/>
        <w:rPr>
          <w:rFonts w:ascii="Arial" w:hAnsi="Arial" w:cs="Arial"/>
          <w:sz w:val="22"/>
          <w:szCs w:val="22"/>
        </w:rPr>
      </w:pPr>
    </w:p>
    <w:p w:rsidR="000E69DA" w:rsidRPr="007F0E49" w:rsidRDefault="008D68B2" w:rsidP="000E69DA">
      <w:pPr>
        <w:keepNext/>
        <w:jc w:val="both"/>
        <w:outlineLvl w:val="3"/>
        <w:rPr>
          <w:rFonts w:ascii="Arial" w:hAnsi="Arial" w:cs="Arial"/>
          <w:b/>
          <w:sz w:val="22"/>
          <w:szCs w:val="22"/>
        </w:rPr>
      </w:pPr>
      <w:r w:rsidRPr="007F0E49">
        <w:rPr>
          <w:rFonts w:ascii="Arial" w:hAnsi="Arial" w:cs="Arial"/>
          <w:b/>
          <w:sz w:val="22"/>
          <w:szCs w:val="22"/>
        </w:rPr>
        <w:lastRenderedPageBreak/>
        <w:t>Y006</w:t>
      </w:r>
      <w:r w:rsidR="000E69DA" w:rsidRPr="007F0E49">
        <w:rPr>
          <w:rFonts w:ascii="Arial" w:hAnsi="Arial" w:cs="Arial"/>
          <w:b/>
          <w:sz w:val="22"/>
          <w:szCs w:val="22"/>
        </w:rPr>
        <w:t xml:space="preserve"> – MANJAK PRIH</w:t>
      </w:r>
      <w:r w:rsidR="00C40B57" w:rsidRPr="007F0E49">
        <w:rPr>
          <w:rFonts w:ascii="Arial" w:hAnsi="Arial" w:cs="Arial"/>
          <w:b/>
          <w:sz w:val="22"/>
          <w:szCs w:val="22"/>
        </w:rPr>
        <w:t>ODA I PRIMITAKA ZA POKRIĆE U SL</w:t>
      </w:r>
      <w:r w:rsidR="000E69DA" w:rsidRPr="007F0E49">
        <w:rPr>
          <w:rFonts w:ascii="Arial" w:hAnsi="Arial" w:cs="Arial"/>
          <w:b/>
          <w:sz w:val="22"/>
          <w:szCs w:val="22"/>
        </w:rPr>
        <w:t>JEDEĆEM RAZDOBLJU</w:t>
      </w:r>
    </w:p>
    <w:p w:rsidR="000E69DA" w:rsidRPr="007F0E49" w:rsidRDefault="000E69DA" w:rsidP="000E69DA">
      <w:pPr>
        <w:keepNext/>
        <w:jc w:val="both"/>
        <w:outlineLvl w:val="3"/>
        <w:rPr>
          <w:rFonts w:ascii="Arial" w:hAnsi="Arial" w:cs="Arial"/>
          <w:b/>
          <w:sz w:val="22"/>
          <w:szCs w:val="22"/>
        </w:rPr>
      </w:pPr>
    </w:p>
    <w:p w:rsidR="000E69DA" w:rsidRPr="007F0E49" w:rsidRDefault="000E69DA" w:rsidP="000E69DA">
      <w:pPr>
        <w:jc w:val="both"/>
        <w:rPr>
          <w:rFonts w:ascii="Arial" w:hAnsi="Arial" w:cs="Arial"/>
          <w:sz w:val="22"/>
          <w:szCs w:val="22"/>
        </w:rPr>
      </w:pPr>
      <w:r w:rsidRPr="007F0E49">
        <w:rPr>
          <w:rFonts w:ascii="Arial" w:hAnsi="Arial" w:cs="Arial"/>
          <w:sz w:val="22"/>
          <w:szCs w:val="22"/>
        </w:rPr>
        <w:t xml:space="preserve">Manjak prihoda i primitaka za pokriće u sljedećem razdoblju utvrđen je u iznosu </w:t>
      </w:r>
      <w:r w:rsidR="00B87480" w:rsidRPr="007F0E49">
        <w:rPr>
          <w:rFonts w:ascii="Arial" w:hAnsi="Arial" w:cs="Arial"/>
          <w:sz w:val="22"/>
          <w:szCs w:val="22"/>
        </w:rPr>
        <w:t>7.085.094,11</w:t>
      </w:r>
      <w:r w:rsidRPr="007F0E49">
        <w:rPr>
          <w:rFonts w:ascii="Arial" w:hAnsi="Arial" w:cs="Arial"/>
          <w:sz w:val="22"/>
          <w:szCs w:val="22"/>
        </w:rPr>
        <w:t xml:space="preserve"> kn</w:t>
      </w:r>
      <w:r w:rsidR="00647BE9" w:rsidRPr="007F0E49">
        <w:rPr>
          <w:rFonts w:ascii="Arial" w:hAnsi="Arial" w:cs="Arial"/>
          <w:sz w:val="22"/>
          <w:szCs w:val="22"/>
        </w:rPr>
        <w:t xml:space="preserve">, a rezultat je </w:t>
      </w:r>
      <w:r w:rsidRPr="007F0E49">
        <w:rPr>
          <w:rFonts w:ascii="Arial" w:hAnsi="Arial" w:cs="Arial"/>
          <w:sz w:val="22"/>
          <w:szCs w:val="22"/>
        </w:rPr>
        <w:t xml:space="preserve"> prenesenog man</w:t>
      </w:r>
      <w:r w:rsidR="00FE74CA" w:rsidRPr="007F0E49">
        <w:rPr>
          <w:rFonts w:ascii="Arial" w:hAnsi="Arial" w:cs="Arial"/>
          <w:sz w:val="22"/>
          <w:szCs w:val="22"/>
        </w:rPr>
        <w:t>jka iz prethodne godine (</w:t>
      </w:r>
      <w:r w:rsidR="00B87480" w:rsidRPr="007F0E49">
        <w:rPr>
          <w:rFonts w:ascii="Arial" w:hAnsi="Arial" w:cs="Arial"/>
          <w:sz w:val="22"/>
          <w:szCs w:val="22"/>
        </w:rPr>
        <w:t>9222-9221</w:t>
      </w:r>
      <w:r w:rsidRPr="007F0E49">
        <w:rPr>
          <w:rFonts w:ascii="Arial" w:hAnsi="Arial" w:cs="Arial"/>
          <w:sz w:val="22"/>
          <w:szCs w:val="22"/>
        </w:rPr>
        <w:t xml:space="preserve">) u iznosu </w:t>
      </w:r>
      <w:r w:rsidR="00B87480" w:rsidRPr="007F0E49">
        <w:rPr>
          <w:rFonts w:ascii="Arial" w:hAnsi="Arial" w:cs="Arial"/>
          <w:sz w:val="22"/>
          <w:szCs w:val="22"/>
        </w:rPr>
        <w:t>98.948.638,24</w:t>
      </w:r>
      <w:r w:rsidRPr="007F0E49">
        <w:rPr>
          <w:rFonts w:ascii="Arial" w:hAnsi="Arial" w:cs="Arial"/>
          <w:sz w:val="22"/>
          <w:szCs w:val="22"/>
        </w:rPr>
        <w:t xml:space="preserve"> kn umanjenog za višak prihoda i prim</w:t>
      </w:r>
      <w:r w:rsidR="00FE74CA" w:rsidRPr="007F0E49">
        <w:rPr>
          <w:rFonts w:ascii="Arial" w:hAnsi="Arial" w:cs="Arial"/>
          <w:sz w:val="22"/>
          <w:szCs w:val="22"/>
        </w:rPr>
        <w:t>itaka tekućeg razdoblja (</w:t>
      </w:r>
      <w:r w:rsidR="00B87480" w:rsidRPr="007F0E49">
        <w:rPr>
          <w:rFonts w:ascii="Arial" w:hAnsi="Arial" w:cs="Arial"/>
          <w:sz w:val="22"/>
          <w:szCs w:val="22"/>
        </w:rPr>
        <w:t>X005</w:t>
      </w:r>
      <w:r w:rsidRPr="007F0E49">
        <w:rPr>
          <w:rFonts w:ascii="Arial" w:hAnsi="Arial" w:cs="Arial"/>
          <w:sz w:val="22"/>
          <w:szCs w:val="22"/>
        </w:rPr>
        <w:t xml:space="preserve">) u iznosu </w:t>
      </w:r>
      <w:r w:rsidR="00B87480" w:rsidRPr="007F0E49">
        <w:rPr>
          <w:rFonts w:ascii="Arial" w:hAnsi="Arial" w:cs="Arial"/>
          <w:sz w:val="22"/>
          <w:szCs w:val="22"/>
        </w:rPr>
        <w:t>91.863.544,13</w:t>
      </w:r>
      <w:r w:rsidRPr="007F0E49">
        <w:rPr>
          <w:rFonts w:ascii="Arial" w:hAnsi="Arial" w:cs="Arial"/>
          <w:sz w:val="22"/>
          <w:szCs w:val="22"/>
        </w:rPr>
        <w:t xml:space="preserve"> kn</w:t>
      </w:r>
      <w:r w:rsidR="00B87480" w:rsidRPr="007F0E49">
        <w:rPr>
          <w:rFonts w:ascii="Arial" w:hAnsi="Arial" w:cs="Arial"/>
          <w:sz w:val="22"/>
          <w:szCs w:val="22"/>
        </w:rPr>
        <w:t>.</w:t>
      </w:r>
    </w:p>
    <w:p w:rsidR="00F40A77" w:rsidRPr="007F0E49" w:rsidRDefault="00F40A77" w:rsidP="000E69DA">
      <w:pPr>
        <w:jc w:val="both"/>
        <w:rPr>
          <w:rFonts w:ascii="Arial" w:hAnsi="Arial" w:cs="Arial"/>
          <w:sz w:val="22"/>
          <w:szCs w:val="22"/>
        </w:rPr>
      </w:pPr>
    </w:p>
    <w:p w:rsidR="00647BE9" w:rsidRPr="007F0E49" w:rsidRDefault="00647BE9" w:rsidP="000E69DA">
      <w:pPr>
        <w:jc w:val="both"/>
        <w:rPr>
          <w:rFonts w:ascii="Arial" w:hAnsi="Arial" w:cs="Arial"/>
          <w:sz w:val="22"/>
          <w:szCs w:val="22"/>
        </w:rPr>
      </w:pPr>
      <w:r w:rsidRPr="007F0E49">
        <w:rPr>
          <w:rFonts w:ascii="Arial" w:hAnsi="Arial" w:cs="Arial"/>
          <w:sz w:val="22"/>
          <w:szCs w:val="22"/>
        </w:rPr>
        <w:t>Utvrđeni viškovi i manjkovi izvještajnog razdoblja, zajedno s prenesenim viškovima i manjkovima, naknadno se prebijaju po istovrsnim kategorijama aktivnosti i korigiraju u skladu s člankom 82. Pravilnika o proračunskom računovodstvu i računskom planu. Konačna struktura financijskog rezultata (viškova i manjkova) iskaz</w:t>
      </w:r>
      <w:r w:rsidR="001C7978" w:rsidRPr="007F0E49">
        <w:rPr>
          <w:rFonts w:ascii="Arial" w:hAnsi="Arial" w:cs="Arial"/>
          <w:sz w:val="22"/>
          <w:szCs w:val="22"/>
        </w:rPr>
        <w:t xml:space="preserve">ana </w:t>
      </w:r>
      <w:r w:rsidRPr="007F0E49">
        <w:rPr>
          <w:rFonts w:ascii="Arial" w:hAnsi="Arial" w:cs="Arial"/>
          <w:sz w:val="22"/>
          <w:szCs w:val="22"/>
        </w:rPr>
        <w:t xml:space="preserve">je u Bilanci na 31.12.2022. godine, vidjeti Bilješku </w:t>
      </w:r>
      <w:r w:rsidR="003D2474" w:rsidRPr="007F0E49">
        <w:rPr>
          <w:rFonts w:ascii="Arial" w:hAnsi="Arial" w:cs="Arial"/>
          <w:sz w:val="22"/>
          <w:szCs w:val="22"/>
        </w:rPr>
        <w:t xml:space="preserve">uz Bilancu </w:t>
      </w:r>
      <w:r w:rsidRPr="007F0E49">
        <w:rPr>
          <w:rFonts w:ascii="Arial" w:hAnsi="Arial" w:cs="Arial"/>
          <w:sz w:val="22"/>
          <w:szCs w:val="22"/>
        </w:rPr>
        <w:t xml:space="preserve">broj </w:t>
      </w:r>
      <w:r w:rsidR="003D2474" w:rsidRPr="007F0E49">
        <w:rPr>
          <w:rFonts w:ascii="Arial" w:hAnsi="Arial" w:cs="Arial"/>
          <w:sz w:val="22"/>
          <w:szCs w:val="22"/>
        </w:rPr>
        <w:t>5.</w:t>
      </w:r>
    </w:p>
    <w:p w:rsidR="00647BE9" w:rsidRPr="007F0E49" w:rsidRDefault="00647BE9" w:rsidP="000E69DA">
      <w:pPr>
        <w:jc w:val="both"/>
        <w:rPr>
          <w:rFonts w:ascii="Arial" w:hAnsi="Arial" w:cs="Arial"/>
          <w:sz w:val="22"/>
          <w:szCs w:val="22"/>
        </w:rPr>
      </w:pPr>
    </w:p>
    <w:p w:rsidR="00647BE9" w:rsidRPr="007F0E49" w:rsidRDefault="00647BE9" w:rsidP="000E69DA">
      <w:pPr>
        <w:tabs>
          <w:tab w:val="left" w:pos="284"/>
          <w:tab w:val="left" w:pos="567"/>
          <w:tab w:val="left" w:pos="851"/>
        </w:tabs>
        <w:ind w:left="1440" w:hanging="1440"/>
        <w:jc w:val="both"/>
        <w:rPr>
          <w:rFonts w:ascii="Arial" w:hAnsi="Arial" w:cs="Arial"/>
          <w:b/>
          <w:sz w:val="22"/>
          <w:szCs w:val="22"/>
        </w:rPr>
      </w:pPr>
    </w:p>
    <w:p w:rsidR="000E69DA" w:rsidRPr="007F0E49" w:rsidRDefault="000E69DA" w:rsidP="000E69DA">
      <w:pPr>
        <w:tabs>
          <w:tab w:val="left" w:pos="284"/>
          <w:tab w:val="left" w:pos="567"/>
          <w:tab w:val="left" w:pos="851"/>
        </w:tabs>
        <w:ind w:left="1440" w:hanging="1440"/>
        <w:jc w:val="both"/>
        <w:rPr>
          <w:rFonts w:ascii="Arial" w:hAnsi="Arial" w:cs="Arial"/>
          <w:b/>
          <w:sz w:val="22"/>
          <w:szCs w:val="22"/>
        </w:rPr>
      </w:pPr>
      <w:r w:rsidRPr="007F0E49">
        <w:rPr>
          <w:rFonts w:ascii="Arial" w:hAnsi="Arial" w:cs="Arial"/>
          <w:b/>
          <w:sz w:val="22"/>
          <w:szCs w:val="22"/>
        </w:rPr>
        <w:t>Bilješka broj 1</w:t>
      </w:r>
      <w:r w:rsidR="00B52D1D" w:rsidRPr="007F0E49">
        <w:rPr>
          <w:rFonts w:ascii="Arial" w:hAnsi="Arial" w:cs="Arial"/>
          <w:b/>
          <w:sz w:val="22"/>
          <w:szCs w:val="22"/>
        </w:rPr>
        <w:t>9</w:t>
      </w:r>
      <w:r w:rsidR="00B441A0" w:rsidRPr="007F0E49">
        <w:rPr>
          <w:rFonts w:ascii="Arial" w:hAnsi="Arial" w:cs="Arial"/>
          <w:b/>
          <w:sz w:val="22"/>
          <w:szCs w:val="22"/>
        </w:rPr>
        <w:t xml:space="preserve"> – 19</w:t>
      </w:r>
      <w:r w:rsidRPr="007F0E49">
        <w:rPr>
          <w:rFonts w:ascii="Arial" w:hAnsi="Arial" w:cs="Arial"/>
          <w:b/>
          <w:sz w:val="22"/>
          <w:szCs w:val="22"/>
        </w:rPr>
        <w:t xml:space="preserve">  RASHODI BUDUĆIH RAZDOBLJA</w:t>
      </w:r>
      <w:r w:rsidR="00FE74CA" w:rsidRPr="007F0E49">
        <w:rPr>
          <w:rFonts w:ascii="Arial" w:hAnsi="Arial" w:cs="Arial"/>
          <w:b/>
          <w:sz w:val="22"/>
          <w:szCs w:val="22"/>
        </w:rPr>
        <w:t xml:space="preserve"> I NEDOSPJELA </w:t>
      </w:r>
      <w:r w:rsidR="00EB7653" w:rsidRPr="007F0E49">
        <w:rPr>
          <w:rFonts w:ascii="Arial" w:hAnsi="Arial" w:cs="Arial"/>
          <w:b/>
          <w:sz w:val="22"/>
          <w:szCs w:val="22"/>
        </w:rPr>
        <w:t>NA</w:t>
      </w:r>
      <w:r w:rsidR="005469C3">
        <w:rPr>
          <w:rFonts w:ascii="Arial" w:hAnsi="Arial" w:cs="Arial"/>
          <w:b/>
          <w:sz w:val="22"/>
          <w:szCs w:val="22"/>
        </w:rPr>
        <w:t xml:space="preserve">PLATA PRIHODA </w:t>
      </w:r>
      <w:r w:rsidR="005469C3">
        <w:rPr>
          <w:rFonts w:ascii="Arial" w:hAnsi="Arial" w:cs="Arial"/>
          <w:b/>
          <w:sz w:val="22"/>
          <w:szCs w:val="22"/>
        </w:rPr>
        <w:tab/>
        <w:t xml:space="preserve">  (aktivna </w:t>
      </w:r>
      <w:r w:rsidR="00FE74CA" w:rsidRPr="007F0E49">
        <w:rPr>
          <w:rFonts w:ascii="Arial" w:hAnsi="Arial" w:cs="Arial"/>
          <w:b/>
          <w:sz w:val="22"/>
          <w:szCs w:val="22"/>
        </w:rPr>
        <w:t>vremenska razgraničenja)</w:t>
      </w:r>
    </w:p>
    <w:p w:rsidR="000E69DA" w:rsidRPr="007F0E49" w:rsidRDefault="000E69DA" w:rsidP="000E69DA">
      <w:pPr>
        <w:tabs>
          <w:tab w:val="left" w:pos="284"/>
          <w:tab w:val="left" w:pos="567"/>
          <w:tab w:val="left" w:pos="851"/>
        </w:tabs>
        <w:ind w:left="1440"/>
        <w:jc w:val="both"/>
        <w:rPr>
          <w:rFonts w:ascii="Arial" w:hAnsi="Arial" w:cs="Arial"/>
          <w:sz w:val="22"/>
          <w:szCs w:val="22"/>
        </w:rPr>
      </w:pPr>
    </w:p>
    <w:p w:rsidR="000E69DA" w:rsidRPr="007F0E49" w:rsidRDefault="000E69DA" w:rsidP="005469C3">
      <w:pPr>
        <w:jc w:val="both"/>
        <w:rPr>
          <w:rFonts w:ascii="Arial" w:hAnsi="Arial" w:cs="Arial"/>
          <w:sz w:val="22"/>
          <w:szCs w:val="22"/>
        </w:rPr>
      </w:pPr>
      <w:r w:rsidRPr="007F0E49">
        <w:rPr>
          <w:rFonts w:ascii="Arial" w:hAnsi="Arial" w:cs="Arial"/>
          <w:sz w:val="22"/>
          <w:szCs w:val="22"/>
        </w:rPr>
        <w:t xml:space="preserve">Rashodi budućih razdoblja iznose </w:t>
      </w:r>
      <w:r w:rsidR="00B87480" w:rsidRPr="007F0E49">
        <w:rPr>
          <w:rFonts w:ascii="Arial" w:hAnsi="Arial" w:cs="Arial"/>
          <w:sz w:val="22"/>
          <w:szCs w:val="22"/>
        </w:rPr>
        <w:t>14.453.818,36</w:t>
      </w:r>
      <w:r w:rsidRPr="007F0E49">
        <w:rPr>
          <w:rFonts w:ascii="Arial" w:hAnsi="Arial" w:cs="Arial"/>
          <w:sz w:val="22"/>
          <w:szCs w:val="22"/>
        </w:rPr>
        <w:t xml:space="preserve"> kn, a čine ih obveze koje ne terete tekuće razdoblje:</w:t>
      </w:r>
      <w:r w:rsidR="00210D4E" w:rsidRPr="007F0E49">
        <w:rPr>
          <w:rFonts w:ascii="Arial" w:hAnsi="Arial" w:cs="Arial"/>
          <w:sz w:val="22"/>
          <w:szCs w:val="22"/>
        </w:rPr>
        <w:t xml:space="preserve"> </w:t>
      </w:r>
      <w:r w:rsidRPr="007F0E49">
        <w:rPr>
          <w:rFonts w:ascii="Arial" w:hAnsi="Arial" w:cs="Arial"/>
          <w:sz w:val="22"/>
          <w:szCs w:val="22"/>
        </w:rPr>
        <w:t>obračunata kamata za primljeni zajam od Ministarstva financija za sufinanciranje EU projekta Županijski centar za gospodarenje otpadom "Marišćina" u skladu s Uputama Ministarstva financija</w:t>
      </w:r>
      <w:r w:rsidR="00B87480" w:rsidRPr="007F0E49">
        <w:rPr>
          <w:rFonts w:ascii="Arial" w:hAnsi="Arial" w:cs="Arial"/>
          <w:sz w:val="22"/>
          <w:szCs w:val="22"/>
        </w:rPr>
        <w:t xml:space="preserve"> (</w:t>
      </w:r>
      <w:r w:rsidR="00B465A2" w:rsidRPr="007F0E49">
        <w:rPr>
          <w:rFonts w:ascii="Arial" w:hAnsi="Arial" w:cs="Arial"/>
          <w:sz w:val="22"/>
          <w:szCs w:val="22"/>
        </w:rPr>
        <w:t>5.2</w:t>
      </w:r>
      <w:r w:rsidR="00B87480" w:rsidRPr="007F0E49">
        <w:rPr>
          <w:rFonts w:ascii="Arial" w:hAnsi="Arial" w:cs="Arial"/>
          <w:sz w:val="22"/>
          <w:szCs w:val="22"/>
        </w:rPr>
        <w:t>43.372,91</w:t>
      </w:r>
      <w:r w:rsidR="00B465A2" w:rsidRPr="007F0E49">
        <w:rPr>
          <w:rFonts w:ascii="Arial" w:hAnsi="Arial" w:cs="Arial"/>
          <w:sz w:val="22"/>
          <w:szCs w:val="22"/>
        </w:rPr>
        <w:t xml:space="preserve"> kn)</w:t>
      </w:r>
      <w:r w:rsidRPr="007F0E49">
        <w:rPr>
          <w:rFonts w:ascii="Arial" w:hAnsi="Arial" w:cs="Arial"/>
          <w:sz w:val="22"/>
          <w:szCs w:val="22"/>
        </w:rPr>
        <w:t xml:space="preserve">, </w:t>
      </w:r>
      <w:r w:rsidR="00853A6B" w:rsidRPr="007F0E49">
        <w:rPr>
          <w:rFonts w:ascii="Arial" w:hAnsi="Arial" w:cs="Arial"/>
          <w:sz w:val="22"/>
          <w:szCs w:val="22"/>
        </w:rPr>
        <w:t xml:space="preserve">zatim </w:t>
      </w:r>
      <w:r w:rsidR="00B87480" w:rsidRPr="007F0E49">
        <w:rPr>
          <w:rFonts w:ascii="Arial" w:hAnsi="Arial" w:cs="Arial"/>
          <w:sz w:val="22"/>
          <w:szCs w:val="22"/>
        </w:rPr>
        <w:t>rashodi budućih razdoblj</w:t>
      </w:r>
      <w:r w:rsidR="00633BB4" w:rsidRPr="007F0E49">
        <w:rPr>
          <w:rFonts w:ascii="Arial" w:hAnsi="Arial" w:cs="Arial"/>
          <w:sz w:val="22"/>
          <w:szCs w:val="22"/>
        </w:rPr>
        <w:t xml:space="preserve">a, </w:t>
      </w:r>
      <w:r w:rsidR="00B87480" w:rsidRPr="007F0E49">
        <w:rPr>
          <w:rFonts w:ascii="Arial" w:hAnsi="Arial" w:cs="Arial"/>
          <w:sz w:val="22"/>
          <w:szCs w:val="22"/>
        </w:rPr>
        <w:t>tj.</w:t>
      </w:r>
      <w:r w:rsidR="00853A6B" w:rsidRPr="007F0E49">
        <w:rPr>
          <w:rFonts w:ascii="Arial" w:hAnsi="Arial" w:cs="Arial"/>
          <w:sz w:val="22"/>
          <w:szCs w:val="22"/>
        </w:rPr>
        <w:t xml:space="preserve"> nastale obveze koje </w:t>
      </w:r>
      <w:r w:rsidR="00B87480" w:rsidRPr="007F0E49">
        <w:rPr>
          <w:rFonts w:ascii="Arial" w:hAnsi="Arial" w:cs="Arial"/>
          <w:sz w:val="22"/>
          <w:szCs w:val="22"/>
        </w:rPr>
        <w:t xml:space="preserve">nisu </w:t>
      </w:r>
      <w:r w:rsidR="00853A6B" w:rsidRPr="007F0E49">
        <w:rPr>
          <w:rFonts w:ascii="Arial" w:hAnsi="Arial" w:cs="Arial"/>
          <w:sz w:val="22"/>
          <w:szCs w:val="22"/>
        </w:rPr>
        <w:t xml:space="preserve">teretile rashode </w:t>
      </w:r>
      <w:r w:rsidR="00B87480" w:rsidRPr="007F0E49">
        <w:rPr>
          <w:rFonts w:ascii="Arial" w:hAnsi="Arial" w:cs="Arial"/>
          <w:sz w:val="22"/>
          <w:szCs w:val="22"/>
        </w:rPr>
        <w:t>2022. godin</w:t>
      </w:r>
      <w:r w:rsidR="00853A6B" w:rsidRPr="007F0E49">
        <w:rPr>
          <w:rFonts w:ascii="Arial" w:hAnsi="Arial" w:cs="Arial"/>
          <w:sz w:val="22"/>
          <w:szCs w:val="22"/>
        </w:rPr>
        <w:t>e</w:t>
      </w:r>
      <w:r w:rsidR="00B87480" w:rsidRPr="007F0E49">
        <w:rPr>
          <w:rFonts w:ascii="Arial" w:hAnsi="Arial" w:cs="Arial"/>
          <w:sz w:val="22"/>
          <w:szCs w:val="22"/>
        </w:rPr>
        <w:t xml:space="preserve"> (11.849,05 kn), </w:t>
      </w:r>
      <w:r w:rsidR="005034B8" w:rsidRPr="007F0E49">
        <w:rPr>
          <w:rFonts w:ascii="Arial" w:hAnsi="Arial" w:cs="Arial"/>
          <w:sz w:val="22"/>
          <w:szCs w:val="22"/>
        </w:rPr>
        <w:t xml:space="preserve">nedospjela  dugoročna obveza po </w:t>
      </w:r>
      <w:r w:rsidR="00B465A2" w:rsidRPr="007F0E49">
        <w:rPr>
          <w:rFonts w:ascii="Arial" w:hAnsi="Arial" w:cs="Arial"/>
          <w:sz w:val="22"/>
          <w:szCs w:val="22"/>
        </w:rPr>
        <w:t>kredit</w:t>
      </w:r>
      <w:r w:rsidR="005034B8" w:rsidRPr="007F0E49">
        <w:rPr>
          <w:rFonts w:ascii="Arial" w:hAnsi="Arial" w:cs="Arial"/>
          <w:sz w:val="22"/>
          <w:szCs w:val="22"/>
        </w:rPr>
        <w:t>u</w:t>
      </w:r>
      <w:r w:rsidR="00B465A2" w:rsidRPr="007F0E49">
        <w:rPr>
          <w:rFonts w:ascii="Arial" w:hAnsi="Arial" w:cs="Arial"/>
          <w:sz w:val="22"/>
          <w:szCs w:val="22"/>
        </w:rPr>
        <w:t xml:space="preserve"> </w:t>
      </w:r>
      <w:r w:rsidR="005034B8" w:rsidRPr="007F0E49">
        <w:rPr>
          <w:rFonts w:ascii="Arial" w:hAnsi="Arial" w:cs="Arial"/>
          <w:sz w:val="22"/>
          <w:szCs w:val="22"/>
        </w:rPr>
        <w:t>zajednice sportskih udruga Grada Rijeke „</w:t>
      </w:r>
      <w:r w:rsidR="00B465A2" w:rsidRPr="007F0E49">
        <w:rPr>
          <w:rFonts w:ascii="Arial" w:hAnsi="Arial" w:cs="Arial"/>
          <w:sz w:val="22"/>
          <w:szCs w:val="22"/>
        </w:rPr>
        <w:t>Riječk</w:t>
      </w:r>
      <w:r w:rsidR="005034B8" w:rsidRPr="007F0E49">
        <w:rPr>
          <w:rFonts w:ascii="Arial" w:hAnsi="Arial" w:cs="Arial"/>
          <w:sz w:val="22"/>
          <w:szCs w:val="22"/>
        </w:rPr>
        <w:t>i</w:t>
      </w:r>
      <w:r w:rsidR="00B465A2" w:rsidRPr="007F0E49">
        <w:rPr>
          <w:rFonts w:ascii="Arial" w:hAnsi="Arial" w:cs="Arial"/>
          <w:sz w:val="22"/>
          <w:szCs w:val="22"/>
        </w:rPr>
        <w:t xml:space="preserve"> spo</w:t>
      </w:r>
      <w:r w:rsidR="000C2D6F" w:rsidRPr="007F0E49">
        <w:rPr>
          <w:rFonts w:ascii="Arial" w:hAnsi="Arial" w:cs="Arial"/>
          <w:sz w:val="22"/>
          <w:szCs w:val="22"/>
        </w:rPr>
        <w:t>rtsk</w:t>
      </w:r>
      <w:r w:rsidR="005034B8" w:rsidRPr="007F0E49">
        <w:rPr>
          <w:rFonts w:ascii="Arial" w:hAnsi="Arial" w:cs="Arial"/>
          <w:sz w:val="22"/>
          <w:szCs w:val="22"/>
        </w:rPr>
        <w:t>i</w:t>
      </w:r>
      <w:r w:rsidR="000C2D6F" w:rsidRPr="007F0E49">
        <w:rPr>
          <w:rFonts w:ascii="Arial" w:hAnsi="Arial" w:cs="Arial"/>
          <w:sz w:val="22"/>
          <w:szCs w:val="22"/>
        </w:rPr>
        <w:t xml:space="preserve"> savez</w:t>
      </w:r>
      <w:r w:rsidR="005034B8" w:rsidRPr="007F0E49">
        <w:rPr>
          <w:rFonts w:ascii="Arial" w:hAnsi="Arial" w:cs="Arial"/>
          <w:sz w:val="22"/>
          <w:szCs w:val="22"/>
        </w:rPr>
        <w:t>“</w:t>
      </w:r>
      <w:r w:rsidR="000C2D6F" w:rsidRPr="007F0E49">
        <w:rPr>
          <w:rFonts w:ascii="Arial" w:hAnsi="Arial" w:cs="Arial"/>
          <w:sz w:val="22"/>
          <w:szCs w:val="22"/>
        </w:rPr>
        <w:t xml:space="preserve"> (3.297.275,01 kn)</w:t>
      </w:r>
      <w:r w:rsidRPr="007F0E49">
        <w:rPr>
          <w:rFonts w:ascii="Arial" w:hAnsi="Arial" w:cs="Arial"/>
          <w:sz w:val="22"/>
          <w:szCs w:val="22"/>
        </w:rPr>
        <w:t xml:space="preserve">, dugoročne obveze </w:t>
      </w:r>
      <w:r w:rsidR="00853A6B" w:rsidRPr="007F0E49">
        <w:rPr>
          <w:rFonts w:ascii="Arial" w:hAnsi="Arial" w:cs="Arial"/>
          <w:sz w:val="22"/>
          <w:szCs w:val="22"/>
        </w:rPr>
        <w:t xml:space="preserve">za </w:t>
      </w:r>
      <w:r w:rsidRPr="007F0E49">
        <w:rPr>
          <w:rFonts w:ascii="Arial" w:hAnsi="Arial" w:cs="Arial"/>
          <w:sz w:val="22"/>
          <w:szCs w:val="22"/>
        </w:rPr>
        <w:t>pravo građenja SD Zamet</w:t>
      </w:r>
      <w:r w:rsidR="00CA0A56" w:rsidRPr="007F0E49">
        <w:rPr>
          <w:rFonts w:ascii="Arial" w:hAnsi="Arial" w:cs="Arial"/>
          <w:sz w:val="22"/>
          <w:szCs w:val="22"/>
        </w:rPr>
        <w:t xml:space="preserve"> (41.070,40 kn</w:t>
      </w:r>
      <w:r w:rsidR="00B87480" w:rsidRPr="007F0E49">
        <w:rPr>
          <w:rFonts w:ascii="Arial" w:hAnsi="Arial" w:cs="Arial"/>
          <w:sz w:val="22"/>
          <w:szCs w:val="22"/>
        </w:rPr>
        <w:t>)</w:t>
      </w:r>
      <w:r w:rsidR="00B465A2" w:rsidRPr="007F0E49">
        <w:rPr>
          <w:rFonts w:ascii="Arial" w:hAnsi="Arial" w:cs="Arial"/>
          <w:sz w:val="22"/>
          <w:szCs w:val="22"/>
        </w:rPr>
        <w:t xml:space="preserve"> te r</w:t>
      </w:r>
      <w:r w:rsidRPr="007F0E49">
        <w:rPr>
          <w:rFonts w:ascii="Arial" w:hAnsi="Arial" w:cs="Arial"/>
          <w:sz w:val="22"/>
          <w:szCs w:val="22"/>
        </w:rPr>
        <w:t>ashodi za plaću zaposlenih za prosinac</w:t>
      </w:r>
      <w:r w:rsidR="00B87480" w:rsidRPr="007F0E49">
        <w:rPr>
          <w:rFonts w:ascii="Arial" w:hAnsi="Arial" w:cs="Arial"/>
          <w:sz w:val="22"/>
          <w:szCs w:val="22"/>
        </w:rPr>
        <w:t xml:space="preserve"> 2022</w:t>
      </w:r>
      <w:r w:rsidR="00420B8E" w:rsidRPr="007F0E49">
        <w:rPr>
          <w:rFonts w:ascii="Arial" w:hAnsi="Arial" w:cs="Arial"/>
          <w:sz w:val="22"/>
          <w:szCs w:val="22"/>
        </w:rPr>
        <w:t xml:space="preserve">. u iznosu od </w:t>
      </w:r>
      <w:r w:rsidR="00B87480" w:rsidRPr="007F0E49">
        <w:rPr>
          <w:rFonts w:ascii="Arial" w:hAnsi="Arial" w:cs="Arial"/>
          <w:sz w:val="22"/>
          <w:szCs w:val="22"/>
        </w:rPr>
        <w:t>5.860.250,99</w:t>
      </w:r>
      <w:r w:rsidR="00420B8E" w:rsidRPr="007F0E49">
        <w:rPr>
          <w:rFonts w:ascii="Arial" w:hAnsi="Arial" w:cs="Arial"/>
          <w:sz w:val="22"/>
          <w:szCs w:val="22"/>
        </w:rPr>
        <w:t xml:space="preserve"> kn</w:t>
      </w:r>
      <w:r w:rsidR="00B465A2" w:rsidRPr="007F0E49">
        <w:rPr>
          <w:rFonts w:ascii="Arial" w:hAnsi="Arial" w:cs="Arial"/>
          <w:sz w:val="22"/>
          <w:szCs w:val="22"/>
        </w:rPr>
        <w:t>.</w:t>
      </w:r>
    </w:p>
    <w:p w:rsidR="008E2A13" w:rsidRPr="007F0E49" w:rsidRDefault="008E2A13" w:rsidP="005469C3">
      <w:pPr>
        <w:tabs>
          <w:tab w:val="left" w:pos="284"/>
          <w:tab w:val="left" w:pos="567"/>
          <w:tab w:val="left" w:pos="851"/>
        </w:tabs>
        <w:ind w:left="1440" w:hanging="1440"/>
        <w:jc w:val="both"/>
        <w:rPr>
          <w:rFonts w:ascii="Arial" w:hAnsi="Arial" w:cs="Arial"/>
          <w:b/>
          <w:sz w:val="22"/>
          <w:szCs w:val="22"/>
        </w:rPr>
      </w:pPr>
    </w:p>
    <w:p w:rsidR="00780348" w:rsidRPr="007F0E49" w:rsidRDefault="00780348" w:rsidP="000E69DA">
      <w:pPr>
        <w:tabs>
          <w:tab w:val="left" w:pos="284"/>
          <w:tab w:val="left" w:pos="567"/>
          <w:tab w:val="left" w:pos="851"/>
        </w:tabs>
        <w:ind w:left="1440" w:hanging="1440"/>
        <w:jc w:val="both"/>
        <w:rPr>
          <w:rFonts w:ascii="Arial" w:hAnsi="Arial" w:cs="Arial"/>
          <w:b/>
          <w:sz w:val="22"/>
          <w:szCs w:val="22"/>
        </w:rPr>
      </w:pPr>
    </w:p>
    <w:p w:rsidR="000E69DA" w:rsidRPr="007F0E49" w:rsidRDefault="000E69DA" w:rsidP="000E69DA">
      <w:pPr>
        <w:tabs>
          <w:tab w:val="left" w:pos="284"/>
          <w:tab w:val="left" w:pos="567"/>
          <w:tab w:val="left" w:pos="851"/>
        </w:tabs>
        <w:ind w:left="1440" w:hanging="1440"/>
        <w:jc w:val="both"/>
        <w:rPr>
          <w:rFonts w:ascii="Arial" w:hAnsi="Arial" w:cs="Arial"/>
          <w:b/>
          <w:sz w:val="22"/>
          <w:szCs w:val="22"/>
        </w:rPr>
      </w:pPr>
      <w:r w:rsidRPr="007F0E49">
        <w:rPr>
          <w:rFonts w:ascii="Arial" w:hAnsi="Arial" w:cs="Arial"/>
          <w:b/>
          <w:sz w:val="22"/>
          <w:szCs w:val="22"/>
        </w:rPr>
        <w:t xml:space="preserve">Bilješka broj </w:t>
      </w:r>
      <w:r w:rsidR="00B52D1D" w:rsidRPr="007F0E49">
        <w:rPr>
          <w:rFonts w:ascii="Arial" w:hAnsi="Arial" w:cs="Arial"/>
          <w:b/>
          <w:sz w:val="22"/>
          <w:szCs w:val="22"/>
        </w:rPr>
        <w:t>20</w:t>
      </w:r>
      <w:r w:rsidR="009A6F6F" w:rsidRPr="007F0E49">
        <w:rPr>
          <w:rFonts w:ascii="Arial" w:hAnsi="Arial" w:cs="Arial"/>
          <w:b/>
          <w:sz w:val="22"/>
          <w:szCs w:val="22"/>
        </w:rPr>
        <w:t xml:space="preserve"> – </w:t>
      </w:r>
      <w:r w:rsidR="00B441A0" w:rsidRPr="007F0E49">
        <w:rPr>
          <w:rFonts w:ascii="Arial" w:hAnsi="Arial" w:cs="Arial"/>
          <w:b/>
          <w:sz w:val="22"/>
          <w:szCs w:val="22"/>
        </w:rPr>
        <w:t>11K</w:t>
      </w:r>
      <w:r w:rsidRPr="007F0E49">
        <w:rPr>
          <w:rFonts w:ascii="Arial" w:hAnsi="Arial" w:cs="Arial"/>
          <w:b/>
          <w:sz w:val="22"/>
          <w:szCs w:val="22"/>
        </w:rPr>
        <w:t xml:space="preserve">  STANJE NOVČANIH SREDSTAVA NA KRAJU RAZDOBLJA</w:t>
      </w:r>
    </w:p>
    <w:p w:rsidR="00034074" w:rsidRDefault="00034074" w:rsidP="00840E00">
      <w:pPr>
        <w:jc w:val="both"/>
        <w:rPr>
          <w:rFonts w:ascii="Arial" w:hAnsi="Arial" w:cs="Arial"/>
          <w:sz w:val="22"/>
          <w:szCs w:val="22"/>
        </w:rPr>
      </w:pPr>
    </w:p>
    <w:p w:rsidR="005469C3" w:rsidRDefault="00853A6B" w:rsidP="00840E00">
      <w:pPr>
        <w:jc w:val="both"/>
        <w:rPr>
          <w:rFonts w:ascii="Arial" w:hAnsi="Arial" w:cs="Arial"/>
          <w:sz w:val="22"/>
          <w:szCs w:val="22"/>
        </w:rPr>
      </w:pPr>
      <w:r w:rsidRPr="007F0E49">
        <w:rPr>
          <w:rFonts w:ascii="Arial" w:hAnsi="Arial" w:cs="Arial"/>
          <w:sz w:val="22"/>
          <w:szCs w:val="22"/>
        </w:rPr>
        <w:t>Ukupno stanje na j</w:t>
      </w:r>
      <w:r w:rsidR="00F40A77" w:rsidRPr="007F0E49">
        <w:rPr>
          <w:rFonts w:ascii="Arial" w:hAnsi="Arial" w:cs="Arial"/>
          <w:sz w:val="22"/>
          <w:szCs w:val="22"/>
        </w:rPr>
        <w:t>edinstven</w:t>
      </w:r>
      <w:r w:rsidRPr="007F0E49">
        <w:rPr>
          <w:rFonts w:ascii="Arial" w:hAnsi="Arial" w:cs="Arial"/>
          <w:sz w:val="22"/>
          <w:szCs w:val="22"/>
        </w:rPr>
        <w:t>om</w:t>
      </w:r>
      <w:r w:rsidR="00F40A77" w:rsidRPr="007F0E49">
        <w:rPr>
          <w:rFonts w:ascii="Arial" w:hAnsi="Arial" w:cs="Arial"/>
          <w:sz w:val="22"/>
          <w:szCs w:val="22"/>
        </w:rPr>
        <w:t xml:space="preserve"> račun</w:t>
      </w:r>
      <w:r w:rsidRPr="007F0E49">
        <w:rPr>
          <w:rFonts w:ascii="Arial" w:hAnsi="Arial" w:cs="Arial"/>
          <w:sz w:val="22"/>
          <w:szCs w:val="22"/>
        </w:rPr>
        <w:t>u</w:t>
      </w:r>
      <w:r w:rsidR="00F40A77" w:rsidRPr="007F0E49">
        <w:rPr>
          <w:rFonts w:ascii="Arial" w:hAnsi="Arial" w:cs="Arial"/>
          <w:sz w:val="22"/>
          <w:szCs w:val="22"/>
        </w:rPr>
        <w:t xml:space="preserve"> </w:t>
      </w:r>
      <w:r w:rsidRPr="007F0E49">
        <w:rPr>
          <w:rFonts w:ascii="Arial" w:hAnsi="Arial" w:cs="Arial"/>
          <w:sz w:val="22"/>
          <w:szCs w:val="22"/>
        </w:rPr>
        <w:t>riznice Grada Rijeke</w:t>
      </w:r>
      <w:r w:rsidR="00F40A77" w:rsidRPr="007F0E49">
        <w:rPr>
          <w:rFonts w:ascii="Arial" w:hAnsi="Arial" w:cs="Arial"/>
          <w:sz w:val="22"/>
          <w:szCs w:val="22"/>
        </w:rPr>
        <w:t xml:space="preserve">, na računu depozita te </w:t>
      </w:r>
      <w:r w:rsidRPr="007F0E49">
        <w:rPr>
          <w:rFonts w:ascii="Arial" w:hAnsi="Arial" w:cs="Arial"/>
          <w:sz w:val="22"/>
          <w:szCs w:val="22"/>
        </w:rPr>
        <w:t xml:space="preserve">na </w:t>
      </w:r>
      <w:r w:rsidR="00F40A77" w:rsidRPr="007F0E49">
        <w:rPr>
          <w:rFonts w:ascii="Arial" w:hAnsi="Arial" w:cs="Arial"/>
          <w:sz w:val="22"/>
          <w:szCs w:val="22"/>
        </w:rPr>
        <w:t>računi</w:t>
      </w:r>
      <w:r w:rsidR="00B465A2" w:rsidRPr="007F0E49">
        <w:rPr>
          <w:rFonts w:ascii="Arial" w:hAnsi="Arial" w:cs="Arial"/>
          <w:sz w:val="22"/>
          <w:szCs w:val="22"/>
        </w:rPr>
        <w:t>ma za posebne namjene</w:t>
      </w:r>
      <w:r w:rsidR="00F40A77" w:rsidRPr="007F0E49">
        <w:rPr>
          <w:rFonts w:ascii="Arial" w:hAnsi="Arial" w:cs="Arial"/>
          <w:sz w:val="22"/>
          <w:szCs w:val="22"/>
        </w:rPr>
        <w:t xml:space="preserve"> </w:t>
      </w:r>
      <w:r w:rsidR="00635E24" w:rsidRPr="007F0E49">
        <w:rPr>
          <w:rFonts w:ascii="Arial" w:hAnsi="Arial" w:cs="Arial"/>
          <w:sz w:val="22"/>
          <w:szCs w:val="22"/>
        </w:rPr>
        <w:t xml:space="preserve">iznosi </w:t>
      </w:r>
      <w:r w:rsidR="009976CB" w:rsidRPr="007F0E49">
        <w:rPr>
          <w:rFonts w:ascii="Arial" w:hAnsi="Arial" w:cs="Arial"/>
          <w:sz w:val="22"/>
          <w:szCs w:val="22"/>
        </w:rPr>
        <w:t>88.079.550,18</w:t>
      </w:r>
      <w:r w:rsidR="000E69DA" w:rsidRPr="007F0E49">
        <w:rPr>
          <w:rFonts w:ascii="Arial" w:hAnsi="Arial" w:cs="Arial"/>
          <w:sz w:val="22"/>
          <w:szCs w:val="22"/>
        </w:rPr>
        <w:t xml:space="preserve"> kn</w:t>
      </w:r>
      <w:r w:rsidR="00635E24" w:rsidRPr="007F0E49">
        <w:rPr>
          <w:rFonts w:ascii="Arial" w:hAnsi="Arial" w:cs="Arial"/>
          <w:sz w:val="22"/>
          <w:szCs w:val="22"/>
        </w:rPr>
        <w:t>.</w:t>
      </w:r>
      <w:r w:rsidR="00840E00" w:rsidRPr="007F0E49">
        <w:rPr>
          <w:rFonts w:ascii="Arial" w:hAnsi="Arial" w:cs="Arial"/>
          <w:sz w:val="22"/>
          <w:szCs w:val="22"/>
        </w:rPr>
        <w:t xml:space="preserve"> </w:t>
      </w:r>
    </w:p>
    <w:p w:rsidR="00840E00" w:rsidRPr="007F0E49" w:rsidRDefault="00840E00" w:rsidP="00840E00">
      <w:pPr>
        <w:jc w:val="both"/>
        <w:rPr>
          <w:rFonts w:ascii="Arial" w:hAnsi="Arial" w:cs="Arial"/>
          <w:sz w:val="22"/>
          <w:szCs w:val="22"/>
        </w:rPr>
      </w:pPr>
      <w:r w:rsidRPr="007F0E49">
        <w:rPr>
          <w:rFonts w:ascii="Arial" w:hAnsi="Arial" w:cs="Arial"/>
          <w:sz w:val="22"/>
          <w:szCs w:val="22"/>
        </w:rPr>
        <w:t>Stanje novca po računima</w:t>
      </w:r>
      <w:r w:rsidR="00034074">
        <w:rPr>
          <w:rFonts w:ascii="Arial" w:hAnsi="Arial" w:cs="Arial"/>
          <w:sz w:val="22"/>
          <w:szCs w:val="22"/>
        </w:rPr>
        <w:t xml:space="preserve"> skupine 11</w:t>
      </w:r>
      <w:r w:rsidRPr="007F0E49">
        <w:rPr>
          <w:rFonts w:ascii="Arial" w:hAnsi="Arial" w:cs="Arial"/>
          <w:sz w:val="22"/>
          <w:szCs w:val="22"/>
        </w:rPr>
        <w:t>:</w:t>
      </w:r>
    </w:p>
    <w:p w:rsidR="00840E00" w:rsidRPr="007F0E49" w:rsidRDefault="00840E00" w:rsidP="00840E00">
      <w:pPr>
        <w:jc w:val="both"/>
        <w:rPr>
          <w:rFonts w:ascii="Arial" w:hAnsi="Arial" w:cs="Arial"/>
          <w:sz w:val="22"/>
          <w:szCs w:val="22"/>
        </w:rPr>
      </w:pPr>
    </w:p>
    <w:p w:rsidR="00840E00" w:rsidRPr="007F0E49" w:rsidRDefault="00840E00" w:rsidP="00840E00">
      <w:pPr>
        <w:pStyle w:val="ListParagraph"/>
        <w:numPr>
          <w:ilvl w:val="0"/>
          <w:numId w:val="25"/>
        </w:numPr>
        <w:jc w:val="both"/>
        <w:rPr>
          <w:rFonts w:ascii="Arial" w:hAnsi="Arial" w:cs="Arial"/>
          <w:sz w:val="22"/>
          <w:szCs w:val="22"/>
        </w:rPr>
      </w:pPr>
      <w:r w:rsidRPr="007F0E49">
        <w:rPr>
          <w:rFonts w:ascii="Arial" w:hAnsi="Arial" w:cs="Arial"/>
          <w:sz w:val="22"/>
          <w:szCs w:val="22"/>
        </w:rPr>
        <w:t xml:space="preserve">Jedinstveni račun riznice Grada Rijeke (račun na kojem se nalaze novčana </w:t>
      </w:r>
    </w:p>
    <w:p w:rsidR="00840E00" w:rsidRPr="007F0E49" w:rsidRDefault="00840E00" w:rsidP="00840E00">
      <w:pPr>
        <w:jc w:val="both"/>
        <w:rPr>
          <w:rFonts w:ascii="Arial" w:hAnsi="Arial" w:cs="Arial"/>
          <w:sz w:val="22"/>
          <w:szCs w:val="22"/>
        </w:rPr>
      </w:pPr>
      <w:r w:rsidRPr="007F0E49">
        <w:rPr>
          <w:rFonts w:ascii="Arial" w:hAnsi="Arial" w:cs="Arial"/>
          <w:sz w:val="22"/>
          <w:szCs w:val="22"/>
        </w:rPr>
        <w:tab/>
        <w:t xml:space="preserve">sredstva i Grada i proračunskih korisnika) </w:t>
      </w:r>
      <w:r w:rsidRPr="007F0E49">
        <w:rPr>
          <w:rFonts w:ascii="Arial" w:hAnsi="Arial" w:cs="Arial"/>
          <w:sz w:val="22"/>
          <w:szCs w:val="22"/>
        </w:rPr>
        <w:tab/>
      </w:r>
      <w:r w:rsidRPr="007F0E49">
        <w:rPr>
          <w:rFonts w:ascii="Arial" w:hAnsi="Arial" w:cs="Arial"/>
          <w:sz w:val="22"/>
          <w:szCs w:val="22"/>
        </w:rPr>
        <w:tab/>
      </w:r>
      <w:r w:rsidRPr="007F0E49">
        <w:rPr>
          <w:rFonts w:ascii="Arial" w:hAnsi="Arial" w:cs="Arial"/>
          <w:sz w:val="22"/>
          <w:szCs w:val="22"/>
        </w:rPr>
        <w:tab/>
      </w:r>
      <w:r w:rsidRPr="007F0E49">
        <w:rPr>
          <w:rFonts w:ascii="Arial" w:hAnsi="Arial" w:cs="Arial"/>
          <w:sz w:val="22"/>
          <w:szCs w:val="22"/>
        </w:rPr>
        <w:tab/>
      </w:r>
      <w:r w:rsidRPr="007F0E49">
        <w:rPr>
          <w:rFonts w:ascii="Arial" w:hAnsi="Arial" w:cs="Arial"/>
          <w:sz w:val="22"/>
          <w:szCs w:val="22"/>
        </w:rPr>
        <w:tab/>
        <w:t>=69.241.336,18 kn</w:t>
      </w:r>
    </w:p>
    <w:p w:rsidR="00840E00" w:rsidRPr="007F0E49" w:rsidRDefault="00840E00" w:rsidP="00840E00">
      <w:pPr>
        <w:pStyle w:val="ListParagraph"/>
        <w:numPr>
          <w:ilvl w:val="0"/>
          <w:numId w:val="25"/>
        </w:numPr>
        <w:jc w:val="both"/>
        <w:rPr>
          <w:rFonts w:ascii="Arial" w:hAnsi="Arial" w:cs="Arial"/>
          <w:sz w:val="22"/>
          <w:szCs w:val="22"/>
        </w:rPr>
      </w:pPr>
      <w:r w:rsidRPr="007F0E49">
        <w:rPr>
          <w:rFonts w:ascii="Arial" w:hAnsi="Arial" w:cs="Arial"/>
          <w:sz w:val="22"/>
          <w:szCs w:val="22"/>
        </w:rPr>
        <w:t xml:space="preserve">Izdvojena novčana sredstva (računi depozita i za posebne namjene) </w:t>
      </w:r>
      <w:r w:rsidRPr="007F0E49">
        <w:rPr>
          <w:rFonts w:ascii="Arial" w:hAnsi="Arial" w:cs="Arial"/>
          <w:sz w:val="22"/>
          <w:szCs w:val="22"/>
        </w:rPr>
        <w:tab/>
        <w:t>=17.419.331,98 kn</w:t>
      </w:r>
    </w:p>
    <w:p w:rsidR="00840E00" w:rsidRPr="007F0E49" w:rsidRDefault="00840E00" w:rsidP="00840E00">
      <w:pPr>
        <w:pStyle w:val="ListParagraph"/>
        <w:numPr>
          <w:ilvl w:val="0"/>
          <w:numId w:val="25"/>
        </w:numPr>
        <w:jc w:val="both"/>
        <w:rPr>
          <w:rFonts w:ascii="Arial" w:hAnsi="Arial" w:cs="Arial"/>
          <w:sz w:val="22"/>
          <w:szCs w:val="22"/>
        </w:rPr>
      </w:pPr>
      <w:r w:rsidRPr="007F0E49">
        <w:rPr>
          <w:rFonts w:ascii="Arial" w:hAnsi="Arial" w:cs="Arial"/>
          <w:sz w:val="22"/>
          <w:szCs w:val="22"/>
        </w:rPr>
        <w:t xml:space="preserve">Ostali računi </w:t>
      </w:r>
      <w:r w:rsidRPr="007F0E49">
        <w:rPr>
          <w:rFonts w:ascii="Arial" w:hAnsi="Arial" w:cs="Arial"/>
          <w:sz w:val="22"/>
          <w:szCs w:val="22"/>
        </w:rPr>
        <w:tab/>
      </w:r>
      <w:r w:rsidRPr="007F0E49">
        <w:rPr>
          <w:rFonts w:ascii="Arial" w:hAnsi="Arial" w:cs="Arial"/>
          <w:sz w:val="22"/>
          <w:szCs w:val="22"/>
        </w:rPr>
        <w:tab/>
      </w:r>
      <w:r w:rsidRPr="007F0E49">
        <w:rPr>
          <w:rFonts w:ascii="Arial" w:hAnsi="Arial" w:cs="Arial"/>
          <w:sz w:val="22"/>
          <w:szCs w:val="22"/>
        </w:rPr>
        <w:tab/>
      </w:r>
      <w:r w:rsidRPr="007F0E49">
        <w:rPr>
          <w:rFonts w:ascii="Arial" w:hAnsi="Arial" w:cs="Arial"/>
          <w:sz w:val="22"/>
          <w:szCs w:val="22"/>
        </w:rPr>
        <w:tab/>
      </w:r>
      <w:r w:rsidRPr="007F0E49">
        <w:rPr>
          <w:rFonts w:ascii="Arial" w:hAnsi="Arial" w:cs="Arial"/>
          <w:sz w:val="22"/>
          <w:szCs w:val="22"/>
        </w:rPr>
        <w:tab/>
      </w:r>
      <w:r w:rsidRPr="007F0E49">
        <w:rPr>
          <w:rFonts w:ascii="Arial" w:hAnsi="Arial" w:cs="Arial"/>
          <w:sz w:val="22"/>
          <w:szCs w:val="22"/>
        </w:rPr>
        <w:tab/>
      </w:r>
      <w:r w:rsidRPr="007F0E49">
        <w:rPr>
          <w:rFonts w:ascii="Arial" w:hAnsi="Arial" w:cs="Arial"/>
          <w:sz w:val="22"/>
          <w:szCs w:val="22"/>
        </w:rPr>
        <w:tab/>
      </w:r>
      <w:r w:rsidRPr="007F0E49">
        <w:rPr>
          <w:rFonts w:ascii="Arial" w:hAnsi="Arial" w:cs="Arial"/>
          <w:sz w:val="22"/>
          <w:szCs w:val="22"/>
        </w:rPr>
        <w:tab/>
      </w:r>
      <w:r w:rsidRPr="007F0E49">
        <w:rPr>
          <w:rFonts w:ascii="Arial" w:hAnsi="Arial" w:cs="Arial"/>
          <w:sz w:val="22"/>
          <w:szCs w:val="22"/>
        </w:rPr>
        <w:tab/>
        <w:t>=  1.271.048,06 kn</w:t>
      </w:r>
    </w:p>
    <w:p w:rsidR="00840E00" w:rsidRPr="007F0E49" w:rsidRDefault="005469C3" w:rsidP="00840E00">
      <w:pPr>
        <w:pStyle w:val="ListParagraph"/>
        <w:numPr>
          <w:ilvl w:val="0"/>
          <w:numId w:val="25"/>
        </w:numPr>
        <w:jc w:val="both"/>
        <w:rPr>
          <w:rFonts w:ascii="Arial" w:hAnsi="Arial" w:cs="Arial"/>
          <w:sz w:val="22"/>
          <w:szCs w:val="22"/>
        </w:rPr>
      </w:pPr>
      <w:r>
        <w:rPr>
          <w:rFonts w:ascii="Arial" w:hAnsi="Arial" w:cs="Arial"/>
          <w:sz w:val="22"/>
          <w:szCs w:val="22"/>
        </w:rPr>
        <w:t>Prijelazni račun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40E00" w:rsidRPr="007F0E49">
        <w:rPr>
          <w:rFonts w:ascii="Arial" w:hAnsi="Arial" w:cs="Arial"/>
          <w:sz w:val="22"/>
          <w:szCs w:val="22"/>
        </w:rPr>
        <w:t>=     147.833,96 kn</w:t>
      </w:r>
    </w:p>
    <w:p w:rsidR="00840E00" w:rsidRPr="007F0E49" w:rsidRDefault="00840E00" w:rsidP="00840E00">
      <w:pPr>
        <w:pStyle w:val="ListParagraph"/>
        <w:numPr>
          <w:ilvl w:val="0"/>
          <w:numId w:val="25"/>
        </w:numPr>
        <w:rPr>
          <w:rFonts w:ascii="Arial" w:hAnsi="Arial" w:cs="Arial"/>
          <w:sz w:val="22"/>
          <w:szCs w:val="22"/>
        </w:rPr>
      </w:pPr>
      <w:r w:rsidRPr="007F0E49">
        <w:rPr>
          <w:rFonts w:ascii="Arial" w:hAnsi="Arial" w:cs="Arial"/>
          <w:sz w:val="22"/>
          <w:szCs w:val="22"/>
        </w:rPr>
        <w:t>Novac u blagajni</w:t>
      </w:r>
      <w:r w:rsidRPr="007F0E49">
        <w:rPr>
          <w:rFonts w:ascii="Arial" w:hAnsi="Arial" w:cs="Arial"/>
          <w:sz w:val="22"/>
          <w:szCs w:val="22"/>
        </w:rPr>
        <w:tab/>
      </w:r>
      <w:r w:rsidRPr="007F0E49">
        <w:rPr>
          <w:rFonts w:ascii="Arial" w:hAnsi="Arial" w:cs="Arial"/>
          <w:sz w:val="22"/>
          <w:szCs w:val="22"/>
        </w:rPr>
        <w:tab/>
      </w:r>
      <w:r w:rsidRPr="007F0E49">
        <w:rPr>
          <w:rFonts w:ascii="Arial" w:hAnsi="Arial" w:cs="Arial"/>
          <w:sz w:val="22"/>
          <w:szCs w:val="22"/>
        </w:rPr>
        <w:tab/>
      </w:r>
      <w:r w:rsidRPr="007F0E49">
        <w:rPr>
          <w:rFonts w:ascii="Arial" w:hAnsi="Arial" w:cs="Arial"/>
          <w:sz w:val="22"/>
          <w:szCs w:val="22"/>
        </w:rPr>
        <w:tab/>
      </w:r>
      <w:r w:rsidRPr="007F0E49">
        <w:rPr>
          <w:rFonts w:ascii="Arial" w:hAnsi="Arial" w:cs="Arial"/>
          <w:sz w:val="22"/>
          <w:szCs w:val="22"/>
        </w:rPr>
        <w:tab/>
      </w:r>
      <w:r w:rsidRPr="007F0E49">
        <w:rPr>
          <w:rFonts w:ascii="Arial" w:hAnsi="Arial" w:cs="Arial"/>
          <w:sz w:val="22"/>
          <w:szCs w:val="22"/>
        </w:rPr>
        <w:tab/>
      </w:r>
      <w:r w:rsidRPr="007F0E49">
        <w:rPr>
          <w:rFonts w:ascii="Arial" w:hAnsi="Arial" w:cs="Arial"/>
          <w:sz w:val="22"/>
          <w:szCs w:val="22"/>
        </w:rPr>
        <w:tab/>
      </w:r>
      <w:r w:rsidRPr="007F0E49">
        <w:rPr>
          <w:rFonts w:ascii="Arial" w:hAnsi="Arial" w:cs="Arial"/>
          <w:sz w:val="22"/>
          <w:szCs w:val="22"/>
        </w:rPr>
        <w:tab/>
        <w:t xml:space="preserve">=                0,00 kn     </w:t>
      </w:r>
      <w:r w:rsidRPr="007F0E49">
        <w:rPr>
          <w:rFonts w:ascii="Arial" w:hAnsi="Arial" w:cs="Arial"/>
          <w:sz w:val="22"/>
          <w:szCs w:val="22"/>
        </w:rPr>
        <w:tab/>
      </w:r>
    </w:p>
    <w:p w:rsidR="00840E00" w:rsidRPr="007F0E49" w:rsidRDefault="00840E00" w:rsidP="00840E00">
      <w:pPr>
        <w:jc w:val="both"/>
        <w:rPr>
          <w:rFonts w:ascii="Arial" w:hAnsi="Arial" w:cs="Arial"/>
          <w:sz w:val="22"/>
          <w:szCs w:val="22"/>
        </w:rPr>
      </w:pPr>
    </w:p>
    <w:p w:rsidR="008C518A" w:rsidRDefault="008C518A" w:rsidP="0037600B">
      <w:pPr>
        <w:keepNext/>
        <w:jc w:val="both"/>
        <w:outlineLvl w:val="3"/>
        <w:rPr>
          <w:rFonts w:ascii="Arial" w:hAnsi="Arial" w:cs="Arial"/>
          <w:sz w:val="22"/>
          <w:szCs w:val="22"/>
        </w:rPr>
      </w:pPr>
    </w:p>
    <w:p w:rsidR="00034074" w:rsidRDefault="00034074" w:rsidP="0037600B">
      <w:pPr>
        <w:keepNext/>
        <w:jc w:val="both"/>
        <w:outlineLvl w:val="3"/>
        <w:rPr>
          <w:rFonts w:ascii="Arial" w:hAnsi="Arial" w:cs="Arial"/>
          <w:sz w:val="22"/>
          <w:szCs w:val="22"/>
        </w:rPr>
      </w:pPr>
    </w:p>
    <w:p w:rsidR="00034074" w:rsidRDefault="00034074" w:rsidP="0037600B">
      <w:pPr>
        <w:keepNext/>
        <w:jc w:val="both"/>
        <w:outlineLvl w:val="3"/>
        <w:rPr>
          <w:rFonts w:ascii="Arial" w:hAnsi="Arial" w:cs="Arial"/>
          <w:sz w:val="22"/>
          <w:szCs w:val="22"/>
        </w:rPr>
      </w:pPr>
    </w:p>
    <w:p w:rsidR="00034074" w:rsidRDefault="00034074" w:rsidP="0037600B">
      <w:pPr>
        <w:keepNext/>
        <w:jc w:val="both"/>
        <w:outlineLvl w:val="3"/>
        <w:rPr>
          <w:rFonts w:ascii="Arial" w:hAnsi="Arial" w:cs="Arial"/>
          <w:sz w:val="22"/>
          <w:szCs w:val="22"/>
        </w:rPr>
      </w:pPr>
    </w:p>
    <w:p w:rsidR="00034074" w:rsidRDefault="00034074" w:rsidP="0037600B">
      <w:pPr>
        <w:keepNext/>
        <w:jc w:val="both"/>
        <w:outlineLvl w:val="3"/>
        <w:rPr>
          <w:rFonts w:ascii="Arial" w:hAnsi="Arial" w:cs="Arial"/>
          <w:sz w:val="22"/>
          <w:szCs w:val="22"/>
        </w:rPr>
      </w:pPr>
    </w:p>
    <w:p w:rsidR="00034074" w:rsidRDefault="00034074" w:rsidP="0037600B">
      <w:pPr>
        <w:keepNext/>
        <w:jc w:val="both"/>
        <w:outlineLvl w:val="3"/>
        <w:rPr>
          <w:rFonts w:ascii="Arial" w:hAnsi="Arial" w:cs="Arial"/>
          <w:sz w:val="22"/>
          <w:szCs w:val="22"/>
        </w:rPr>
      </w:pPr>
    </w:p>
    <w:p w:rsidR="00034074" w:rsidRDefault="00034074" w:rsidP="0037600B">
      <w:pPr>
        <w:keepNext/>
        <w:jc w:val="both"/>
        <w:outlineLvl w:val="3"/>
        <w:rPr>
          <w:rFonts w:ascii="Arial" w:hAnsi="Arial" w:cs="Arial"/>
          <w:sz w:val="22"/>
          <w:szCs w:val="22"/>
        </w:rPr>
      </w:pPr>
    </w:p>
    <w:p w:rsidR="00034074" w:rsidRDefault="00034074" w:rsidP="0037600B">
      <w:pPr>
        <w:keepNext/>
        <w:jc w:val="both"/>
        <w:outlineLvl w:val="3"/>
        <w:rPr>
          <w:rFonts w:ascii="Arial" w:hAnsi="Arial" w:cs="Arial"/>
          <w:sz w:val="22"/>
          <w:szCs w:val="22"/>
        </w:rPr>
      </w:pPr>
    </w:p>
    <w:p w:rsidR="00034074" w:rsidRDefault="00034074" w:rsidP="0037600B">
      <w:pPr>
        <w:keepNext/>
        <w:jc w:val="both"/>
        <w:outlineLvl w:val="3"/>
        <w:rPr>
          <w:rFonts w:ascii="Arial" w:hAnsi="Arial" w:cs="Arial"/>
          <w:sz w:val="22"/>
          <w:szCs w:val="22"/>
        </w:rPr>
      </w:pPr>
    </w:p>
    <w:p w:rsidR="00034074" w:rsidRDefault="00034074" w:rsidP="0037600B">
      <w:pPr>
        <w:keepNext/>
        <w:jc w:val="both"/>
        <w:outlineLvl w:val="3"/>
        <w:rPr>
          <w:rFonts w:ascii="Arial" w:hAnsi="Arial" w:cs="Arial"/>
          <w:sz w:val="22"/>
          <w:szCs w:val="22"/>
        </w:rPr>
      </w:pPr>
    </w:p>
    <w:p w:rsidR="00034074" w:rsidRDefault="00034074" w:rsidP="0037600B">
      <w:pPr>
        <w:keepNext/>
        <w:jc w:val="both"/>
        <w:outlineLvl w:val="3"/>
        <w:rPr>
          <w:rFonts w:ascii="Arial" w:hAnsi="Arial" w:cs="Arial"/>
          <w:sz w:val="22"/>
          <w:szCs w:val="22"/>
        </w:rPr>
      </w:pPr>
    </w:p>
    <w:p w:rsidR="00034074" w:rsidRDefault="00034074" w:rsidP="0037600B">
      <w:pPr>
        <w:keepNext/>
        <w:jc w:val="both"/>
        <w:outlineLvl w:val="3"/>
        <w:rPr>
          <w:rFonts w:ascii="Arial" w:hAnsi="Arial" w:cs="Arial"/>
          <w:sz w:val="22"/>
          <w:szCs w:val="22"/>
        </w:rPr>
      </w:pPr>
    </w:p>
    <w:p w:rsidR="00840E00" w:rsidRDefault="00840E00" w:rsidP="000E69DA">
      <w:pPr>
        <w:ind w:right="-58"/>
        <w:rPr>
          <w:rFonts w:ascii="Arial" w:hAnsi="Arial" w:cs="Arial"/>
          <w:sz w:val="22"/>
          <w:szCs w:val="22"/>
        </w:rPr>
      </w:pPr>
    </w:p>
    <w:p w:rsidR="00034074" w:rsidRDefault="00034074" w:rsidP="000E69DA">
      <w:pPr>
        <w:ind w:right="-58"/>
        <w:rPr>
          <w:rFonts w:ascii="Arial" w:hAnsi="Arial" w:cs="Arial"/>
          <w:sz w:val="22"/>
          <w:szCs w:val="22"/>
        </w:rPr>
      </w:pPr>
    </w:p>
    <w:p w:rsidR="00034074" w:rsidRDefault="00034074" w:rsidP="000E69DA">
      <w:pPr>
        <w:ind w:right="-58"/>
        <w:rPr>
          <w:rFonts w:ascii="Arial" w:hAnsi="Arial" w:cs="Arial"/>
          <w:sz w:val="22"/>
          <w:szCs w:val="22"/>
        </w:rPr>
      </w:pPr>
    </w:p>
    <w:p w:rsidR="00034074" w:rsidRDefault="00034074" w:rsidP="000E69DA">
      <w:pPr>
        <w:ind w:right="-58"/>
        <w:rPr>
          <w:rFonts w:ascii="Arial" w:hAnsi="Arial" w:cs="Arial"/>
          <w:sz w:val="22"/>
          <w:szCs w:val="22"/>
        </w:rPr>
      </w:pPr>
    </w:p>
    <w:p w:rsidR="00034074" w:rsidRPr="007F0E49" w:rsidRDefault="00034074" w:rsidP="000E69DA">
      <w:pPr>
        <w:ind w:right="-58"/>
        <w:rPr>
          <w:rFonts w:ascii="Arial" w:hAnsi="Arial" w:cs="Arial"/>
          <w:color w:val="1F3864" w:themeColor="accent5" w:themeShade="80"/>
          <w:sz w:val="22"/>
          <w:szCs w:val="22"/>
        </w:rPr>
      </w:pPr>
    </w:p>
    <w:p w:rsidR="00840E00" w:rsidRPr="007F0E49" w:rsidRDefault="00840E00" w:rsidP="000E69DA">
      <w:pPr>
        <w:ind w:right="-58"/>
        <w:rPr>
          <w:rFonts w:ascii="Arial" w:hAnsi="Arial" w:cs="Arial"/>
          <w:color w:val="1F3864" w:themeColor="accent5" w:themeShade="80"/>
          <w:sz w:val="22"/>
          <w:szCs w:val="22"/>
        </w:rPr>
      </w:pPr>
    </w:p>
    <w:p w:rsidR="000E69DA" w:rsidRPr="00A73102" w:rsidRDefault="000E69DA" w:rsidP="00D907B7">
      <w:pPr>
        <w:keepNext/>
        <w:numPr>
          <w:ilvl w:val="0"/>
          <w:numId w:val="1"/>
        </w:numPr>
        <w:jc w:val="both"/>
        <w:outlineLvl w:val="1"/>
        <w:rPr>
          <w:rFonts w:ascii="Arial" w:hAnsi="Arial" w:cs="Arial"/>
          <w:b/>
          <w:color w:val="1F3864" w:themeColor="accent5" w:themeShade="80"/>
          <w:sz w:val="24"/>
          <w:szCs w:val="24"/>
        </w:rPr>
      </w:pPr>
      <w:r w:rsidRPr="00A73102">
        <w:rPr>
          <w:rFonts w:ascii="Arial" w:hAnsi="Arial" w:cs="Arial"/>
          <w:b/>
          <w:color w:val="1F3864" w:themeColor="accent5" w:themeShade="80"/>
          <w:sz w:val="24"/>
          <w:szCs w:val="24"/>
        </w:rPr>
        <w:lastRenderedPageBreak/>
        <w:t xml:space="preserve">IZVJEŠTAJ O PROMJENAMA U VRIJEDNOSTI I OBUJMU IMOVINE I OBVEZA </w:t>
      </w:r>
      <w:r w:rsidR="009015D8" w:rsidRPr="00A73102">
        <w:rPr>
          <w:rFonts w:ascii="Arial" w:hAnsi="Arial" w:cs="Arial"/>
          <w:b/>
          <w:color w:val="1F3864" w:themeColor="accent5" w:themeShade="80"/>
          <w:sz w:val="24"/>
          <w:szCs w:val="24"/>
        </w:rPr>
        <w:t xml:space="preserve"> </w:t>
      </w:r>
    </w:p>
    <w:p w:rsidR="000E69DA" w:rsidRPr="00A73102" w:rsidRDefault="000E69DA" w:rsidP="000E69DA">
      <w:pPr>
        <w:tabs>
          <w:tab w:val="left" w:pos="284"/>
          <w:tab w:val="left" w:pos="567"/>
          <w:tab w:val="left" w:pos="851"/>
        </w:tabs>
        <w:jc w:val="both"/>
        <w:rPr>
          <w:rFonts w:ascii="Arial" w:hAnsi="Arial" w:cs="Arial"/>
          <w:color w:val="1F4E79" w:themeColor="accent1" w:themeShade="80"/>
        </w:rPr>
      </w:pPr>
    </w:p>
    <w:p w:rsidR="008C518A" w:rsidRPr="00A73102" w:rsidRDefault="008C518A" w:rsidP="000E69DA">
      <w:pPr>
        <w:tabs>
          <w:tab w:val="left" w:pos="284"/>
          <w:tab w:val="left" w:pos="567"/>
          <w:tab w:val="left" w:pos="851"/>
        </w:tabs>
        <w:jc w:val="both"/>
        <w:rPr>
          <w:rFonts w:ascii="Arial" w:hAnsi="Arial" w:cs="Arial"/>
          <w:b/>
        </w:rPr>
      </w:pPr>
    </w:p>
    <w:p w:rsidR="000E69DA" w:rsidRPr="007F0E49" w:rsidRDefault="000E69DA" w:rsidP="000E69DA">
      <w:pPr>
        <w:tabs>
          <w:tab w:val="left" w:pos="284"/>
          <w:tab w:val="left" w:pos="567"/>
          <w:tab w:val="left" w:pos="851"/>
        </w:tabs>
        <w:jc w:val="both"/>
        <w:rPr>
          <w:rFonts w:ascii="Arial" w:hAnsi="Arial" w:cs="Arial"/>
          <w:sz w:val="22"/>
          <w:szCs w:val="22"/>
        </w:rPr>
      </w:pPr>
      <w:r w:rsidRPr="007F0E49">
        <w:rPr>
          <w:rFonts w:ascii="Arial" w:hAnsi="Arial" w:cs="Arial"/>
          <w:b/>
          <w:sz w:val="22"/>
          <w:szCs w:val="22"/>
        </w:rPr>
        <w:t>Bilješka broj 2</w:t>
      </w:r>
      <w:r w:rsidR="00B52D1D" w:rsidRPr="007F0E49">
        <w:rPr>
          <w:rFonts w:ascii="Arial" w:hAnsi="Arial" w:cs="Arial"/>
          <w:b/>
          <w:sz w:val="22"/>
          <w:szCs w:val="22"/>
        </w:rPr>
        <w:t>1</w:t>
      </w:r>
      <w:r w:rsidRPr="007F0E49">
        <w:rPr>
          <w:rFonts w:ascii="Arial" w:hAnsi="Arial" w:cs="Arial"/>
          <w:sz w:val="22"/>
          <w:szCs w:val="22"/>
        </w:rPr>
        <w:t xml:space="preserve"> – U obrascu P-VRIO iskazane su sve one promjene u vrijednosti i obujmu imovine i obveza koje nisu rezultat financijskih aktivnosti, odnosno transakcija. Iz izvještaja je evidentno ukupno povećanje vrijednosti i obujma imovine</w:t>
      </w:r>
      <w:r w:rsidR="008D3234" w:rsidRPr="007F0E49">
        <w:rPr>
          <w:rFonts w:ascii="Arial" w:hAnsi="Arial" w:cs="Arial"/>
          <w:sz w:val="22"/>
          <w:szCs w:val="22"/>
        </w:rPr>
        <w:t xml:space="preserve"> i obveza</w:t>
      </w:r>
      <w:r w:rsidRPr="007F0E49">
        <w:rPr>
          <w:rFonts w:ascii="Arial" w:hAnsi="Arial" w:cs="Arial"/>
          <w:sz w:val="22"/>
          <w:szCs w:val="22"/>
        </w:rPr>
        <w:t xml:space="preserve"> u vrijednosti od </w:t>
      </w:r>
      <w:r w:rsidR="00DD4842" w:rsidRPr="007F0E49">
        <w:rPr>
          <w:rFonts w:ascii="Arial" w:hAnsi="Arial" w:cs="Arial"/>
          <w:sz w:val="22"/>
          <w:szCs w:val="22"/>
        </w:rPr>
        <w:t>184.454.984,97</w:t>
      </w:r>
      <w:r w:rsidR="00564F30" w:rsidRPr="007F0E49">
        <w:rPr>
          <w:rFonts w:ascii="Arial" w:hAnsi="Arial" w:cs="Arial"/>
          <w:sz w:val="22"/>
          <w:szCs w:val="22"/>
        </w:rPr>
        <w:t xml:space="preserve"> </w:t>
      </w:r>
      <w:r w:rsidRPr="007F0E49">
        <w:rPr>
          <w:rFonts w:ascii="Arial" w:hAnsi="Arial" w:cs="Arial"/>
          <w:sz w:val="22"/>
          <w:szCs w:val="22"/>
        </w:rPr>
        <w:t xml:space="preserve">kn te smanjenje za </w:t>
      </w:r>
      <w:r w:rsidR="00DD4842" w:rsidRPr="007F0E49">
        <w:rPr>
          <w:rFonts w:ascii="Arial" w:hAnsi="Arial" w:cs="Arial"/>
          <w:sz w:val="22"/>
          <w:szCs w:val="22"/>
        </w:rPr>
        <w:t>80.515.274,67</w:t>
      </w:r>
      <w:r w:rsidR="00690CB7" w:rsidRPr="007F0E49">
        <w:rPr>
          <w:rFonts w:ascii="Arial" w:hAnsi="Arial" w:cs="Arial"/>
          <w:sz w:val="22"/>
          <w:szCs w:val="22"/>
        </w:rPr>
        <w:t xml:space="preserve"> </w:t>
      </w:r>
      <w:r w:rsidRPr="007F0E49">
        <w:rPr>
          <w:rFonts w:ascii="Arial" w:hAnsi="Arial" w:cs="Arial"/>
          <w:sz w:val="22"/>
          <w:szCs w:val="22"/>
        </w:rPr>
        <w:t>kn.</w:t>
      </w:r>
    </w:p>
    <w:p w:rsidR="000E69DA" w:rsidRPr="007F0E49" w:rsidRDefault="000E69DA" w:rsidP="000E69DA">
      <w:pPr>
        <w:tabs>
          <w:tab w:val="left" w:pos="284"/>
          <w:tab w:val="left" w:pos="567"/>
          <w:tab w:val="left" w:pos="851"/>
        </w:tabs>
        <w:jc w:val="both"/>
        <w:rPr>
          <w:rFonts w:ascii="Arial" w:hAnsi="Arial" w:cs="Arial"/>
          <w:sz w:val="22"/>
          <w:szCs w:val="22"/>
          <w:highlight w:val="yellow"/>
        </w:rPr>
      </w:pPr>
    </w:p>
    <w:p w:rsidR="00AB0542" w:rsidRPr="007F0E49" w:rsidRDefault="000E69DA" w:rsidP="000E69DA">
      <w:pPr>
        <w:jc w:val="both"/>
        <w:rPr>
          <w:rFonts w:ascii="Arial" w:hAnsi="Arial" w:cs="Arial"/>
          <w:sz w:val="22"/>
          <w:szCs w:val="22"/>
        </w:rPr>
      </w:pPr>
      <w:r w:rsidRPr="007F0E49">
        <w:rPr>
          <w:rFonts w:ascii="Arial" w:hAnsi="Arial" w:cs="Arial"/>
          <w:i/>
          <w:sz w:val="22"/>
          <w:szCs w:val="22"/>
          <w:u w:val="single"/>
        </w:rPr>
        <w:t>Povećanje vrijednosti (revalorizacija) imovine (</w:t>
      </w:r>
      <w:r w:rsidR="006B35DD" w:rsidRPr="007F0E49">
        <w:rPr>
          <w:rFonts w:ascii="Arial" w:hAnsi="Arial" w:cs="Arial"/>
          <w:i/>
          <w:sz w:val="22"/>
          <w:szCs w:val="22"/>
          <w:u w:val="single"/>
        </w:rPr>
        <w:t>91511</w:t>
      </w:r>
      <w:r w:rsidRPr="007F0E49">
        <w:rPr>
          <w:rFonts w:ascii="Arial" w:hAnsi="Arial" w:cs="Arial"/>
          <w:i/>
          <w:sz w:val="22"/>
          <w:szCs w:val="22"/>
          <w:u w:val="single"/>
        </w:rPr>
        <w:t>)</w:t>
      </w:r>
      <w:r w:rsidRPr="007F0E49">
        <w:rPr>
          <w:rFonts w:ascii="Arial" w:hAnsi="Arial" w:cs="Arial"/>
          <w:sz w:val="22"/>
          <w:szCs w:val="22"/>
        </w:rPr>
        <w:t xml:space="preserve"> u iznosu </w:t>
      </w:r>
      <w:r w:rsidR="00564F30" w:rsidRPr="007F0E49">
        <w:rPr>
          <w:rFonts w:ascii="Arial" w:hAnsi="Arial" w:cs="Arial"/>
          <w:sz w:val="22"/>
          <w:szCs w:val="22"/>
        </w:rPr>
        <w:t>99.860.640,09</w:t>
      </w:r>
      <w:r w:rsidRPr="007F0E49">
        <w:rPr>
          <w:rFonts w:ascii="Arial" w:hAnsi="Arial" w:cs="Arial"/>
          <w:sz w:val="22"/>
          <w:szCs w:val="22"/>
        </w:rPr>
        <w:t xml:space="preserve"> kn odnosi se na</w:t>
      </w:r>
      <w:r w:rsidR="00AB0542" w:rsidRPr="007F0E49">
        <w:rPr>
          <w:rFonts w:ascii="Arial" w:hAnsi="Arial" w:cs="Arial"/>
          <w:sz w:val="22"/>
          <w:szCs w:val="22"/>
        </w:rPr>
        <w:t>:</w:t>
      </w:r>
    </w:p>
    <w:p w:rsidR="00AB0542" w:rsidRPr="007F0E49" w:rsidRDefault="000E69DA" w:rsidP="00AB0542">
      <w:pPr>
        <w:pStyle w:val="ListParagraph"/>
        <w:numPr>
          <w:ilvl w:val="0"/>
          <w:numId w:val="25"/>
        </w:numPr>
        <w:jc w:val="both"/>
        <w:rPr>
          <w:rFonts w:ascii="Arial" w:hAnsi="Arial" w:cs="Arial"/>
          <w:sz w:val="22"/>
          <w:szCs w:val="22"/>
        </w:rPr>
      </w:pPr>
      <w:r w:rsidRPr="007F0E49">
        <w:rPr>
          <w:rFonts w:ascii="Arial" w:hAnsi="Arial" w:cs="Arial"/>
          <w:sz w:val="22"/>
          <w:szCs w:val="22"/>
        </w:rPr>
        <w:t>povećanje</w:t>
      </w:r>
      <w:r w:rsidR="003767F9" w:rsidRPr="007F0E49">
        <w:rPr>
          <w:rFonts w:ascii="Arial" w:hAnsi="Arial" w:cs="Arial"/>
          <w:sz w:val="22"/>
          <w:szCs w:val="22"/>
        </w:rPr>
        <w:t xml:space="preserve"> vrijednosti </w:t>
      </w:r>
      <w:r w:rsidRPr="007F0E49">
        <w:rPr>
          <w:rFonts w:ascii="Arial" w:hAnsi="Arial" w:cs="Arial"/>
          <w:sz w:val="22"/>
          <w:szCs w:val="22"/>
        </w:rPr>
        <w:t>ne</w:t>
      </w:r>
      <w:r w:rsidR="00AB0542" w:rsidRPr="007F0E49">
        <w:rPr>
          <w:rFonts w:ascii="Arial" w:hAnsi="Arial" w:cs="Arial"/>
          <w:sz w:val="22"/>
          <w:szCs w:val="22"/>
        </w:rPr>
        <w:t xml:space="preserve">proizvedene dugotrajne </w:t>
      </w:r>
      <w:r w:rsidRPr="007F0E49">
        <w:rPr>
          <w:rFonts w:ascii="Arial" w:hAnsi="Arial" w:cs="Arial"/>
          <w:sz w:val="22"/>
          <w:szCs w:val="22"/>
        </w:rPr>
        <w:t xml:space="preserve">imovine </w:t>
      </w:r>
      <w:r w:rsidR="00AB0542" w:rsidRPr="007F0E49">
        <w:rPr>
          <w:rFonts w:ascii="Arial" w:hAnsi="Arial" w:cs="Arial"/>
          <w:sz w:val="22"/>
          <w:szCs w:val="22"/>
        </w:rPr>
        <w:t xml:space="preserve">(P002) u iznosu 11.367.492,60 kn (usklađenje </w:t>
      </w:r>
      <w:r w:rsidRPr="007F0E49">
        <w:rPr>
          <w:rFonts w:ascii="Arial" w:hAnsi="Arial" w:cs="Arial"/>
          <w:sz w:val="22"/>
          <w:szCs w:val="22"/>
        </w:rPr>
        <w:t>vrijednosti zemljišta do kupoprodajne vrijednosti</w:t>
      </w:r>
      <w:r w:rsidR="006656B5" w:rsidRPr="007F0E49">
        <w:rPr>
          <w:rFonts w:ascii="Arial" w:hAnsi="Arial" w:cs="Arial"/>
          <w:sz w:val="22"/>
          <w:szCs w:val="22"/>
        </w:rPr>
        <w:t xml:space="preserve">, </w:t>
      </w:r>
      <w:r w:rsidR="003767F9" w:rsidRPr="007F0E49">
        <w:rPr>
          <w:rFonts w:ascii="Arial" w:hAnsi="Arial" w:cs="Arial"/>
          <w:sz w:val="22"/>
          <w:szCs w:val="22"/>
        </w:rPr>
        <w:t xml:space="preserve">do </w:t>
      </w:r>
      <w:r w:rsidR="00AB0542" w:rsidRPr="007F0E49">
        <w:rPr>
          <w:rFonts w:ascii="Arial" w:hAnsi="Arial" w:cs="Arial"/>
          <w:sz w:val="22"/>
          <w:szCs w:val="22"/>
        </w:rPr>
        <w:t xml:space="preserve">visine </w:t>
      </w:r>
      <w:r w:rsidR="003767F9" w:rsidRPr="007F0E49">
        <w:rPr>
          <w:rFonts w:ascii="Arial" w:hAnsi="Arial" w:cs="Arial"/>
          <w:sz w:val="22"/>
          <w:szCs w:val="22"/>
        </w:rPr>
        <w:t xml:space="preserve">novih </w:t>
      </w:r>
      <w:r w:rsidR="006656B5" w:rsidRPr="007F0E49">
        <w:rPr>
          <w:rFonts w:ascii="Arial" w:hAnsi="Arial" w:cs="Arial"/>
          <w:sz w:val="22"/>
          <w:szCs w:val="22"/>
        </w:rPr>
        <w:t>procjena</w:t>
      </w:r>
      <w:r w:rsidR="003767F9" w:rsidRPr="007F0E49">
        <w:rPr>
          <w:rFonts w:ascii="Arial" w:hAnsi="Arial" w:cs="Arial"/>
          <w:sz w:val="22"/>
          <w:szCs w:val="22"/>
        </w:rPr>
        <w:t xml:space="preserve"> vrijednosti</w:t>
      </w:r>
      <w:r w:rsidR="006656B5" w:rsidRPr="007F0E49">
        <w:rPr>
          <w:rFonts w:ascii="Arial" w:hAnsi="Arial" w:cs="Arial"/>
          <w:sz w:val="22"/>
          <w:szCs w:val="22"/>
        </w:rPr>
        <w:t>, usklađenja</w:t>
      </w:r>
      <w:r w:rsidRPr="007F0E49">
        <w:rPr>
          <w:rFonts w:ascii="Arial" w:hAnsi="Arial" w:cs="Arial"/>
          <w:sz w:val="22"/>
          <w:szCs w:val="22"/>
        </w:rPr>
        <w:t xml:space="preserve"> </w:t>
      </w:r>
      <w:r w:rsidR="003767F9" w:rsidRPr="007F0E49">
        <w:rPr>
          <w:rFonts w:ascii="Arial" w:hAnsi="Arial" w:cs="Arial"/>
          <w:sz w:val="22"/>
          <w:szCs w:val="22"/>
        </w:rPr>
        <w:t xml:space="preserve">vrijednosti po provedenim </w:t>
      </w:r>
      <w:r w:rsidRPr="007F0E49">
        <w:rPr>
          <w:rFonts w:ascii="Arial" w:hAnsi="Arial" w:cs="Arial"/>
          <w:sz w:val="22"/>
          <w:szCs w:val="22"/>
        </w:rPr>
        <w:t>parcelacija</w:t>
      </w:r>
      <w:r w:rsidR="003767F9" w:rsidRPr="007F0E49">
        <w:rPr>
          <w:rFonts w:ascii="Arial" w:hAnsi="Arial" w:cs="Arial"/>
          <w:sz w:val="22"/>
          <w:szCs w:val="22"/>
        </w:rPr>
        <w:t>ma</w:t>
      </w:r>
      <w:r w:rsidR="00AB0542" w:rsidRPr="007F0E49">
        <w:rPr>
          <w:rFonts w:ascii="Arial" w:hAnsi="Arial" w:cs="Arial"/>
          <w:sz w:val="22"/>
          <w:szCs w:val="22"/>
        </w:rPr>
        <w:t>)</w:t>
      </w:r>
    </w:p>
    <w:p w:rsidR="00AB0542" w:rsidRPr="007F0E49" w:rsidRDefault="00AB0542" w:rsidP="00AB0542">
      <w:pPr>
        <w:pStyle w:val="ListParagraph"/>
        <w:numPr>
          <w:ilvl w:val="0"/>
          <w:numId w:val="25"/>
        </w:numPr>
        <w:jc w:val="both"/>
        <w:rPr>
          <w:rFonts w:ascii="Arial" w:hAnsi="Arial" w:cs="Arial"/>
          <w:sz w:val="22"/>
          <w:szCs w:val="22"/>
        </w:rPr>
      </w:pPr>
      <w:r w:rsidRPr="007F0E49">
        <w:rPr>
          <w:rFonts w:ascii="Arial" w:hAnsi="Arial" w:cs="Arial"/>
          <w:sz w:val="22"/>
          <w:szCs w:val="22"/>
        </w:rPr>
        <w:t xml:space="preserve">na povećanje vrijednosti </w:t>
      </w:r>
      <w:r w:rsidR="000E69DA" w:rsidRPr="007F0E49">
        <w:rPr>
          <w:rFonts w:ascii="Arial" w:hAnsi="Arial" w:cs="Arial"/>
          <w:sz w:val="22"/>
          <w:szCs w:val="22"/>
        </w:rPr>
        <w:t>proizvedene dugotrajne imovine (</w:t>
      </w:r>
      <w:r w:rsidR="00564F30" w:rsidRPr="007F0E49">
        <w:rPr>
          <w:rFonts w:ascii="Arial" w:hAnsi="Arial" w:cs="Arial"/>
          <w:sz w:val="22"/>
          <w:szCs w:val="22"/>
        </w:rPr>
        <w:t>P003)</w:t>
      </w:r>
      <w:r w:rsidR="000E69DA" w:rsidRPr="007F0E49">
        <w:rPr>
          <w:rFonts w:ascii="Arial" w:hAnsi="Arial" w:cs="Arial"/>
          <w:sz w:val="22"/>
          <w:szCs w:val="22"/>
        </w:rPr>
        <w:t xml:space="preserve"> - </w:t>
      </w:r>
      <w:r w:rsidR="009C29F8" w:rsidRPr="007F0E49">
        <w:rPr>
          <w:rFonts w:ascii="Arial" w:hAnsi="Arial" w:cs="Arial"/>
          <w:sz w:val="22"/>
          <w:szCs w:val="22"/>
        </w:rPr>
        <w:t>povećanje vrijednosti stanova</w:t>
      </w:r>
      <w:r w:rsidRPr="007F0E49">
        <w:rPr>
          <w:rFonts w:ascii="Arial" w:hAnsi="Arial" w:cs="Arial"/>
          <w:sz w:val="22"/>
          <w:szCs w:val="22"/>
        </w:rPr>
        <w:t xml:space="preserve"> i</w:t>
      </w:r>
      <w:r w:rsidR="006656B5" w:rsidRPr="007F0E49">
        <w:rPr>
          <w:rFonts w:ascii="Arial" w:hAnsi="Arial" w:cs="Arial"/>
          <w:sz w:val="22"/>
          <w:szCs w:val="22"/>
        </w:rPr>
        <w:t xml:space="preserve"> </w:t>
      </w:r>
      <w:r w:rsidR="000E69DA" w:rsidRPr="007F0E49">
        <w:rPr>
          <w:rFonts w:ascii="Arial" w:hAnsi="Arial" w:cs="Arial"/>
          <w:sz w:val="22"/>
          <w:szCs w:val="22"/>
        </w:rPr>
        <w:t>poslovnih prostora</w:t>
      </w:r>
      <w:r w:rsidR="00302C17" w:rsidRPr="007F0E49">
        <w:rPr>
          <w:rFonts w:ascii="Arial" w:hAnsi="Arial" w:cs="Arial"/>
          <w:sz w:val="22"/>
          <w:szCs w:val="22"/>
        </w:rPr>
        <w:t xml:space="preserve"> u iznosu</w:t>
      </w:r>
      <w:r w:rsidR="003767F9" w:rsidRPr="007F0E49">
        <w:rPr>
          <w:rFonts w:ascii="Arial" w:hAnsi="Arial" w:cs="Arial"/>
          <w:sz w:val="22"/>
          <w:szCs w:val="22"/>
        </w:rPr>
        <w:t xml:space="preserve"> </w:t>
      </w:r>
      <w:r w:rsidR="00564F30" w:rsidRPr="007F0E49">
        <w:rPr>
          <w:rFonts w:ascii="Arial" w:hAnsi="Arial" w:cs="Arial"/>
          <w:sz w:val="22"/>
          <w:szCs w:val="22"/>
        </w:rPr>
        <w:t>13.020.694,50 kn</w:t>
      </w:r>
    </w:p>
    <w:p w:rsidR="000E69DA" w:rsidRPr="007F0E49" w:rsidRDefault="00AB0542" w:rsidP="00AB0542">
      <w:pPr>
        <w:pStyle w:val="ListParagraph"/>
        <w:numPr>
          <w:ilvl w:val="0"/>
          <w:numId w:val="25"/>
        </w:numPr>
        <w:jc w:val="both"/>
        <w:rPr>
          <w:rFonts w:ascii="Arial" w:hAnsi="Arial" w:cs="Arial"/>
          <w:sz w:val="22"/>
          <w:szCs w:val="22"/>
        </w:rPr>
      </w:pPr>
      <w:r w:rsidRPr="007F0E49">
        <w:rPr>
          <w:rFonts w:ascii="Arial" w:hAnsi="Arial" w:cs="Arial"/>
          <w:sz w:val="22"/>
          <w:szCs w:val="22"/>
        </w:rPr>
        <w:t>na</w:t>
      </w:r>
      <w:r w:rsidR="00564F30" w:rsidRPr="007F0E49">
        <w:rPr>
          <w:rFonts w:ascii="Arial" w:hAnsi="Arial" w:cs="Arial"/>
          <w:sz w:val="22"/>
          <w:szCs w:val="22"/>
        </w:rPr>
        <w:t xml:space="preserve"> povećanje vrijednosti dionica i </w:t>
      </w:r>
      <w:r w:rsidR="00740776" w:rsidRPr="007F0E49">
        <w:rPr>
          <w:rFonts w:ascii="Arial" w:hAnsi="Arial" w:cs="Arial"/>
          <w:sz w:val="22"/>
          <w:szCs w:val="22"/>
        </w:rPr>
        <w:t xml:space="preserve">poslovnih </w:t>
      </w:r>
      <w:r w:rsidR="00564F30" w:rsidRPr="007F0E49">
        <w:rPr>
          <w:rFonts w:ascii="Arial" w:hAnsi="Arial" w:cs="Arial"/>
          <w:sz w:val="22"/>
          <w:szCs w:val="22"/>
        </w:rPr>
        <w:t xml:space="preserve">udjela u glavnici </w:t>
      </w:r>
      <w:r w:rsidR="008C6472" w:rsidRPr="007F0E49">
        <w:rPr>
          <w:rFonts w:ascii="Arial" w:hAnsi="Arial" w:cs="Arial"/>
          <w:sz w:val="22"/>
          <w:szCs w:val="22"/>
        </w:rPr>
        <w:t xml:space="preserve">trgovačkih društava </w:t>
      </w:r>
      <w:r w:rsidR="00564F30" w:rsidRPr="007F0E49">
        <w:rPr>
          <w:rFonts w:ascii="Arial" w:hAnsi="Arial" w:cs="Arial"/>
          <w:sz w:val="22"/>
          <w:szCs w:val="22"/>
        </w:rPr>
        <w:t>(P01</w:t>
      </w:r>
      <w:r w:rsidRPr="007F0E49">
        <w:rPr>
          <w:rFonts w:ascii="Arial" w:hAnsi="Arial" w:cs="Arial"/>
          <w:sz w:val="22"/>
          <w:szCs w:val="22"/>
        </w:rPr>
        <w:t xml:space="preserve">3) u iznosu od 75.472.452,99 kn zbog usklađenja </w:t>
      </w:r>
      <w:r w:rsidR="00F166B0" w:rsidRPr="007F0E49">
        <w:rPr>
          <w:rFonts w:ascii="Arial" w:hAnsi="Arial" w:cs="Arial"/>
          <w:sz w:val="22"/>
          <w:szCs w:val="22"/>
        </w:rPr>
        <w:t xml:space="preserve">s nominalnom vrijednosti poslovnih udjela </w:t>
      </w:r>
    </w:p>
    <w:p w:rsidR="00D74D6C" w:rsidRPr="007F0E49" w:rsidRDefault="00D74D6C" w:rsidP="000E69DA">
      <w:pPr>
        <w:jc w:val="both"/>
        <w:rPr>
          <w:rFonts w:ascii="Arial" w:hAnsi="Arial" w:cs="Arial"/>
          <w:sz w:val="22"/>
          <w:szCs w:val="22"/>
        </w:rPr>
      </w:pPr>
    </w:p>
    <w:p w:rsidR="00C76031" w:rsidRPr="007F0E49" w:rsidRDefault="000E69DA" w:rsidP="000E69DA">
      <w:pPr>
        <w:jc w:val="both"/>
        <w:rPr>
          <w:rFonts w:ascii="Arial" w:hAnsi="Arial" w:cs="Arial"/>
          <w:sz w:val="22"/>
          <w:szCs w:val="22"/>
        </w:rPr>
      </w:pPr>
      <w:r w:rsidRPr="007F0E49">
        <w:rPr>
          <w:rFonts w:ascii="Arial" w:hAnsi="Arial" w:cs="Arial"/>
          <w:i/>
          <w:sz w:val="22"/>
          <w:szCs w:val="22"/>
          <w:u w:val="single"/>
        </w:rPr>
        <w:t>Smanjenje vrijednosti (revalorizacija) imovine (</w:t>
      </w:r>
      <w:r w:rsidR="00564F30" w:rsidRPr="007F0E49">
        <w:rPr>
          <w:rFonts w:ascii="Arial" w:hAnsi="Arial" w:cs="Arial"/>
          <w:i/>
          <w:sz w:val="22"/>
          <w:szCs w:val="22"/>
          <w:u w:val="single"/>
        </w:rPr>
        <w:t>91511</w:t>
      </w:r>
      <w:r w:rsidRPr="007F0E49">
        <w:rPr>
          <w:rFonts w:ascii="Arial" w:hAnsi="Arial" w:cs="Arial"/>
          <w:i/>
          <w:sz w:val="22"/>
          <w:szCs w:val="22"/>
          <w:u w:val="single"/>
        </w:rPr>
        <w:t>)</w:t>
      </w:r>
      <w:r w:rsidRPr="007F0E49">
        <w:rPr>
          <w:rFonts w:ascii="Arial" w:hAnsi="Arial" w:cs="Arial"/>
          <w:sz w:val="22"/>
          <w:szCs w:val="22"/>
        </w:rPr>
        <w:t xml:space="preserve"> u iznosu </w:t>
      </w:r>
      <w:r w:rsidR="00564F30" w:rsidRPr="007F0E49">
        <w:rPr>
          <w:rFonts w:ascii="Arial" w:hAnsi="Arial" w:cs="Arial"/>
          <w:sz w:val="22"/>
          <w:szCs w:val="22"/>
        </w:rPr>
        <w:t>17.837.652,58</w:t>
      </w:r>
      <w:r w:rsidRPr="007F0E49">
        <w:rPr>
          <w:rFonts w:ascii="Arial" w:hAnsi="Arial" w:cs="Arial"/>
          <w:sz w:val="22"/>
          <w:szCs w:val="22"/>
        </w:rPr>
        <w:t xml:space="preserve"> kn </w:t>
      </w:r>
      <w:r w:rsidR="00D74D6C" w:rsidRPr="007F0E49">
        <w:rPr>
          <w:rFonts w:ascii="Arial" w:hAnsi="Arial" w:cs="Arial"/>
          <w:sz w:val="22"/>
          <w:szCs w:val="22"/>
        </w:rPr>
        <w:t>odnosi se na</w:t>
      </w:r>
      <w:r w:rsidR="00C76031" w:rsidRPr="007F0E49">
        <w:rPr>
          <w:rFonts w:ascii="Arial" w:hAnsi="Arial" w:cs="Arial"/>
          <w:sz w:val="22"/>
          <w:szCs w:val="22"/>
        </w:rPr>
        <w:t>:</w:t>
      </w:r>
    </w:p>
    <w:p w:rsidR="004260A8" w:rsidRPr="007F0E49" w:rsidRDefault="000E69DA" w:rsidP="00C76031">
      <w:pPr>
        <w:pStyle w:val="ListParagraph"/>
        <w:numPr>
          <w:ilvl w:val="0"/>
          <w:numId w:val="25"/>
        </w:numPr>
        <w:jc w:val="both"/>
        <w:rPr>
          <w:rFonts w:ascii="Arial" w:hAnsi="Arial" w:cs="Arial"/>
          <w:sz w:val="22"/>
          <w:szCs w:val="22"/>
        </w:rPr>
      </w:pPr>
      <w:r w:rsidRPr="007F0E49">
        <w:rPr>
          <w:rFonts w:ascii="Arial" w:hAnsi="Arial" w:cs="Arial"/>
          <w:sz w:val="22"/>
          <w:szCs w:val="22"/>
        </w:rPr>
        <w:t>smanjenje</w:t>
      </w:r>
      <w:r w:rsidR="003767F9" w:rsidRPr="007F0E49">
        <w:rPr>
          <w:rFonts w:ascii="Arial" w:hAnsi="Arial" w:cs="Arial"/>
          <w:sz w:val="22"/>
          <w:szCs w:val="22"/>
        </w:rPr>
        <w:t xml:space="preserve"> vrijednosti </w:t>
      </w:r>
      <w:r w:rsidR="004260A8" w:rsidRPr="007F0E49">
        <w:rPr>
          <w:rFonts w:ascii="Arial" w:hAnsi="Arial" w:cs="Arial"/>
          <w:sz w:val="22"/>
          <w:szCs w:val="22"/>
        </w:rPr>
        <w:t xml:space="preserve">dugotrajne nefinancijske imovine u iznosu od 16.938.585,60 kn </w:t>
      </w:r>
      <w:r w:rsidR="003F1963" w:rsidRPr="007F0E49">
        <w:rPr>
          <w:rFonts w:ascii="Arial" w:hAnsi="Arial" w:cs="Arial"/>
          <w:sz w:val="22"/>
          <w:szCs w:val="22"/>
        </w:rPr>
        <w:t>kroz usklađenje do kupoprodajne vrijednosti (</w:t>
      </w:r>
      <w:r w:rsidR="00062F60" w:rsidRPr="007F0E49">
        <w:rPr>
          <w:rFonts w:ascii="Arial" w:hAnsi="Arial" w:cs="Arial"/>
          <w:sz w:val="22"/>
          <w:szCs w:val="22"/>
        </w:rPr>
        <w:t>zemljišta</w:t>
      </w:r>
      <w:r w:rsidR="003F1963" w:rsidRPr="007F0E49">
        <w:rPr>
          <w:rFonts w:ascii="Arial" w:hAnsi="Arial" w:cs="Arial"/>
          <w:sz w:val="22"/>
          <w:szCs w:val="22"/>
        </w:rPr>
        <w:t xml:space="preserve">, stanova), </w:t>
      </w:r>
    </w:p>
    <w:p w:rsidR="004260A8" w:rsidRPr="007F0E49" w:rsidRDefault="004260A8" w:rsidP="00C76031">
      <w:pPr>
        <w:pStyle w:val="ListParagraph"/>
        <w:numPr>
          <w:ilvl w:val="0"/>
          <w:numId w:val="25"/>
        </w:numPr>
        <w:jc w:val="both"/>
        <w:rPr>
          <w:rFonts w:ascii="Arial" w:hAnsi="Arial" w:cs="Arial"/>
          <w:sz w:val="22"/>
          <w:szCs w:val="22"/>
        </w:rPr>
      </w:pPr>
      <w:r w:rsidRPr="007F0E49">
        <w:rPr>
          <w:rFonts w:ascii="Arial" w:hAnsi="Arial" w:cs="Arial"/>
          <w:sz w:val="22"/>
          <w:szCs w:val="22"/>
        </w:rPr>
        <w:t xml:space="preserve">smanjenje </w:t>
      </w:r>
      <w:r w:rsidR="003F1963" w:rsidRPr="007F0E49">
        <w:rPr>
          <w:rFonts w:ascii="Arial" w:hAnsi="Arial" w:cs="Arial"/>
          <w:sz w:val="22"/>
          <w:szCs w:val="22"/>
        </w:rPr>
        <w:t>usklađenjem vrijednosti n</w:t>
      </w:r>
      <w:r w:rsidR="000E69DA" w:rsidRPr="007F0E49">
        <w:rPr>
          <w:rFonts w:ascii="Arial" w:hAnsi="Arial" w:cs="Arial"/>
          <w:sz w:val="22"/>
          <w:szCs w:val="22"/>
        </w:rPr>
        <w:t>a stavkama</w:t>
      </w:r>
      <w:r w:rsidR="00992641" w:rsidRPr="007F0E49">
        <w:rPr>
          <w:rFonts w:ascii="Arial" w:hAnsi="Arial" w:cs="Arial"/>
          <w:sz w:val="22"/>
          <w:szCs w:val="22"/>
        </w:rPr>
        <w:t xml:space="preserve"> dionica i udjela u glavnici</w:t>
      </w:r>
      <w:r w:rsidR="00CD4322" w:rsidRPr="007F0E49">
        <w:rPr>
          <w:rFonts w:ascii="Arial" w:hAnsi="Arial" w:cs="Arial"/>
          <w:sz w:val="22"/>
          <w:szCs w:val="22"/>
        </w:rPr>
        <w:t xml:space="preserve"> </w:t>
      </w:r>
      <w:r w:rsidRPr="007F0E49">
        <w:rPr>
          <w:rFonts w:ascii="Arial" w:hAnsi="Arial" w:cs="Arial"/>
          <w:sz w:val="22"/>
          <w:szCs w:val="22"/>
        </w:rPr>
        <w:t>u iznosu od 15.324,07 kn</w:t>
      </w:r>
    </w:p>
    <w:p w:rsidR="008F3C75" w:rsidRPr="007F0E49" w:rsidRDefault="003F1963" w:rsidP="008A6D80">
      <w:pPr>
        <w:pStyle w:val="ListParagraph"/>
        <w:numPr>
          <w:ilvl w:val="0"/>
          <w:numId w:val="25"/>
        </w:numPr>
        <w:jc w:val="both"/>
        <w:rPr>
          <w:rFonts w:ascii="Arial" w:hAnsi="Arial" w:cs="Arial"/>
          <w:sz w:val="22"/>
          <w:szCs w:val="22"/>
        </w:rPr>
      </w:pPr>
      <w:r w:rsidRPr="007F0E49">
        <w:rPr>
          <w:rFonts w:ascii="Arial" w:hAnsi="Arial" w:cs="Arial"/>
          <w:sz w:val="22"/>
          <w:szCs w:val="22"/>
        </w:rPr>
        <w:t>te</w:t>
      </w:r>
      <w:r w:rsidR="00564F30" w:rsidRPr="007F0E49">
        <w:rPr>
          <w:rFonts w:ascii="Arial" w:hAnsi="Arial" w:cs="Arial"/>
          <w:sz w:val="22"/>
          <w:szCs w:val="22"/>
        </w:rPr>
        <w:t xml:space="preserve"> </w:t>
      </w:r>
      <w:r w:rsidRPr="007F0E49">
        <w:rPr>
          <w:rFonts w:ascii="Arial" w:hAnsi="Arial" w:cs="Arial"/>
          <w:sz w:val="22"/>
          <w:szCs w:val="22"/>
        </w:rPr>
        <w:t>usklađenjem vrijednosti</w:t>
      </w:r>
      <w:r w:rsidR="00564F30" w:rsidRPr="007F0E49">
        <w:rPr>
          <w:rFonts w:ascii="Arial" w:hAnsi="Arial" w:cs="Arial"/>
          <w:sz w:val="22"/>
          <w:szCs w:val="22"/>
        </w:rPr>
        <w:t xml:space="preserve"> </w:t>
      </w:r>
      <w:r w:rsidR="003A4818" w:rsidRPr="007F0E49">
        <w:rPr>
          <w:rFonts w:ascii="Arial" w:hAnsi="Arial" w:cs="Arial"/>
          <w:sz w:val="22"/>
          <w:szCs w:val="22"/>
        </w:rPr>
        <w:t xml:space="preserve">potraživanja </w:t>
      </w:r>
      <w:r w:rsidR="00F32234" w:rsidRPr="007F0E49">
        <w:rPr>
          <w:rFonts w:ascii="Arial" w:hAnsi="Arial" w:cs="Arial"/>
          <w:sz w:val="22"/>
          <w:szCs w:val="22"/>
        </w:rPr>
        <w:t>u iznosu od 883.742,91 kn</w:t>
      </w:r>
      <w:r w:rsidR="00BF66A4" w:rsidRPr="007F0E49">
        <w:rPr>
          <w:rFonts w:ascii="Arial" w:hAnsi="Arial" w:cs="Arial"/>
          <w:sz w:val="22"/>
          <w:szCs w:val="22"/>
        </w:rPr>
        <w:t xml:space="preserve"> za odobrene popuste za jednokratno plaćanje </w:t>
      </w:r>
    </w:p>
    <w:p w:rsidR="005965CA" w:rsidRPr="007F0E49" w:rsidRDefault="005965CA" w:rsidP="000E69DA">
      <w:pPr>
        <w:jc w:val="both"/>
        <w:rPr>
          <w:rFonts w:ascii="Arial" w:hAnsi="Arial" w:cs="Arial"/>
          <w:i/>
          <w:sz w:val="22"/>
          <w:szCs w:val="22"/>
          <w:u w:val="single"/>
        </w:rPr>
      </w:pPr>
    </w:p>
    <w:p w:rsidR="000F3DD0" w:rsidRPr="007F0E49" w:rsidRDefault="000E69DA" w:rsidP="000E69DA">
      <w:pPr>
        <w:jc w:val="both"/>
        <w:rPr>
          <w:rFonts w:ascii="Arial" w:hAnsi="Arial" w:cs="Arial"/>
          <w:sz w:val="22"/>
          <w:szCs w:val="22"/>
        </w:rPr>
      </w:pPr>
      <w:r w:rsidRPr="007F0E49">
        <w:rPr>
          <w:rFonts w:ascii="Arial" w:hAnsi="Arial" w:cs="Arial"/>
          <w:i/>
          <w:sz w:val="22"/>
          <w:szCs w:val="22"/>
          <w:u w:val="single"/>
        </w:rPr>
        <w:t>Povećanje obujma imovine (</w:t>
      </w:r>
      <w:r w:rsidR="00564F30" w:rsidRPr="007F0E49">
        <w:rPr>
          <w:rFonts w:ascii="Arial" w:hAnsi="Arial" w:cs="Arial"/>
          <w:i/>
          <w:sz w:val="22"/>
          <w:szCs w:val="22"/>
          <w:u w:val="single"/>
        </w:rPr>
        <w:t>91512</w:t>
      </w:r>
      <w:r w:rsidRPr="007F0E49">
        <w:rPr>
          <w:rFonts w:ascii="Arial" w:hAnsi="Arial" w:cs="Arial"/>
          <w:i/>
          <w:sz w:val="22"/>
          <w:szCs w:val="22"/>
          <w:u w:val="single"/>
        </w:rPr>
        <w:t>)</w:t>
      </w:r>
      <w:r w:rsidRPr="007F0E49">
        <w:rPr>
          <w:rFonts w:ascii="Arial" w:hAnsi="Arial" w:cs="Arial"/>
          <w:sz w:val="22"/>
          <w:szCs w:val="22"/>
        </w:rPr>
        <w:t xml:space="preserve"> u visini od </w:t>
      </w:r>
      <w:r w:rsidR="00DD4842" w:rsidRPr="007F0E49">
        <w:rPr>
          <w:rFonts w:ascii="Arial" w:hAnsi="Arial" w:cs="Arial"/>
          <w:sz w:val="22"/>
          <w:szCs w:val="22"/>
        </w:rPr>
        <w:t>84.554.678,21</w:t>
      </w:r>
      <w:r w:rsidRPr="007F0E49">
        <w:rPr>
          <w:rFonts w:ascii="Arial" w:hAnsi="Arial" w:cs="Arial"/>
          <w:sz w:val="22"/>
          <w:szCs w:val="22"/>
        </w:rPr>
        <w:t xml:space="preserve"> kn odnosi se na</w:t>
      </w:r>
      <w:r w:rsidR="000F3DD0" w:rsidRPr="007F0E49">
        <w:rPr>
          <w:rFonts w:ascii="Arial" w:hAnsi="Arial" w:cs="Arial"/>
          <w:sz w:val="22"/>
          <w:szCs w:val="22"/>
        </w:rPr>
        <w:t>:</w:t>
      </w:r>
    </w:p>
    <w:p w:rsidR="004F2C4F" w:rsidRPr="007F0E49" w:rsidRDefault="003F1963" w:rsidP="000F3DD0">
      <w:pPr>
        <w:pStyle w:val="ListParagraph"/>
        <w:numPr>
          <w:ilvl w:val="0"/>
          <w:numId w:val="25"/>
        </w:numPr>
        <w:jc w:val="both"/>
        <w:rPr>
          <w:rFonts w:ascii="Arial" w:hAnsi="Arial" w:cs="Arial"/>
          <w:sz w:val="22"/>
          <w:szCs w:val="22"/>
        </w:rPr>
      </w:pPr>
      <w:r w:rsidRPr="007F0E49">
        <w:rPr>
          <w:rFonts w:ascii="Arial" w:hAnsi="Arial" w:cs="Arial"/>
          <w:sz w:val="22"/>
          <w:szCs w:val="22"/>
        </w:rPr>
        <w:t xml:space="preserve">povećanje obujma </w:t>
      </w:r>
      <w:r w:rsidR="000E69DA" w:rsidRPr="007F0E49">
        <w:rPr>
          <w:rFonts w:ascii="Arial" w:hAnsi="Arial" w:cs="Arial"/>
          <w:sz w:val="22"/>
          <w:szCs w:val="22"/>
        </w:rPr>
        <w:t>neproizveden</w:t>
      </w:r>
      <w:r w:rsidRPr="007F0E49">
        <w:rPr>
          <w:rFonts w:ascii="Arial" w:hAnsi="Arial" w:cs="Arial"/>
          <w:sz w:val="22"/>
          <w:szCs w:val="22"/>
        </w:rPr>
        <w:t>e</w:t>
      </w:r>
      <w:r w:rsidR="000E69DA" w:rsidRPr="007F0E49">
        <w:rPr>
          <w:rFonts w:ascii="Arial" w:hAnsi="Arial" w:cs="Arial"/>
          <w:sz w:val="22"/>
          <w:szCs w:val="22"/>
        </w:rPr>
        <w:t xml:space="preserve"> dugotrajn</w:t>
      </w:r>
      <w:r w:rsidRPr="007F0E49">
        <w:rPr>
          <w:rFonts w:ascii="Arial" w:hAnsi="Arial" w:cs="Arial"/>
          <w:sz w:val="22"/>
          <w:szCs w:val="22"/>
        </w:rPr>
        <w:t>e</w:t>
      </w:r>
      <w:r w:rsidR="000E69DA" w:rsidRPr="007F0E49">
        <w:rPr>
          <w:rFonts w:ascii="Arial" w:hAnsi="Arial" w:cs="Arial"/>
          <w:sz w:val="22"/>
          <w:szCs w:val="22"/>
        </w:rPr>
        <w:t xml:space="preserve"> imovin</w:t>
      </w:r>
      <w:r w:rsidRPr="007F0E49">
        <w:rPr>
          <w:rFonts w:ascii="Arial" w:hAnsi="Arial" w:cs="Arial"/>
          <w:sz w:val="22"/>
          <w:szCs w:val="22"/>
        </w:rPr>
        <w:t>e</w:t>
      </w:r>
      <w:r w:rsidR="000E69DA" w:rsidRPr="007F0E49">
        <w:rPr>
          <w:rFonts w:ascii="Arial" w:hAnsi="Arial" w:cs="Arial"/>
          <w:sz w:val="22"/>
          <w:szCs w:val="22"/>
        </w:rPr>
        <w:t xml:space="preserve"> u vrijednosti od </w:t>
      </w:r>
      <w:r w:rsidR="00564F30" w:rsidRPr="007F0E49">
        <w:rPr>
          <w:rFonts w:ascii="Arial" w:hAnsi="Arial" w:cs="Arial"/>
          <w:sz w:val="22"/>
          <w:szCs w:val="22"/>
        </w:rPr>
        <w:t>60.816.634,78</w:t>
      </w:r>
      <w:r w:rsidR="000E69DA" w:rsidRPr="007F0E49">
        <w:rPr>
          <w:rFonts w:ascii="Arial" w:hAnsi="Arial" w:cs="Arial"/>
          <w:sz w:val="22"/>
          <w:szCs w:val="22"/>
        </w:rPr>
        <w:t xml:space="preserve"> kn</w:t>
      </w:r>
      <w:r w:rsidRPr="007F0E49">
        <w:rPr>
          <w:rFonts w:ascii="Arial" w:hAnsi="Arial" w:cs="Arial"/>
          <w:sz w:val="22"/>
          <w:szCs w:val="22"/>
        </w:rPr>
        <w:t xml:space="preserve">, </w:t>
      </w:r>
      <w:r w:rsidR="001471D1" w:rsidRPr="007F0E49">
        <w:rPr>
          <w:rFonts w:ascii="Arial" w:hAnsi="Arial" w:cs="Arial"/>
          <w:sz w:val="22"/>
          <w:szCs w:val="22"/>
        </w:rPr>
        <w:t>do kojih promjena dolazi</w:t>
      </w:r>
      <w:r w:rsidR="000976E0" w:rsidRPr="007F0E49">
        <w:rPr>
          <w:rFonts w:ascii="Arial" w:hAnsi="Arial" w:cs="Arial"/>
          <w:sz w:val="22"/>
          <w:szCs w:val="22"/>
        </w:rPr>
        <w:t xml:space="preserve"> </w:t>
      </w:r>
      <w:r w:rsidR="00DA1531" w:rsidRPr="007F0E49">
        <w:rPr>
          <w:rFonts w:ascii="Arial" w:hAnsi="Arial" w:cs="Arial"/>
          <w:sz w:val="22"/>
          <w:szCs w:val="22"/>
        </w:rPr>
        <w:t>uknjiženjem zemljišta temeljem pravnog slijeda</w:t>
      </w:r>
      <w:r w:rsidR="00BD6A9F" w:rsidRPr="007F0E49">
        <w:rPr>
          <w:rFonts w:ascii="Arial" w:hAnsi="Arial" w:cs="Arial"/>
          <w:sz w:val="22"/>
          <w:szCs w:val="22"/>
        </w:rPr>
        <w:t xml:space="preserve">, </w:t>
      </w:r>
      <w:r w:rsidRPr="007F0E49">
        <w:rPr>
          <w:rFonts w:ascii="Arial" w:hAnsi="Arial" w:cs="Arial"/>
          <w:sz w:val="22"/>
          <w:szCs w:val="22"/>
        </w:rPr>
        <w:t xml:space="preserve">temeljem </w:t>
      </w:r>
      <w:r w:rsidR="004F2C4F" w:rsidRPr="007F0E49">
        <w:rPr>
          <w:rFonts w:ascii="Arial" w:hAnsi="Arial" w:cs="Arial"/>
          <w:sz w:val="22"/>
          <w:szCs w:val="22"/>
        </w:rPr>
        <w:t>provedenih</w:t>
      </w:r>
      <w:r w:rsidR="000E69DA" w:rsidRPr="007F0E49">
        <w:rPr>
          <w:rFonts w:ascii="Arial" w:hAnsi="Arial" w:cs="Arial"/>
          <w:sz w:val="22"/>
          <w:szCs w:val="22"/>
        </w:rPr>
        <w:t xml:space="preserve"> parcel</w:t>
      </w:r>
      <w:r w:rsidR="004F2C4F" w:rsidRPr="007F0E49">
        <w:rPr>
          <w:rFonts w:ascii="Arial" w:hAnsi="Arial" w:cs="Arial"/>
          <w:sz w:val="22"/>
          <w:szCs w:val="22"/>
        </w:rPr>
        <w:t xml:space="preserve">acija, usklađenja </w:t>
      </w:r>
      <w:r w:rsidRPr="007F0E49">
        <w:rPr>
          <w:rFonts w:ascii="Arial" w:hAnsi="Arial" w:cs="Arial"/>
          <w:sz w:val="22"/>
          <w:szCs w:val="22"/>
        </w:rPr>
        <w:t xml:space="preserve">stanja </w:t>
      </w:r>
      <w:r w:rsidR="004F2C4F" w:rsidRPr="007F0E49">
        <w:rPr>
          <w:rFonts w:ascii="Arial" w:hAnsi="Arial" w:cs="Arial"/>
          <w:sz w:val="22"/>
          <w:szCs w:val="22"/>
        </w:rPr>
        <w:t>sa zemlji</w:t>
      </w:r>
      <w:r w:rsidR="00DA1531" w:rsidRPr="007F0E49">
        <w:rPr>
          <w:rFonts w:ascii="Arial" w:hAnsi="Arial" w:cs="Arial"/>
          <w:sz w:val="22"/>
          <w:szCs w:val="22"/>
        </w:rPr>
        <w:t>šnim knjigama,</w:t>
      </w:r>
      <w:r w:rsidR="004F2C4F" w:rsidRPr="007F0E49">
        <w:rPr>
          <w:rFonts w:ascii="Arial" w:hAnsi="Arial" w:cs="Arial"/>
          <w:sz w:val="22"/>
          <w:szCs w:val="22"/>
        </w:rPr>
        <w:t xml:space="preserve"> </w:t>
      </w:r>
      <w:r w:rsidRPr="007F0E49">
        <w:rPr>
          <w:rFonts w:ascii="Arial" w:hAnsi="Arial" w:cs="Arial"/>
          <w:sz w:val="22"/>
          <w:szCs w:val="22"/>
        </w:rPr>
        <w:t xml:space="preserve">uknjiženja temeljem </w:t>
      </w:r>
      <w:r w:rsidR="00DA1531" w:rsidRPr="007F0E49">
        <w:rPr>
          <w:rFonts w:ascii="Arial" w:hAnsi="Arial" w:cs="Arial"/>
          <w:sz w:val="22"/>
          <w:szCs w:val="22"/>
        </w:rPr>
        <w:t>izvansudsk</w:t>
      </w:r>
      <w:r w:rsidR="00AE0420" w:rsidRPr="007F0E49">
        <w:rPr>
          <w:rFonts w:ascii="Arial" w:hAnsi="Arial" w:cs="Arial"/>
          <w:sz w:val="22"/>
          <w:szCs w:val="22"/>
        </w:rPr>
        <w:t>ih</w:t>
      </w:r>
      <w:r w:rsidR="00DA1531" w:rsidRPr="007F0E49">
        <w:rPr>
          <w:rFonts w:ascii="Arial" w:hAnsi="Arial" w:cs="Arial"/>
          <w:sz w:val="22"/>
          <w:szCs w:val="22"/>
        </w:rPr>
        <w:t xml:space="preserve"> nagodb</w:t>
      </w:r>
      <w:r w:rsidR="00AE0420" w:rsidRPr="007F0E49">
        <w:rPr>
          <w:rFonts w:ascii="Arial" w:hAnsi="Arial" w:cs="Arial"/>
          <w:sz w:val="22"/>
          <w:szCs w:val="22"/>
        </w:rPr>
        <w:t>i</w:t>
      </w:r>
      <w:r w:rsidR="00DA1531" w:rsidRPr="007F0E49">
        <w:rPr>
          <w:rFonts w:ascii="Arial" w:hAnsi="Arial" w:cs="Arial"/>
          <w:sz w:val="22"/>
          <w:szCs w:val="22"/>
        </w:rPr>
        <w:t>, ugovora o dar</w:t>
      </w:r>
      <w:r w:rsidRPr="007F0E49">
        <w:rPr>
          <w:rFonts w:ascii="Arial" w:hAnsi="Arial" w:cs="Arial"/>
          <w:sz w:val="22"/>
          <w:szCs w:val="22"/>
        </w:rPr>
        <w:t>o</w:t>
      </w:r>
      <w:r w:rsidR="00DA1531" w:rsidRPr="007F0E49">
        <w:rPr>
          <w:rFonts w:ascii="Arial" w:hAnsi="Arial" w:cs="Arial"/>
          <w:sz w:val="22"/>
          <w:szCs w:val="22"/>
        </w:rPr>
        <w:t>vanju</w:t>
      </w:r>
      <w:r w:rsidR="00AE0420" w:rsidRPr="007F0E49">
        <w:rPr>
          <w:rFonts w:ascii="Arial" w:hAnsi="Arial" w:cs="Arial"/>
          <w:sz w:val="22"/>
          <w:szCs w:val="22"/>
        </w:rPr>
        <w:t xml:space="preserve"> i </w:t>
      </w:r>
      <w:r w:rsidR="00DA1531" w:rsidRPr="007F0E49">
        <w:rPr>
          <w:rFonts w:ascii="Arial" w:hAnsi="Arial" w:cs="Arial"/>
          <w:sz w:val="22"/>
          <w:szCs w:val="22"/>
        </w:rPr>
        <w:t>ugovor</w:t>
      </w:r>
      <w:r w:rsidRPr="007F0E49">
        <w:rPr>
          <w:rFonts w:ascii="Arial" w:hAnsi="Arial" w:cs="Arial"/>
          <w:sz w:val="22"/>
          <w:szCs w:val="22"/>
        </w:rPr>
        <w:t>a</w:t>
      </w:r>
      <w:r w:rsidR="00DA1531" w:rsidRPr="007F0E49">
        <w:rPr>
          <w:rFonts w:ascii="Arial" w:hAnsi="Arial" w:cs="Arial"/>
          <w:sz w:val="22"/>
          <w:szCs w:val="22"/>
        </w:rPr>
        <w:t xml:space="preserve"> o prijenosu vlasništva</w:t>
      </w:r>
      <w:r w:rsidR="004F2C4F" w:rsidRPr="007F0E49">
        <w:rPr>
          <w:rFonts w:ascii="Arial" w:hAnsi="Arial" w:cs="Arial"/>
          <w:sz w:val="22"/>
          <w:szCs w:val="22"/>
        </w:rPr>
        <w:t xml:space="preserve"> </w:t>
      </w:r>
    </w:p>
    <w:p w:rsidR="00AE0420" w:rsidRPr="007F0E49" w:rsidRDefault="00AE0420" w:rsidP="00AE0420">
      <w:pPr>
        <w:pStyle w:val="ListParagraph"/>
        <w:numPr>
          <w:ilvl w:val="0"/>
          <w:numId w:val="25"/>
        </w:numPr>
        <w:jc w:val="both"/>
        <w:rPr>
          <w:rFonts w:ascii="Arial" w:hAnsi="Arial" w:cs="Arial"/>
          <w:sz w:val="22"/>
          <w:szCs w:val="22"/>
        </w:rPr>
      </w:pPr>
      <w:r w:rsidRPr="007F0E49">
        <w:rPr>
          <w:rFonts w:ascii="Arial" w:hAnsi="Arial" w:cs="Arial"/>
          <w:sz w:val="22"/>
          <w:szCs w:val="22"/>
        </w:rPr>
        <w:t>p</w:t>
      </w:r>
      <w:r w:rsidR="000E69DA" w:rsidRPr="007F0E49">
        <w:rPr>
          <w:rFonts w:ascii="Arial" w:hAnsi="Arial" w:cs="Arial"/>
          <w:sz w:val="22"/>
          <w:szCs w:val="22"/>
        </w:rPr>
        <w:t>ovećanje obujma proizvedene dugotrajne imovine (</w:t>
      </w:r>
      <w:r w:rsidR="00564F30" w:rsidRPr="007F0E49">
        <w:rPr>
          <w:rFonts w:ascii="Arial" w:hAnsi="Arial" w:cs="Arial"/>
          <w:sz w:val="22"/>
          <w:szCs w:val="22"/>
        </w:rPr>
        <w:t>P018</w:t>
      </w:r>
      <w:r w:rsidR="000E69DA" w:rsidRPr="007F0E49">
        <w:rPr>
          <w:rFonts w:ascii="Arial" w:hAnsi="Arial" w:cs="Arial"/>
          <w:sz w:val="22"/>
          <w:szCs w:val="22"/>
        </w:rPr>
        <w:t xml:space="preserve">) u visini od </w:t>
      </w:r>
      <w:r w:rsidR="00564F30" w:rsidRPr="007F0E49">
        <w:rPr>
          <w:rFonts w:ascii="Arial" w:hAnsi="Arial" w:cs="Arial"/>
          <w:sz w:val="22"/>
          <w:szCs w:val="22"/>
        </w:rPr>
        <w:t>21.778.361,31</w:t>
      </w:r>
      <w:r w:rsidR="000E69DA" w:rsidRPr="007F0E49">
        <w:rPr>
          <w:rFonts w:ascii="Arial" w:hAnsi="Arial" w:cs="Arial"/>
          <w:sz w:val="22"/>
          <w:szCs w:val="22"/>
        </w:rPr>
        <w:t xml:space="preserve"> kn </w:t>
      </w:r>
      <w:r w:rsidRPr="007F0E49">
        <w:rPr>
          <w:rFonts w:ascii="Arial" w:hAnsi="Arial" w:cs="Arial"/>
          <w:sz w:val="22"/>
          <w:szCs w:val="22"/>
        </w:rPr>
        <w:t xml:space="preserve">kod koje je </w:t>
      </w:r>
      <w:r w:rsidR="000E69DA" w:rsidRPr="007F0E49">
        <w:rPr>
          <w:rFonts w:ascii="Arial" w:hAnsi="Arial" w:cs="Arial"/>
          <w:sz w:val="22"/>
          <w:szCs w:val="22"/>
        </w:rPr>
        <w:t>evidentirano</w:t>
      </w:r>
      <w:r w:rsidR="00C02723" w:rsidRPr="007F0E49">
        <w:rPr>
          <w:rFonts w:ascii="Arial" w:hAnsi="Arial" w:cs="Arial"/>
          <w:sz w:val="22"/>
          <w:szCs w:val="22"/>
        </w:rPr>
        <w:t xml:space="preserve"> </w:t>
      </w:r>
      <w:r w:rsidRPr="007F0E49">
        <w:rPr>
          <w:rFonts w:ascii="Arial" w:hAnsi="Arial" w:cs="Arial"/>
          <w:sz w:val="22"/>
          <w:szCs w:val="22"/>
        </w:rPr>
        <w:t xml:space="preserve">povećanje temeljem </w:t>
      </w:r>
      <w:r w:rsidR="00C02723" w:rsidRPr="007F0E49">
        <w:rPr>
          <w:rFonts w:ascii="Arial" w:hAnsi="Arial" w:cs="Arial"/>
          <w:sz w:val="22"/>
          <w:szCs w:val="22"/>
        </w:rPr>
        <w:t>uknjiž</w:t>
      </w:r>
      <w:r w:rsidR="007926B0" w:rsidRPr="007F0E49">
        <w:rPr>
          <w:rFonts w:ascii="Arial" w:hAnsi="Arial" w:cs="Arial"/>
          <w:sz w:val="22"/>
          <w:szCs w:val="22"/>
        </w:rPr>
        <w:t>enj</w:t>
      </w:r>
      <w:r w:rsidRPr="007F0E49">
        <w:rPr>
          <w:rFonts w:ascii="Arial" w:hAnsi="Arial" w:cs="Arial"/>
          <w:sz w:val="22"/>
          <w:szCs w:val="22"/>
        </w:rPr>
        <w:t>a</w:t>
      </w:r>
      <w:r w:rsidR="00C02723" w:rsidRPr="007F0E49">
        <w:rPr>
          <w:rFonts w:ascii="Arial" w:hAnsi="Arial" w:cs="Arial"/>
          <w:sz w:val="22"/>
          <w:szCs w:val="22"/>
        </w:rPr>
        <w:t xml:space="preserve"> </w:t>
      </w:r>
      <w:r w:rsidR="004F2C4F" w:rsidRPr="007F0E49">
        <w:rPr>
          <w:rFonts w:ascii="Arial" w:hAnsi="Arial" w:cs="Arial"/>
          <w:sz w:val="22"/>
          <w:szCs w:val="22"/>
        </w:rPr>
        <w:t>poslovnih prostora,</w:t>
      </w:r>
      <w:r w:rsidRPr="007F0E49">
        <w:rPr>
          <w:rFonts w:ascii="Arial" w:hAnsi="Arial" w:cs="Arial"/>
          <w:sz w:val="22"/>
          <w:szCs w:val="22"/>
        </w:rPr>
        <w:t xml:space="preserve"> stanova, javnih satova i slika</w:t>
      </w:r>
      <w:r w:rsidR="000E69DA" w:rsidRPr="007F0E49">
        <w:rPr>
          <w:rFonts w:ascii="Arial" w:hAnsi="Arial" w:cs="Arial"/>
          <w:sz w:val="22"/>
          <w:szCs w:val="22"/>
        </w:rPr>
        <w:t xml:space="preserve"> </w:t>
      </w:r>
    </w:p>
    <w:p w:rsidR="000E69DA" w:rsidRPr="007F0E49" w:rsidRDefault="00AE0420" w:rsidP="00AE0420">
      <w:pPr>
        <w:pStyle w:val="ListParagraph"/>
        <w:numPr>
          <w:ilvl w:val="0"/>
          <w:numId w:val="25"/>
        </w:numPr>
        <w:jc w:val="both"/>
        <w:rPr>
          <w:rFonts w:ascii="Arial" w:hAnsi="Arial" w:cs="Arial"/>
          <w:sz w:val="22"/>
          <w:szCs w:val="22"/>
        </w:rPr>
      </w:pPr>
      <w:r w:rsidRPr="007F0E49">
        <w:rPr>
          <w:rFonts w:ascii="Arial" w:hAnsi="Arial" w:cs="Arial"/>
          <w:sz w:val="22"/>
          <w:szCs w:val="22"/>
        </w:rPr>
        <w:t xml:space="preserve">povećanje u </w:t>
      </w:r>
      <w:r w:rsidR="0019067F" w:rsidRPr="007F0E49">
        <w:rPr>
          <w:rFonts w:ascii="Arial" w:hAnsi="Arial" w:cs="Arial"/>
          <w:sz w:val="22"/>
          <w:szCs w:val="22"/>
        </w:rPr>
        <w:t xml:space="preserve">obujmu financijske imovine </w:t>
      </w:r>
      <w:r w:rsidR="00FD54BE" w:rsidRPr="007F0E49">
        <w:rPr>
          <w:rFonts w:ascii="Arial" w:hAnsi="Arial" w:cs="Arial"/>
          <w:sz w:val="22"/>
          <w:szCs w:val="22"/>
        </w:rPr>
        <w:t xml:space="preserve">(P023) u visini od 1.959.681,12 kn </w:t>
      </w:r>
      <w:r w:rsidRPr="007F0E49">
        <w:rPr>
          <w:rFonts w:ascii="Arial" w:hAnsi="Arial" w:cs="Arial"/>
          <w:sz w:val="22"/>
          <w:szCs w:val="22"/>
        </w:rPr>
        <w:t xml:space="preserve">koje </w:t>
      </w:r>
      <w:r w:rsidR="0019067F" w:rsidRPr="007F0E49">
        <w:rPr>
          <w:rFonts w:ascii="Arial" w:hAnsi="Arial" w:cs="Arial"/>
          <w:sz w:val="22"/>
          <w:szCs w:val="22"/>
        </w:rPr>
        <w:t xml:space="preserve">bilježi povećanje </w:t>
      </w:r>
      <w:r w:rsidR="007926B0" w:rsidRPr="007F0E49">
        <w:rPr>
          <w:rFonts w:ascii="Arial" w:hAnsi="Arial" w:cs="Arial"/>
          <w:sz w:val="22"/>
          <w:szCs w:val="22"/>
        </w:rPr>
        <w:t>na</w:t>
      </w:r>
      <w:r w:rsidR="0019067F" w:rsidRPr="007F0E49">
        <w:rPr>
          <w:rFonts w:ascii="Arial" w:hAnsi="Arial" w:cs="Arial"/>
          <w:sz w:val="22"/>
          <w:szCs w:val="22"/>
        </w:rPr>
        <w:t xml:space="preserve"> stavkama</w:t>
      </w:r>
      <w:r w:rsidR="00DD4842" w:rsidRPr="007F0E49">
        <w:rPr>
          <w:rFonts w:ascii="Arial" w:hAnsi="Arial" w:cs="Arial"/>
          <w:sz w:val="22"/>
          <w:szCs w:val="22"/>
        </w:rPr>
        <w:t xml:space="preserve"> </w:t>
      </w:r>
      <w:r w:rsidR="007926B0" w:rsidRPr="007F0E49">
        <w:rPr>
          <w:rFonts w:ascii="Arial" w:hAnsi="Arial" w:cs="Arial"/>
          <w:sz w:val="22"/>
          <w:szCs w:val="22"/>
        </w:rPr>
        <w:t>udjela</w:t>
      </w:r>
      <w:r w:rsidR="0019067F" w:rsidRPr="007F0E49">
        <w:rPr>
          <w:rFonts w:ascii="Arial" w:hAnsi="Arial" w:cs="Arial"/>
          <w:sz w:val="22"/>
          <w:szCs w:val="22"/>
        </w:rPr>
        <w:t xml:space="preserve"> u glavnici</w:t>
      </w:r>
      <w:r w:rsidRPr="007F0E49">
        <w:rPr>
          <w:rFonts w:ascii="Arial" w:hAnsi="Arial" w:cs="Arial"/>
          <w:sz w:val="22"/>
          <w:szCs w:val="22"/>
        </w:rPr>
        <w:t xml:space="preserve"> (povećanje poslovnog udjela Grada u trgovačkom društvu Čistoća d.o.o.) i</w:t>
      </w:r>
      <w:r w:rsidR="0019067F" w:rsidRPr="007F0E49">
        <w:rPr>
          <w:rFonts w:ascii="Arial" w:hAnsi="Arial" w:cs="Arial"/>
          <w:sz w:val="22"/>
          <w:szCs w:val="22"/>
        </w:rPr>
        <w:t xml:space="preserve"> </w:t>
      </w:r>
      <w:r w:rsidRPr="007F0E49">
        <w:rPr>
          <w:rFonts w:ascii="Arial" w:hAnsi="Arial" w:cs="Arial"/>
          <w:sz w:val="22"/>
          <w:szCs w:val="22"/>
        </w:rPr>
        <w:t xml:space="preserve">na stavkama </w:t>
      </w:r>
      <w:r w:rsidR="0019067F" w:rsidRPr="007F0E49">
        <w:rPr>
          <w:rFonts w:ascii="Arial" w:hAnsi="Arial" w:cs="Arial"/>
          <w:sz w:val="22"/>
          <w:szCs w:val="22"/>
        </w:rPr>
        <w:t>potraživanja za prihode poslovanja</w:t>
      </w:r>
      <w:r w:rsidR="00DD4842" w:rsidRPr="007F0E49">
        <w:rPr>
          <w:rFonts w:ascii="Arial" w:hAnsi="Arial" w:cs="Arial"/>
          <w:sz w:val="22"/>
          <w:szCs w:val="22"/>
        </w:rPr>
        <w:t xml:space="preserve"> </w:t>
      </w:r>
      <w:r w:rsidR="0019067F" w:rsidRPr="007F0E49">
        <w:rPr>
          <w:rFonts w:ascii="Arial" w:hAnsi="Arial" w:cs="Arial"/>
          <w:sz w:val="22"/>
          <w:szCs w:val="22"/>
        </w:rPr>
        <w:t>i potraživanja od prodaje nefinancijske imovine</w:t>
      </w:r>
      <w:r w:rsidR="001036AE" w:rsidRPr="007F0E49">
        <w:rPr>
          <w:rFonts w:ascii="Arial" w:hAnsi="Arial" w:cs="Arial"/>
          <w:sz w:val="22"/>
          <w:szCs w:val="22"/>
        </w:rPr>
        <w:t>.</w:t>
      </w:r>
    </w:p>
    <w:p w:rsidR="00A84923" w:rsidRPr="007F0E49" w:rsidRDefault="00A84923" w:rsidP="000E69DA">
      <w:pPr>
        <w:jc w:val="both"/>
        <w:rPr>
          <w:rFonts w:ascii="Arial" w:hAnsi="Arial" w:cs="Arial"/>
          <w:sz w:val="22"/>
          <w:szCs w:val="22"/>
        </w:rPr>
      </w:pPr>
    </w:p>
    <w:p w:rsidR="00066B62" w:rsidRPr="007F0E49" w:rsidRDefault="000E69DA" w:rsidP="000543EC">
      <w:pPr>
        <w:jc w:val="both"/>
        <w:rPr>
          <w:rFonts w:ascii="Arial" w:hAnsi="Arial" w:cs="Arial"/>
          <w:sz w:val="22"/>
          <w:szCs w:val="22"/>
        </w:rPr>
      </w:pPr>
      <w:r w:rsidRPr="007F0E49">
        <w:rPr>
          <w:rFonts w:ascii="Arial" w:hAnsi="Arial" w:cs="Arial"/>
          <w:i/>
          <w:sz w:val="22"/>
          <w:szCs w:val="22"/>
          <w:u w:val="single"/>
        </w:rPr>
        <w:t>Smanjenje obujma imovine (</w:t>
      </w:r>
      <w:r w:rsidR="0019067F" w:rsidRPr="007F0E49">
        <w:rPr>
          <w:rFonts w:ascii="Arial" w:hAnsi="Arial" w:cs="Arial"/>
          <w:i/>
          <w:sz w:val="22"/>
          <w:szCs w:val="22"/>
          <w:u w:val="single"/>
        </w:rPr>
        <w:t>91512</w:t>
      </w:r>
      <w:r w:rsidRPr="007F0E49">
        <w:rPr>
          <w:rFonts w:ascii="Arial" w:hAnsi="Arial" w:cs="Arial"/>
          <w:i/>
          <w:sz w:val="22"/>
          <w:szCs w:val="22"/>
          <w:u w:val="single"/>
        </w:rPr>
        <w:t>)</w:t>
      </w:r>
      <w:r w:rsidRPr="007F0E49">
        <w:rPr>
          <w:rFonts w:ascii="Arial" w:hAnsi="Arial" w:cs="Arial"/>
          <w:sz w:val="22"/>
          <w:szCs w:val="22"/>
        </w:rPr>
        <w:t xml:space="preserve"> u visini od </w:t>
      </w:r>
      <w:r w:rsidR="0011654B" w:rsidRPr="007F0E49">
        <w:rPr>
          <w:rFonts w:ascii="Arial" w:hAnsi="Arial" w:cs="Arial"/>
          <w:sz w:val="22"/>
          <w:szCs w:val="22"/>
        </w:rPr>
        <w:t>62.677.622,09</w:t>
      </w:r>
      <w:r w:rsidRPr="007F0E49">
        <w:rPr>
          <w:rFonts w:ascii="Arial" w:hAnsi="Arial" w:cs="Arial"/>
          <w:sz w:val="22"/>
          <w:szCs w:val="22"/>
        </w:rPr>
        <w:t xml:space="preserve"> kn odnosi se na</w:t>
      </w:r>
      <w:r w:rsidR="00066B62" w:rsidRPr="007F0E49">
        <w:rPr>
          <w:rFonts w:ascii="Arial" w:hAnsi="Arial" w:cs="Arial"/>
          <w:sz w:val="22"/>
          <w:szCs w:val="22"/>
        </w:rPr>
        <w:t>:</w:t>
      </w:r>
    </w:p>
    <w:p w:rsidR="00066B62" w:rsidRPr="007F0E49" w:rsidRDefault="000543EC" w:rsidP="00066B62">
      <w:pPr>
        <w:pStyle w:val="ListParagraph"/>
        <w:numPr>
          <w:ilvl w:val="0"/>
          <w:numId w:val="25"/>
        </w:numPr>
        <w:jc w:val="both"/>
        <w:rPr>
          <w:rFonts w:ascii="Arial" w:hAnsi="Arial" w:cs="Arial"/>
          <w:sz w:val="22"/>
          <w:szCs w:val="22"/>
        </w:rPr>
      </w:pPr>
      <w:r w:rsidRPr="007F0E49">
        <w:rPr>
          <w:rFonts w:ascii="Arial" w:hAnsi="Arial" w:cs="Arial"/>
          <w:sz w:val="22"/>
          <w:szCs w:val="22"/>
        </w:rPr>
        <w:t>smanjenje</w:t>
      </w:r>
      <w:r w:rsidR="004665D7" w:rsidRPr="007F0E49">
        <w:rPr>
          <w:rFonts w:ascii="Arial" w:hAnsi="Arial" w:cs="Arial"/>
          <w:sz w:val="22"/>
          <w:szCs w:val="22"/>
        </w:rPr>
        <w:t xml:space="preserve"> obujma</w:t>
      </w:r>
      <w:r w:rsidRPr="007F0E49">
        <w:rPr>
          <w:rFonts w:ascii="Arial" w:hAnsi="Arial" w:cs="Arial"/>
          <w:sz w:val="22"/>
          <w:szCs w:val="22"/>
        </w:rPr>
        <w:t xml:space="preserve"> </w:t>
      </w:r>
      <w:r w:rsidR="0019067F" w:rsidRPr="007F0E49">
        <w:rPr>
          <w:rFonts w:ascii="Arial" w:hAnsi="Arial" w:cs="Arial"/>
          <w:sz w:val="22"/>
          <w:szCs w:val="22"/>
        </w:rPr>
        <w:t>neproizvedene dugotrajne imovine u iznosu od 26.564.554,92 kn</w:t>
      </w:r>
      <w:r w:rsidR="000128C6" w:rsidRPr="007F0E49">
        <w:rPr>
          <w:rFonts w:ascii="Arial" w:hAnsi="Arial" w:cs="Arial"/>
          <w:sz w:val="22"/>
          <w:szCs w:val="22"/>
        </w:rPr>
        <w:t xml:space="preserve"> </w:t>
      </w:r>
      <w:r w:rsidR="0036283D" w:rsidRPr="007F0E49">
        <w:rPr>
          <w:rFonts w:ascii="Arial" w:hAnsi="Arial" w:cs="Arial"/>
          <w:sz w:val="22"/>
          <w:szCs w:val="22"/>
        </w:rPr>
        <w:t>(</w:t>
      </w:r>
      <w:r w:rsidR="004F2C4F" w:rsidRPr="007F0E49">
        <w:rPr>
          <w:rFonts w:ascii="Arial" w:hAnsi="Arial" w:cs="Arial"/>
          <w:sz w:val="22"/>
          <w:szCs w:val="22"/>
        </w:rPr>
        <w:t>isknjiženje zemljišta temeljem provedenih parcelacija, novih izmjera, sporazuma o prijenosu prava vlasništva, sudskih rješenja i presuda, usklađen</w:t>
      </w:r>
      <w:r w:rsidR="004665D7" w:rsidRPr="007F0E49">
        <w:rPr>
          <w:rFonts w:ascii="Arial" w:hAnsi="Arial" w:cs="Arial"/>
          <w:sz w:val="22"/>
          <w:szCs w:val="22"/>
        </w:rPr>
        <w:t>j</w:t>
      </w:r>
      <w:r w:rsidR="004F2C4F" w:rsidRPr="007F0E49">
        <w:rPr>
          <w:rFonts w:ascii="Arial" w:hAnsi="Arial" w:cs="Arial"/>
          <w:sz w:val="22"/>
          <w:szCs w:val="22"/>
        </w:rPr>
        <w:t>a s</w:t>
      </w:r>
      <w:r w:rsidR="004665D7" w:rsidRPr="007F0E49">
        <w:rPr>
          <w:rFonts w:ascii="Arial" w:hAnsi="Arial" w:cs="Arial"/>
          <w:sz w:val="22"/>
          <w:szCs w:val="22"/>
        </w:rPr>
        <w:t>a</w:t>
      </w:r>
      <w:r w:rsidR="004F2C4F" w:rsidRPr="007F0E49">
        <w:rPr>
          <w:rFonts w:ascii="Arial" w:hAnsi="Arial" w:cs="Arial"/>
          <w:sz w:val="22"/>
          <w:szCs w:val="22"/>
        </w:rPr>
        <w:t xml:space="preserve"> zemljišnim knjigama</w:t>
      </w:r>
      <w:r w:rsidR="0036283D" w:rsidRPr="007F0E49">
        <w:rPr>
          <w:rFonts w:ascii="Arial" w:hAnsi="Arial" w:cs="Arial"/>
          <w:sz w:val="22"/>
          <w:szCs w:val="22"/>
        </w:rPr>
        <w:t>)</w:t>
      </w:r>
      <w:r w:rsidR="004F2C4F" w:rsidRPr="007F0E49">
        <w:rPr>
          <w:rFonts w:ascii="Arial" w:hAnsi="Arial" w:cs="Arial"/>
          <w:sz w:val="22"/>
          <w:szCs w:val="22"/>
        </w:rPr>
        <w:t xml:space="preserve"> </w:t>
      </w:r>
    </w:p>
    <w:p w:rsidR="0019067F" w:rsidRPr="007F0E49" w:rsidRDefault="004665D7" w:rsidP="00066B62">
      <w:pPr>
        <w:pStyle w:val="ListParagraph"/>
        <w:numPr>
          <w:ilvl w:val="0"/>
          <w:numId w:val="25"/>
        </w:numPr>
        <w:jc w:val="both"/>
        <w:rPr>
          <w:rFonts w:ascii="Arial" w:hAnsi="Arial" w:cs="Arial"/>
          <w:sz w:val="22"/>
          <w:szCs w:val="22"/>
        </w:rPr>
      </w:pPr>
      <w:r w:rsidRPr="007F0E49">
        <w:rPr>
          <w:rFonts w:ascii="Arial" w:hAnsi="Arial" w:cs="Arial"/>
          <w:sz w:val="22"/>
          <w:szCs w:val="22"/>
        </w:rPr>
        <w:t xml:space="preserve">smanjenje obujma </w:t>
      </w:r>
      <w:r w:rsidR="006F0508">
        <w:rPr>
          <w:rFonts w:ascii="Arial" w:hAnsi="Arial" w:cs="Arial"/>
          <w:sz w:val="22"/>
          <w:szCs w:val="22"/>
        </w:rPr>
        <w:t>proizvedene dugotrajne i kratkotrajne imovine u iznosu od 13.035.313,05</w:t>
      </w:r>
      <w:r w:rsidR="0019067F" w:rsidRPr="007F0E49">
        <w:rPr>
          <w:rFonts w:ascii="Arial" w:hAnsi="Arial" w:cs="Arial"/>
          <w:sz w:val="22"/>
          <w:szCs w:val="22"/>
        </w:rPr>
        <w:t xml:space="preserve"> kn</w:t>
      </w:r>
      <w:r w:rsidR="002076F0" w:rsidRPr="007F0E49">
        <w:rPr>
          <w:rFonts w:ascii="Arial" w:hAnsi="Arial" w:cs="Arial"/>
          <w:sz w:val="22"/>
          <w:szCs w:val="22"/>
        </w:rPr>
        <w:t xml:space="preserve"> </w:t>
      </w:r>
      <w:r w:rsidR="0036283D" w:rsidRPr="007F0E49">
        <w:rPr>
          <w:rFonts w:ascii="Arial" w:hAnsi="Arial" w:cs="Arial"/>
          <w:sz w:val="22"/>
          <w:szCs w:val="22"/>
        </w:rPr>
        <w:t>(</w:t>
      </w:r>
      <w:r w:rsidR="004F2C4F" w:rsidRPr="007F0E49">
        <w:rPr>
          <w:rFonts w:ascii="Arial" w:hAnsi="Arial" w:cs="Arial"/>
          <w:sz w:val="22"/>
          <w:szCs w:val="22"/>
        </w:rPr>
        <w:t>isknjiženje stanova po sudskim rješenjima, poslovnih prostora</w:t>
      </w:r>
      <w:r w:rsidR="00DA67FF" w:rsidRPr="007F0E49">
        <w:rPr>
          <w:rFonts w:ascii="Arial" w:hAnsi="Arial" w:cs="Arial"/>
          <w:sz w:val="22"/>
          <w:szCs w:val="22"/>
        </w:rPr>
        <w:t xml:space="preserve"> </w:t>
      </w:r>
      <w:r w:rsidR="0036283D" w:rsidRPr="007F0E49">
        <w:rPr>
          <w:rFonts w:ascii="Arial" w:hAnsi="Arial" w:cs="Arial"/>
          <w:sz w:val="22"/>
          <w:szCs w:val="22"/>
        </w:rPr>
        <w:t xml:space="preserve">zbog </w:t>
      </w:r>
      <w:r w:rsidR="00DA67FF" w:rsidRPr="007F0E49">
        <w:rPr>
          <w:rFonts w:ascii="Arial" w:hAnsi="Arial" w:cs="Arial"/>
          <w:sz w:val="22"/>
          <w:szCs w:val="22"/>
        </w:rPr>
        <w:t>predaj</w:t>
      </w:r>
      <w:r w:rsidR="006F0508">
        <w:rPr>
          <w:rFonts w:ascii="Arial" w:hAnsi="Arial" w:cs="Arial"/>
          <w:sz w:val="22"/>
          <w:szCs w:val="22"/>
        </w:rPr>
        <w:t>e</w:t>
      </w:r>
      <w:r w:rsidR="00DA67FF" w:rsidRPr="007F0E49">
        <w:rPr>
          <w:rFonts w:ascii="Arial" w:hAnsi="Arial" w:cs="Arial"/>
          <w:sz w:val="22"/>
          <w:szCs w:val="22"/>
        </w:rPr>
        <w:t xml:space="preserve"> vla</w:t>
      </w:r>
      <w:r w:rsidR="0036283D" w:rsidRPr="007F0E49">
        <w:rPr>
          <w:rFonts w:ascii="Arial" w:hAnsi="Arial" w:cs="Arial"/>
          <w:sz w:val="22"/>
          <w:szCs w:val="22"/>
        </w:rPr>
        <w:t>snicima po sudskim rješenjima</w:t>
      </w:r>
      <w:r w:rsidR="006F0508">
        <w:rPr>
          <w:rFonts w:ascii="Arial" w:hAnsi="Arial" w:cs="Arial"/>
          <w:sz w:val="22"/>
          <w:szCs w:val="22"/>
        </w:rPr>
        <w:t>, zbog prijenosa proračunskim korisnicima</w:t>
      </w:r>
      <w:r w:rsidR="00066B62" w:rsidRPr="007F0E49">
        <w:rPr>
          <w:rFonts w:ascii="Arial" w:hAnsi="Arial" w:cs="Arial"/>
          <w:sz w:val="22"/>
          <w:szCs w:val="22"/>
        </w:rPr>
        <w:t xml:space="preserve"> te zbog</w:t>
      </w:r>
      <w:r w:rsidRPr="007F0E49">
        <w:rPr>
          <w:rFonts w:ascii="Arial" w:hAnsi="Arial" w:cs="Arial"/>
          <w:sz w:val="22"/>
          <w:szCs w:val="22"/>
        </w:rPr>
        <w:t xml:space="preserve"> </w:t>
      </w:r>
      <w:r w:rsidR="00DA67FF" w:rsidRPr="007F0E49">
        <w:rPr>
          <w:rFonts w:ascii="Arial" w:hAnsi="Arial" w:cs="Arial"/>
          <w:sz w:val="22"/>
          <w:szCs w:val="22"/>
        </w:rPr>
        <w:t>rashod</w:t>
      </w:r>
      <w:r w:rsidR="006F0508">
        <w:rPr>
          <w:rFonts w:ascii="Arial" w:hAnsi="Arial" w:cs="Arial"/>
          <w:sz w:val="22"/>
          <w:szCs w:val="22"/>
        </w:rPr>
        <w:t>ovanja</w:t>
      </w:r>
      <w:r w:rsidR="00DA67FF" w:rsidRPr="007F0E49">
        <w:rPr>
          <w:rFonts w:ascii="Arial" w:hAnsi="Arial" w:cs="Arial"/>
          <w:sz w:val="22"/>
          <w:szCs w:val="22"/>
        </w:rPr>
        <w:t xml:space="preserve"> oprem</w:t>
      </w:r>
      <w:r w:rsidRPr="007F0E49">
        <w:rPr>
          <w:rFonts w:ascii="Arial" w:hAnsi="Arial" w:cs="Arial"/>
          <w:sz w:val="22"/>
          <w:szCs w:val="22"/>
        </w:rPr>
        <w:t>e</w:t>
      </w:r>
      <w:r w:rsidR="00170F1A" w:rsidRPr="007F0E49">
        <w:rPr>
          <w:rFonts w:ascii="Arial" w:hAnsi="Arial" w:cs="Arial"/>
          <w:sz w:val="22"/>
          <w:szCs w:val="22"/>
        </w:rPr>
        <w:t>)</w:t>
      </w:r>
    </w:p>
    <w:p w:rsidR="00E51252" w:rsidRPr="00D05704" w:rsidRDefault="00946BA2" w:rsidP="001979D0">
      <w:pPr>
        <w:pStyle w:val="ListParagraph"/>
        <w:numPr>
          <w:ilvl w:val="0"/>
          <w:numId w:val="25"/>
        </w:numPr>
        <w:jc w:val="both"/>
        <w:rPr>
          <w:rFonts w:ascii="Arial" w:hAnsi="Arial" w:cs="Arial"/>
          <w:sz w:val="22"/>
          <w:szCs w:val="22"/>
        </w:rPr>
      </w:pPr>
      <w:r w:rsidRPr="00D05704">
        <w:rPr>
          <w:rFonts w:ascii="Arial" w:hAnsi="Arial" w:cs="Arial"/>
          <w:sz w:val="22"/>
          <w:szCs w:val="22"/>
        </w:rPr>
        <w:t xml:space="preserve">smanjenje </w:t>
      </w:r>
      <w:r w:rsidR="0027112E" w:rsidRPr="00D05704">
        <w:rPr>
          <w:rFonts w:ascii="Arial" w:hAnsi="Arial" w:cs="Arial"/>
          <w:sz w:val="22"/>
          <w:szCs w:val="22"/>
        </w:rPr>
        <w:t>u obujmu</w:t>
      </w:r>
      <w:r w:rsidR="000543EC" w:rsidRPr="00D05704">
        <w:rPr>
          <w:rFonts w:ascii="Arial" w:hAnsi="Arial" w:cs="Arial"/>
          <w:sz w:val="22"/>
          <w:szCs w:val="22"/>
        </w:rPr>
        <w:t xml:space="preserve"> financijske </w:t>
      </w:r>
      <w:r w:rsidR="00595AFD" w:rsidRPr="00D05704">
        <w:rPr>
          <w:rFonts w:ascii="Arial" w:hAnsi="Arial" w:cs="Arial"/>
          <w:sz w:val="22"/>
          <w:szCs w:val="22"/>
        </w:rPr>
        <w:t>imovine</w:t>
      </w:r>
      <w:r w:rsidR="004A32FF" w:rsidRPr="00D05704">
        <w:rPr>
          <w:rFonts w:ascii="Arial" w:hAnsi="Arial" w:cs="Arial"/>
          <w:sz w:val="22"/>
          <w:szCs w:val="22"/>
        </w:rPr>
        <w:t xml:space="preserve"> u iznosu od 23.077.754,12 kn</w:t>
      </w:r>
      <w:r w:rsidRPr="00D05704">
        <w:rPr>
          <w:rFonts w:ascii="Arial" w:hAnsi="Arial" w:cs="Arial"/>
          <w:sz w:val="22"/>
          <w:szCs w:val="22"/>
        </w:rPr>
        <w:t>, najvećim dijelom</w:t>
      </w:r>
      <w:r w:rsidR="00E73BAA" w:rsidRPr="00D05704">
        <w:rPr>
          <w:rFonts w:ascii="Arial" w:hAnsi="Arial" w:cs="Arial"/>
          <w:sz w:val="22"/>
          <w:szCs w:val="22"/>
        </w:rPr>
        <w:t xml:space="preserve"> </w:t>
      </w:r>
      <w:r w:rsidR="00377D48" w:rsidRPr="00D05704">
        <w:rPr>
          <w:rFonts w:ascii="Arial" w:hAnsi="Arial" w:cs="Arial"/>
          <w:sz w:val="22"/>
          <w:szCs w:val="22"/>
        </w:rPr>
        <w:t xml:space="preserve">kod </w:t>
      </w:r>
      <w:r w:rsidR="000E69DA" w:rsidRPr="00D05704">
        <w:rPr>
          <w:rFonts w:ascii="Arial" w:hAnsi="Arial" w:cs="Arial"/>
          <w:sz w:val="22"/>
          <w:szCs w:val="22"/>
        </w:rPr>
        <w:t>potraživanja za prihode poslovanja (</w:t>
      </w:r>
      <w:r w:rsidR="00831D1D" w:rsidRPr="00D05704">
        <w:rPr>
          <w:rFonts w:ascii="Arial" w:hAnsi="Arial" w:cs="Arial"/>
          <w:sz w:val="22"/>
          <w:szCs w:val="22"/>
        </w:rPr>
        <w:t>P029</w:t>
      </w:r>
      <w:r w:rsidR="000E69DA" w:rsidRPr="00D05704">
        <w:rPr>
          <w:rFonts w:ascii="Arial" w:hAnsi="Arial" w:cs="Arial"/>
          <w:sz w:val="22"/>
          <w:szCs w:val="22"/>
        </w:rPr>
        <w:t>)</w:t>
      </w:r>
      <w:r w:rsidR="00E74720" w:rsidRPr="00D05704">
        <w:rPr>
          <w:rFonts w:ascii="Arial" w:hAnsi="Arial" w:cs="Arial"/>
          <w:sz w:val="22"/>
          <w:szCs w:val="22"/>
        </w:rPr>
        <w:t xml:space="preserve">, </w:t>
      </w:r>
      <w:r w:rsidR="00831D1D" w:rsidRPr="00D05704">
        <w:rPr>
          <w:rFonts w:ascii="Arial" w:hAnsi="Arial" w:cs="Arial"/>
          <w:sz w:val="22"/>
          <w:szCs w:val="22"/>
        </w:rPr>
        <w:t>12.228.401,28</w:t>
      </w:r>
      <w:r w:rsidR="00A11378" w:rsidRPr="00D05704">
        <w:rPr>
          <w:rFonts w:ascii="Arial" w:hAnsi="Arial" w:cs="Arial"/>
          <w:sz w:val="22"/>
          <w:szCs w:val="22"/>
        </w:rPr>
        <w:t xml:space="preserve"> kn</w:t>
      </w:r>
      <w:r w:rsidR="00831D1D" w:rsidRPr="00D05704">
        <w:rPr>
          <w:rFonts w:ascii="Arial" w:hAnsi="Arial" w:cs="Arial"/>
          <w:sz w:val="22"/>
          <w:szCs w:val="22"/>
        </w:rPr>
        <w:t>.</w:t>
      </w:r>
      <w:r w:rsidR="009F6619" w:rsidRPr="00D05704">
        <w:rPr>
          <w:rFonts w:ascii="Arial" w:hAnsi="Arial" w:cs="Arial"/>
          <w:sz w:val="22"/>
          <w:szCs w:val="22"/>
        </w:rPr>
        <w:t xml:space="preserve"> </w:t>
      </w:r>
      <w:r w:rsidRPr="00D05704">
        <w:rPr>
          <w:rFonts w:ascii="Arial" w:hAnsi="Arial" w:cs="Arial"/>
          <w:sz w:val="22"/>
          <w:szCs w:val="22"/>
        </w:rPr>
        <w:t>D</w:t>
      </w:r>
      <w:r w:rsidR="00EC04BA" w:rsidRPr="00D05704">
        <w:rPr>
          <w:rFonts w:ascii="Arial" w:hAnsi="Arial" w:cs="Arial"/>
          <w:sz w:val="22"/>
          <w:szCs w:val="22"/>
        </w:rPr>
        <w:t xml:space="preserve">o smanjenja </w:t>
      </w:r>
      <w:r w:rsidR="00C4440E" w:rsidRPr="00D05704">
        <w:rPr>
          <w:rFonts w:ascii="Arial" w:hAnsi="Arial" w:cs="Arial"/>
          <w:sz w:val="22"/>
          <w:szCs w:val="22"/>
        </w:rPr>
        <w:t>do</w:t>
      </w:r>
      <w:r w:rsidRPr="00D05704">
        <w:rPr>
          <w:rFonts w:ascii="Arial" w:hAnsi="Arial" w:cs="Arial"/>
          <w:sz w:val="22"/>
          <w:szCs w:val="22"/>
        </w:rPr>
        <w:t>lazi</w:t>
      </w:r>
      <w:r w:rsidR="005948D5" w:rsidRPr="00D05704">
        <w:rPr>
          <w:rFonts w:ascii="Arial" w:hAnsi="Arial" w:cs="Arial"/>
          <w:sz w:val="22"/>
          <w:szCs w:val="22"/>
        </w:rPr>
        <w:t xml:space="preserve"> zbog otpisa po</w:t>
      </w:r>
      <w:r w:rsidR="00E51252" w:rsidRPr="00D05704">
        <w:rPr>
          <w:rFonts w:ascii="Arial" w:hAnsi="Arial" w:cs="Arial"/>
          <w:sz w:val="22"/>
          <w:szCs w:val="22"/>
        </w:rPr>
        <w:t>traživanja</w:t>
      </w:r>
      <w:r w:rsidR="002076F0" w:rsidRPr="00D05704">
        <w:rPr>
          <w:rFonts w:ascii="Arial" w:hAnsi="Arial" w:cs="Arial"/>
          <w:sz w:val="22"/>
          <w:szCs w:val="22"/>
        </w:rPr>
        <w:t xml:space="preserve"> za brisane poslovne subjekte </w:t>
      </w:r>
      <w:r w:rsidR="00E51252" w:rsidRPr="00D05704">
        <w:rPr>
          <w:rFonts w:ascii="Arial" w:hAnsi="Arial" w:cs="Arial"/>
          <w:sz w:val="22"/>
          <w:szCs w:val="22"/>
        </w:rPr>
        <w:t xml:space="preserve">i to </w:t>
      </w:r>
      <w:r w:rsidR="0027784F" w:rsidRPr="00D05704">
        <w:rPr>
          <w:rFonts w:ascii="Arial" w:hAnsi="Arial" w:cs="Arial"/>
          <w:sz w:val="22"/>
          <w:szCs w:val="22"/>
        </w:rPr>
        <w:t xml:space="preserve">najviše </w:t>
      </w:r>
      <w:r w:rsidR="00E51252" w:rsidRPr="00D05704">
        <w:rPr>
          <w:rFonts w:ascii="Arial" w:hAnsi="Arial" w:cs="Arial"/>
          <w:sz w:val="22"/>
          <w:szCs w:val="22"/>
        </w:rPr>
        <w:t xml:space="preserve">s osnova komunalne naknade, spomeničke rente </w:t>
      </w:r>
      <w:r w:rsidR="00450156" w:rsidRPr="00D05704">
        <w:rPr>
          <w:rFonts w:ascii="Arial" w:hAnsi="Arial" w:cs="Arial"/>
          <w:sz w:val="22"/>
          <w:szCs w:val="22"/>
        </w:rPr>
        <w:t xml:space="preserve">i pripadajućih </w:t>
      </w:r>
      <w:r w:rsidR="00E51252" w:rsidRPr="00D05704">
        <w:rPr>
          <w:rFonts w:ascii="Arial" w:hAnsi="Arial" w:cs="Arial"/>
          <w:sz w:val="22"/>
          <w:szCs w:val="22"/>
        </w:rPr>
        <w:t xml:space="preserve">kamata i sudskih troškova, zatim s osnova zakupnine i otpisa po predstečajnim nagodbama i ostalih prihoda poslovanja. </w:t>
      </w:r>
      <w:r w:rsidRPr="00D05704">
        <w:rPr>
          <w:rFonts w:ascii="Arial" w:hAnsi="Arial" w:cs="Arial"/>
          <w:sz w:val="22"/>
          <w:szCs w:val="22"/>
        </w:rPr>
        <w:t>Nadalje, do</w:t>
      </w:r>
      <w:r w:rsidR="00E51252" w:rsidRPr="00D05704">
        <w:rPr>
          <w:rFonts w:ascii="Arial" w:hAnsi="Arial" w:cs="Arial"/>
          <w:sz w:val="22"/>
          <w:szCs w:val="22"/>
        </w:rPr>
        <w:t xml:space="preserve"> smanjenja do</w:t>
      </w:r>
      <w:r w:rsidR="002C7826" w:rsidRPr="00D05704">
        <w:rPr>
          <w:rFonts w:ascii="Arial" w:hAnsi="Arial" w:cs="Arial"/>
          <w:sz w:val="22"/>
          <w:szCs w:val="22"/>
        </w:rPr>
        <w:t>lazi</w:t>
      </w:r>
      <w:r w:rsidR="00450156" w:rsidRPr="00D05704">
        <w:rPr>
          <w:rFonts w:ascii="Arial" w:hAnsi="Arial" w:cs="Arial"/>
          <w:sz w:val="22"/>
          <w:szCs w:val="22"/>
        </w:rPr>
        <w:t xml:space="preserve"> temeljem otpisa po </w:t>
      </w:r>
      <w:r w:rsidR="00E74720" w:rsidRPr="00D05704">
        <w:rPr>
          <w:rFonts w:ascii="Arial" w:hAnsi="Arial" w:cs="Arial"/>
          <w:sz w:val="22"/>
          <w:szCs w:val="22"/>
        </w:rPr>
        <w:t>Uredbi o kriterijima, mjerilima i postupku za odgodu plaćanja, obročnu otplatu duga te prodaju, otpis ili djelomičan otpis potraživanja („Narodne novine“</w:t>
      </w:r>
      <w:r w:rsidR="001979D0" w:rsidRPr="00D05704">
        <w:rPr>
          <w:rFonts w:ascii="Arial" w:hAnsi="Arial" w:cs="Arial"/>
          <w:sz w:val="22"/>
          <w:szCs w:val="22"/>
        </w:rPr>
        <w:t>,</w:t>
      </w:r>
      <w:r w:rsidR="00E74720" w:rsidRPr="00D05704">
        <w:rPr>
          <w:rFonts w:ascii="Arial" w:hAnsi="Arial" w:cs="Arial"/>
          <w:sz w:val="22"/>
          <w:szCs w:val="22"/>
        </w:rPr>
        <w:t xml:space="preserve"> broj 52/13 i 94/14</w:t>
      </w:r>
      <w:r w:rsidR="007F1D16" w:rsidRPr="00D05704">
        <w:rPr>
          <w:rFonts w:ascii="Arial" w:hAnsi="Arial" w:cs="Arial"/>
          <w:sz w:val="22"/>
          <w:szCs w:val="22"/>
        </w:rPr>
        <w:t xml:space="preserve"> i 144/2021) </w:t>
      </w:r>
      <w:r w:rsidR="00450156" w:rsidRPr="00D05704">
        <w:rPr>
          <w:rFonts w:ascii="Arial" w:hAnsi="Arial" w:cs="Arial"/>
          <w:sz w:val="22"/>
          <w:szCs w:val="22"/>
        </w:rPr>
        <w:t>i O</w:t>
      </w:r>
      <w:r w:rsidR="00E51252" w:rsidRPr="00D05704">
        <w:rPr>
          <w:rFonts w:ascii="Arial" w:hAnsi="Arial" w:cs="Arial"/>
          <w:sz w:val="22"/>
          <w:szCs w:val="22"/>
        </w:rPr>
        <w:t>pće</w:t>
      </w:r>
      <w:r w:rsidR="00992485">
        <w:rPr>
          <w:rFonts w:ascii="Arial" w:hAnsi="Arial" w:cs="Arial"/>
          <w:sz w:val="22"/>
          <w:szCs w:val="22"/>
        </w:rPr>
        <w:t>g</w:t>
      </w:r>
      <w:r w:rsidR="00450156" w:rsidRPr="00D05704">
        <w:rPr>
          <w:rFonts w:ascii="Arial" w:hAnsi="Arial" w:cs="Arial"/>
          <w:sz w:val="22"/>
          <w:szCs w:val="22"/>
        </w:rPr>
        <w:t xml:space="preserve"> porezno</w:t>
      </w:r>
      <w:r w:rsidR="00992485">
        <w:rPr>
          <w:rFonts w:ascii="Arial" w:hAnsi="Arial" w:cs="Arial"/>
          <w:sz w:val="22"/>
          <w:szCs w:val="22"/>
        </w:rPr>
        <w:t>g</w:t>
      </w:r>
      <w:r w:rsidR="00450156" w:rsidRPr="00D05704">
        <w:rPr>
          <w:rFonts w:ascii="Arial" w:hAnsi="Arial" w:cs="Arial"/>
          <w:sz w:val="22"/>
          <w:szCs w:val="22"/>
        </w:rPr>
        <w:t xml:space="preserve"> zakon</w:t>
      </w:r>
      <w:r w:rsidR="00992485">
        <w:rPr>
          <w:rFonts w:ascii="Arial" w:hAnsi="Arial" w:cs="Arial"/>
          <w:sz w:val="22"/>
          <w:szCs w:val="22"/>
        </w:rPr>
        <w:t>a</w:t>
      </w:r>
      <w:r w:rsidR="00450156" w:rsidRPr="00D05704">
        <w:rPr>
          <w:rFonts w:ascii="Arial" w:hAnsi="Arial" w:cs="Arial"/>
          <w:sz w:val="22"/>
          <w:szCs w:val="22"/>
        </w:rPr>
        <w:t xml:space="preserve"> </w:t>
      </w:r>
      <w:r w:rsidR="00992485">
        <w:rPr>
          <w:rFonts w:ascii="Arial" w:hAnsi="Arial" w:cs="Arial"/>
          <w:sz w:val="22"/>
          <w:szCs w:val="22"/>
        </w:rPr>
        <w:t xml:space="preserve">(„Narodne Novine, broj </w:t>
      </w:r>
      <w:r w:rsidR="007F1D16" w:rsidRPr="00D05704">
        <w:rPr>
          <w:rFonts w:ascii="Arial" w:hAnsi="Arial" w:cs="Arial"/>
          <w:sz w:val="22"/>
          <w:szCs w:val="22"/>
        </w:rPr>
        <w:t xml:space="preserve">115/2016, 106/2018, 121/2019, 32/2020, </w:t>
      </w:r>
      <w:r w:rsidR="001979D0" w:rsidRPr="00D05704">
        <w:rPr>
          <w:rFonts w:ascii="Arial" w:hAnsi="Arial" w:cs="Arial"/>
          <w:sz w:val="22"/>
          <w:szCs w:val="22"/>
        </w:rPr>
        <w:t>42/2020</w:t>
      </w:r>
      <w:r w:rsidR="00992485">
        <w:rPr>
          <w:rFonts w:ascii="Arial" w:hAnsi="Arial" w:cs="Arial"/>
          <w:sz w:val="22"/>
          <w:szCs w:val="22"/>
        </w:rPr>
        <w:t xml:space="preserve"> i</w:t>
      </w:r>
      <w:r w:rsidR="001979D0" w:rsidRPr="00D05704">
        <w:rPr>
          <w:rFonts w:ascii="Arial" w:hAnsi="Arial" w:cs="Arial"/>
          <w:sz w:val="22"/>
          <w:szCs w:val="22"/>
        </w:rPr>
        <w:t xml:space="preserve"> </w:t>
      </w:r>
      <w:r w:rsidR="007F1D16" w:rsidRPr="00D05704">
        <w:rPr>
          <w:rFonts w:ascii="Arial" w:hAnsi="Arial" w:cs="Arial"/>
          <w:sz w:val="22"/>
          <w:szCs w:val="22"/>
        </w:rPr>
        <w:t>114/2022</w:t>
      </w:r>
      <w:r w:rsidR="00992485">
        <w:rPr>
          <w:rFonts w:ascii="Arial" w:hAnsi="Arial" w:cs="Arial"/>
          <w:sz w:val="22"/>
          <w:szCs w:val="22"/>
        </w:rPr>
        <w:t>)</w:t>
      </w:r>
      <w:r w:rsidR="00E51252" w:rsidRPr="00D05704">
        <w:rPr>
          <w:rFonts w:ascii="Arial" w:hAnsi="Arial" w:cs="Arial"/>
          <w:sz w:val="22"/>
          <w:szCs w:val="22"/>
        </w:rPr>
        <w:t xml:space="preserve">, </w:t>
      </w:r>
      <w:r w:rsidR="00CC160B">
        <w:rPr>
          <w:rFonts w:ascii="Arial" w:hAnsi="Arial" w:cs="Arial"/>
          <w:sz w:val="22"/>
          <w:szCs w:val="22"/>
        </w:rPr>
        <w:t xml:space="preserve">temeljem </w:t>
      </w:r>
      <w:r w:rsidR="00E51252" w:rsidRPr="00D05704">
        <w:rPr>
          <w:rFonts w:ascii="Arial" w:hAnsi="Arial" w:cs="Arial"/>
          <w:sz w:val="22"/>
          <w:szCs w:val="22"/>
        </w:rPr>
        <w:t>otpisa po pojedinačn</w:t>
      </w:r>
      <w:r w:rsidR="00CC160B">
        <w:rPr>
          <w:rFonts w:ascii="Arial" w:hAnsi="Arial" w:cs="Arial"/>
          <w:sz w:val="22"/>
          <w:szCs w:val="22"/>
        </w:rPr>
        <w:t>im rješenjima</w:t>
      </w:r>
      <w:r w:rsidR="00E51252" w:rsidRPr="00D05704">
        <w:rPr>
          <w:rFonts w:ascii="Arial" w:hAnsi="Arial" w:cs="Arial"/>
          <w:sz w:val="22"/>
          <w:szCs w:val="22"/>
        </w:rPr>
        <w:t>,</w:t>
      </w:r>
      <w:r w:rsidR="00450156" w:rsidRPr="00D05704">
        <w:rPr>
          <w:rFonts w:ascii="Arial" w:hAnsi="Arial" w:cs="Arial"/>
          <w:sz w:val="22"/>
          <w:szCs w:val="22"/>
        </w:rPr>
        <w:t xml:space="preserve"> po posebnim odlukama</w:t>
      </w:r>
      <w:r w:rsidR="00E51252" w:rsidRPr="00D05704">
        <w:rPr>
          <w:rFonts w:ascii="Arial" w:hAnsi="Arial" w:cs="Arial"/>
          <w:sz w:val="22"/>
          <w:szCs w:val="22"/>
        </w:rPr>
        <w:t>, temeljem otpis</w:t>
      </w:r>
      <w:r w:rsidR="00450156" w:rsidRPr="00D05704">
        <w:rPr>
          <w:rFonts w:ascii="Arial" w:hAnsi="Arial" w:cs="Arial"/>
          <w:sz w:val="22"/>
          <w:szCs w:val="22"/>
        </w:rPr>
        <w:t xml:space="preserve">a po </w:t>
      </w:r>
      <w:r w:rsidR="00CC160B">
        <w:rPr>
          <w:rFonts w:ascii="Arial" w:hAnsi="Arial" w:cs="Arial"/>
          <w:sz w:val="22"/>
          <w:szCs w:val="22"/>
        </w:rPr>
        <w:t>z</w:t>
      </w:r>
      <w:r w:rsidR="00E51252" w:rsidRPr="00D05704">
        <w:rPr>
          <w:rFonts w:ascii="Arial" w:hAnsi="Arial" w:cs="Arial"/>
          <w:sz w:val="22"/>
          <w:szCs w:val="22"/>
        </w:rPr>
        <w:t>aključcima Gr</w:t>
      </w:r>
      <w:r w:rsidR="00CC160B">
        <w:rPr>
          <w:rFonts w:ascii="Arial" w:hAnsi="Arial" w:cs="Arial"/>
          <w:sz w:val="22"/>
          <w:szCs w:val="22"/>
        </w:rPr>
        <w:t>adonačelnika i</w:t>
      </w:r>
      <w:r w:rsidR="00E51252" w:rsidRPr="00D05704">
        <w:rPr>
          <w:rFonts w:ascii="Arial" w:hAnsi="Arial" w:cs="Arial"/>
          <w:sz w:val="22"/>
          <w:szCs w:val="22"/>
        </w:rPr>
        <w:t xml:space="preserve"> temeljem obr</w:t>
      </w:r>
      <w:r w:rsidR="00450156" w:rsidRPr="00D05704">
        <w:rPr>
          <w:rFonts w:ascii="Arial" w:hAnsi="Arial" w:cs="Arial"/>
          <w:sz w:val="22"/>
          <w:szCs w:val="22"/>
        </w:rPr>
        <w:t>ačunatih popusta</w:t>
      </w:r>
      <w:r w:rsidR="00CC160B">
        <w:rPr>
          <w:rFonts w:ascii="Arial" w:hAnsi="Arial" w:cs="Arial"/>
          <w:sz w:val="22"/>
          <w:szCs w:val="22"/>
        </w:rPr>
        <w:t>.</w:t>
      </w:r>
      <w:r w:rsidR="005948D5" w:rsidRPr="00D05704">
        <w:rPr>
          <w:rFonts w:ascii="Arial" w:hAnsi="Arial" w:cs="Arial"/>
          <w:sz w:val="22"/>
          <w:szCs w:val="22"/>
        </w:rPr>
        <w:t xml:space="preserve"> </w:t>
      </w:r>
    </w:p>
    <w:p w:rsidR="003F6E0F" w:rsidRPr="007F0E49" w:rsidRDefault="00E74720" w:rsidP="000E69DA">
      <w:pPr>
        <w:jc w:val="both"/>
        <w:rPr>
          <w:rFonts w:ascii="Arial" w:hAnsi="Arial" w:cs="Arial"/>
          <w:sz w:val="22"/>
          <w:szCs w:val="22"/>
        </w:rPr>
      </w:pPr>
      <w:r w:rsidRPr="007F0E49">
        <w:rPr>
          <w:rFonts w:ascii="Arial" w:hAnsi="Arial" w:cs="Arial"/>
          <w:sz w:val="22"/>
          <w:szCs w:val="22"/>
        </w:rPr>
        <w:lastRenderedPageBreak/>
        <w:tab/>
      </w:r>
      <w:r w:rsidR="00BC47F6" w:rsidRPr="007F0E49">
        <w:rPr>
          <w:rFonts w:ascii="Arial" w:hAnsi="Arial" w:cs="Arial"/>
          <w:sz w:val="22"/>
          <w:szCs w:val="22"/>
        </w:rPr>
        <w:t>S</w:t>
      </w:r>
      <w:r w:rsidR="003F6E0F" w:rsidRPr="007F0E49">
        <w:rPr>
          <w:rFonts w:ascii="Arial" w:hAnsi="Arial" w:cs="Arial"/>
          <w:sz w:val="22"/>
          <w:szCs w:val="22"/>
        </w:rPr>
        <w:t>manjenj</w:t>
      </w:r>
      <w:r w:rsidR="00BC47F6" w:rsidRPr="007F0E49">
        <w:rPr>
          <w:rFonts w:ascii="Arial" w:hAnsi="Arial" w:cs="Arial"/>
          <w:sz w:val="22"/>
          <w:szCs w:val="22"/>
        </w:rPr>
        <w:t>e</w:t>
      </w:r>
      <w:r w:rsidR="003F6E0F" w:rsidRPr="007F0E49">
        <w:rPr>
          <w:rFonts w:ascii="Arial" w:hAnsi="Arial" w:cs="Arial"/>
          <w:sz w:val="22"/>
          <w:szCs w:val="22"/>
        </w:rPr>
        <w:t xml:space="preserve"> </w:t>
      </w:r>
      <w:r w:rsidR="00DD4842" w:rsidRPr="007F0E49">
        <w:rPr>
          <w:rFonts w:ascii="Arial" w:hAnsi="Arial" w:cs="Arial"/>
          <w:sz w:val="22"/>
          <w:szCs w:val="22"/>
        </w:rPr>
        <w:t>obujma kod dionica i udjela u glav</w:t>
      </w:r>
      <w:r w:rsidR="00730D8B" w:rsidRPr="007F0E49">
        <w:rPr>
          <w:rFonts w:ascii="Arial" w:hAnsi="Arial" w:cs="Arial"/>
          <w:sz w:val="22"/>
          <w:szCs w:val="22"/>
        </w:rPr>
        <w:t xml:space="preserve">nicama za 10.847.140,00 kn </w:t>
      </w:r>
      <w:r w:rsidR="00BC47F6" w:rsidRPr="007F0E49">
        <w:rPr>
          <w:rFonts w:ascii="Arial" w:hAnsi="Arial" w:cs="Arial"/>
          <w:sz w:val="22"/>
          <w:szCs w:val="22"/>
        </w:rPr>
        <w:t xml:space="preserve">nastaje uslijed </w:t>
      </w:r>
      <w:r w:rsidR="00FD4E2F">
        <w:rPr>
          <w:rFonts w:ascii="Arial" w:hAnsi="Arial" w:cs="Arial"/>
          <w:sz w:val="22"/>
          <w:szCs w:val="22"/>
        </w:rPr>
        <w:tab/>
      </w:r>
      <w:r w:rsidR="00730D8B" w:rsidRPr="007F0E49">
        <w:rPr>
          <w:rFonts w:ascii="Arial" w:hAnsi="Arial" w:cs="Arial"/>
          <w:sz w:val="22"/>
          <w:szCs w:val="22"/>
        </w:rPr>
        <w:t xml:space="preserve">povlačenja vrijednosnica </w:t>
      </w:r>
      <w:r w:rsidRPr="007F0E49">
        <w:rPr>
          <w:rFonts w:ascii="Arial" w:hAnsi="Arial" w:cs="Arial"/>
          <w:sz w:val="22"/>
          <w:szCs w:val="22"/>
        </w:rPr>
        <w:t xml:space="preserve">trgovačkog društva </w:t>
      </w:r>
      <w:r w:rsidR="00730D8B" w:rsidRPr="007F0E49">
        <w:rPr>
          <w:rFonts w:ascii="Arial" w:hAnsi="Arial" w:cs="Arial"/>
          <w:sz w:val="22"/>
          <w:szCs w:val="22"/>
        </w:rPr>
        <w:t xml:space="preserve">Rijeka promet d.d. u iznosu od 10.777.140,00 </w:t>
      </w:r>
      <w:r w:rsidR="00FD4E2F">
        <w:rPr>
          <w:rFonts w:ascii="Arial" w:hAnsi="Arial" w:cs="Arial"/>
          <w:sz w:val="22"/>
          <w:szCs w:val="22"/>
        </w:rPr>
        <w:tab/>
      </w:r>
      <w:r w:rsidR="00730D8B" w:rsidRPr="007F0E49">
        <w:rPr>
          <w:rFonts w:ascii="Arial" w:hAnsi="Arial" w:cs="Arial"/>
          <w:sz w:val="22"/>
          <w:szCs w:val="22"/>
        </w:rPr>
        <w:t xml:space="preserve">kn prema </w:t>
      </w:r>
      <w:r w:rsidR="00BC47F6" w:rsidRPr="007F0E49">
        <w:rPr>
          <w:rFonts w:ascii="Arial" w:hAnsi="Arial" w:cs="Arial"/>
          <w:sz w:val="22"/>
          <w:szCs w:val="22"/>
        </w:rPr>
        <w:t>i</w:t>
      </w:r>
      <w:r w:rsidR="00730D8B" w:rsidRPr="007F0E49">
        <w:rPr>
          <w:rFonts w:ascii="Arial" w:hAnsi="Arial" w:cs="Arial"/>
          <w:sz w:val="22"/>
          <w:szCs w:val="22"/>
        </w:rPr>
        <w:t>zvještaju</w:t>
      </w:r>
      <w:r w:rsidR="00BC47F6" w:rsidRPr="007F0E49">
        <w:rPr>
          <w:rFonts w:ascii="Arial" w:hAnsi="Arial" w:cs="Arial"/>
          <w:sz w:val="22"/>
          <w:szCs w:val="22"/>
        </w:rPr>
        <w:t xml:space="preserve"> Središnjeg klirinškog depozitarnog društva d.d.</w:t>
      </w:r>
      <w:r w:rsidR="00730D8B" w:rsidRPr="007F0E49">
        <w:rPr>
          <w:rFonts w:ascii="Arial" w:hAnsi="Arial" w:cs="Arial"/>
          <w:sz w:val="22"/>
          <w:szCs w:val="22"/>
        </w:rPr>
        <w:t xml:space="preserve"> </w:t>
      </w:r>
      <w:r w:rsidR="00BC47F6" w:rsidRPr="007F0E49">
        <w:rPr>
          <w:rFonts w:ascii="Arial" w:hAnsi="Arial" w:cs="Arial"/>
          <w:sz w:val="22"/>
          <w:szCs w:val="22"/>
        </w:rPr>
        <w:t>te</w:t>
      </w:r>
      <w:r w:rsidR="00730D8B" w:rsidRPr="007F0E49">
        <w:rPr>
          <w:rFonts w:ascii="Arial" w:hAnsi="Arial" w:cs="Arial"/>
          <w:sz w:val="22"/>
          <w:szCs w:val="22"/>
        </w:rPr>
        <w:t xml:space="preserve"> zbog </w:t>
      </w:r>
      <w:r w:rsidR="00BC47F6" w:rsidRPr="007F0E49">
        <w:rPr>
          <w:rFonts w:ascii="Arial" w:hAnsi="Arial" w:cs="Arial"/>
          <w:sz w:val="22"/>
          <w:szCs w:val="22"/>
        </w:rPr>
        <w:t xml:space="preserve">provedenog </w:t>
      </w:r>
      <w:r w:rsidR="00FD4E2F">
        <w:rPr>
          <w:rFonts w:ascii="Arial" w:hAnsi="Arial" w:cs="Arial"/>
          <w:sz w:val="22"/>
          <w:szCs w:val="22"/>
        </w:rPr>
        <w:tab/>
      </w:r>
      <w:r w:rsidR="00730D8B" w:rsidRPr="007F0E49">
        <w:rPr>
          <w:rFonts w:ascii="Arial" w:hAnsi="Arial" w:cs="Arial"/>
          <w:sz w:val="22"/>
          <w:szCs w:val="22"/>
        </w:rPr>
        <w:t>brisanja trgovačk</w:t>
      </w:r>
      <w:r w:rsidR="00BC47F6" w:rsidRPr="007F0E49">
        <w:rPr>
          <w:rFonts w:ascii="Arial" w:hAnsi="Arial" w:cs="Arial"/>
          <w:sz w:val="22"/>
          <w:szCs w:val="22"/>
        </w:rPr>
        <w:t>ih</w:t>
      </w:r>
      <w:r w:rsidR="00730D8B" w:rsidRPr="007F0E49">
        <w:rPr>
          <w:rFonts w:ascii="Arial" w:hAnsi="Arial" w:cs="Arial"/>
          <w:sz w:val="22"/>
          <w:szCs w:val="22"/>
        </w:rPr>
        <w:t xml:space="preserve"> društ</w:t>
      </w:r>
      <w:r w:rsidR="00BC47F6" w:rsidRPr="007F0E49">
        <w:rPr>
          <w:rFonts w:ascii="Arial" w:hAnsi="Arial" w:cs="Arial"/>
          <w:sz w:val="22"/>
          <w:szCs w:val="22"/>
        </w:rPr>
        <w:t>a</w:t>
      </w:r>
      <w:r w:rsidR="00730D8B" w:rsidRPr="007F0E49">
        <w:rPr>
          <w:rFonts w:ascii="Arial" w:hAnsi="Arial" w:cs="Arial"/>
          <w:sz w:val="22"/>
          <w:szCs w:val="22"/>
        </w:rPr>
        <w:t>va</w:t>
      </w:r>
      <w:r w:rsidR="00BC47F6" w:rsidRPr="007F0E49">
        <w:rPr>
          <w:rFonts w:ascii="Arial" w:hAnsi="Arial" w:cs="Arial"/>
          <w:sz w:val="22"/>
          <w:szCs w:val="22"/>
        </w:rPr>
        <w:t xml:space="preserve"> </w:t>
      </w:r>
      <w:r w:rsidRPr="007F0E49">
        <w:rPr>
          <w:rFonts w:ascii="Arial" w:hAnsi="Arial" w:cs="Arial"/>
          <w:sz w:val="22"/>
          <w:szCs w:val="22"/>
        </w:rPr>
        <w:tab/>
      </w:r>
      <w:r w:rsidR="00BC47F6" w:rsidRPr="007F0E49">
        <w:rPr>
          <w:rFonts w:ascii="Arial" w:hAnsi="Arial" w:cs="Arial"/>
          <w:sz w:val="22"/>
          <w:szCs w:val="22"/>
        </w:rPr>
        <w:t>(</w:t>
      </w:r>
      <w:r w:rsidR="00730D8B" w:rsidRPr="007F0E49">
        <w:rPr>
          <w:rFonts w:ascii="Arial" w:hAnsi="Arial" w:cs="Arial"/>
          <w:sz w:val="22"/>
          <w:szCs w:val="22"/>
        </w:rPr>
        <w:t>Rijeka 2020 d.o.o. i Cekom</w:t>
      </w:r>
      <w:r w:rsidR="00BC47F6" w:rsidRPr="007F0E49">
        <w:rPr>
          <w:rFonts w:ascii="Arial" w:hAnsi="Arial" w:cs="Arial"/>
          <w:sz w:val="22"/>
          <w:szCs w:val="22"/>
        </w:rPr>
        <w:t xml:space="preserve"> d.o.o.)</w:t>
      </w:r>
    </w:p>
    <w:p w:rsidR="00BA6DF6" w:rsidRPr="007F0E49" w:rsidRDefault="00BA6DF6" w:rsidP="000E69DA">
      <w:pPr>
        <w:jc w:val="both"/>
        <w:rPr>
          <w:rFonts w:ascii="Arial" w:hAnsi="Arial" w:cs="Arial"/>
          <w:color w:val="FF0000"/>
          <w:sz w:val="22"/>
          <w:szCs w:val="22"/>
        </w:rPr>
      </w:pPr>
    </w:p>
    <w:p w:rsidR="00005D28" w:rsidRPr="007F0E49" w:rsidRDefault="000E69DA" w:rsidP="000E69DA">
      <w:pPr>
        <w:jc w:val="both"/>
        <w:rPr>
          <w:rFonts w:ascii="Arial" w:hAnsi="Arial" w:cs="Arial"/>
          <w:sz w:val="22"/>
          <w:szCs w:val="22"/>
        </w:rPr>
      </w:pPr>
      <w:r w:rsidRPr="007F0E49">
        <w:rPr>
          <w:rFonts w:ascii="Arial" w:hAnsi="Arial" w:cs="Arial"/>
          <w:i/>
          <w:sz w:val="22"/>
          <w:szCs w:val="22"/>
          <w:u w:val="single"/>
        </w:rPr>
        <w:t>Promjene u vrijednosti (revalorizacija) i obujmu obveza (</w:t>
      </w:r>
      <w:r w:rsidR="00DD4842" w:rsidRPr="007F0E49">
        <w:rPr>
          <w:rFonts w:ascii="Arial" w:hAnsi="Arial" w:cs="Arial"/>
          <w:i/>
          <w:sz w:val="22"/>
          <w:szCs w:val="22"/>
          <w:u w:val="single"/>
        </w:rPr>
        <w:t>9152</w:t>
      </w:r>
      <w:r w:rsidRPr="007F0E49">
        <w:rPr>
          <w:rFonts w:ascii="Arial" w:hAnsi="Arial" w:cs="Arial"/>
          <w:i/>
          <w:sz w:val="22"/>
          <w:szCs w:val="22"/>
          <w:u w:val="single"/>
        </w:rPr>
        <w:t>)</w:t>
      </w:r>
      <w:r w:rsidRPr="007F0E49">
        <w:rPr>
          <w:rFonts w:ascii="Arial" w:hAnsi="Arial" w:cs="Arial"/>
          <w:sz w:val="22"/>
          <w:szCs w:val="22"/>
        </w:rPr>
        <w:t xml:space="preserve"> – evidentirano je </w:t>
      </w:r>
      <w:r w:rsidR="00DD4842" w:rsidRPr="007F0E49">
        <w:rPr>
          <w:rFonts w:ascii="Arial" w:hAnsi="Arial" w:cs="Arial"/>
          <w:sz w:val="22"/>
          <w:szCs w:val="22"/>
        </w:rPr>
        <w:t>povećanje</w:t>
      </w:r>
      <w:r w:rsidRPr="007F0E49">
        <w:rPr>
          <w:rFonts w:ascii="Arial" w:hAnsi="Arial" w:cs="Arial"/>
          <w:sz w:val="22"/>
          <w:szCs w:val="22"/>
        </w:rPr>
        <w:t xml:space="preserve"> </w:t>
      </w:r>
      <w:r w:rsidR="00BC47F6" w:rsidRPr="007F0E49">
        <w:rPr>
          <w:rFonts w:ascii="Arial" w:hAnsi="Arial" w:cs="Arial"/>
          <w:sz w:val="22"/>
          <w:szCs w:val="22"/>
        </w:rPr>
        <w:t xml:space="preserve">obujma </w:t>
      </w:r>
      <w:r w:rsidRPr="007F0E49">
        <w:rPr>
          <w:rFonts w:ascii="Arial" w:hAnsi="Arial" w:cs="Arial"/>
          <w:sz w:val="22"/>
          <w:szCs w:val="22"/>
        </w:rPr>
        <w:t>obveza za rashode poslovanja</w:t>
      </w:r>
      <w:r w:rsidR="005965CA" w:rsidRPr="007F0E49">
        <w:rPr>
          <w:rFonts w:ascii="Arial" w:hAnsi="Arial" w:cs="Arial"/>
          <w:sz w:val="22"/>
          <w:szCs w:val="22"/>
        </w:rPr>
        <w:t xml:space="preserve"> (kamate) </w:t>
      </w:r>
      <w:r w:rsidRPr="007F0E49">
        <w:rPr>
          <w:rFonts w:ascii="Arial" w:hAnsi="Arial" w:cs="Arial"/>
          <w:sz w:val="22"/>
          <w:szCs w:val="22"/>
        </w:rPr>
        <w:t xml:space="preserve"> </w:t>
      </w:r>
      <w:r w:rsidR="00DD4842" w:rsidRPr="007F0E49">
        <w:rPr>
          <w:rFonts w:ascii="Arial" w:hAnsi="Arial" w:cs="Arial"/>
          <w:sz w:val="22"/>
          <w:szCs w:val="22"/>
        </w:rPr>
        <w:t>13.271,54</w:t>
      </w:r>
      <w:r w:rsidRPr="007F0E49">
        <w:rPr>
          <w:rFonts w:ascii="Arial" w:hAnsi="Arial" w:cs="Arial"/>
          <w:sz w:val="22"/>
          <w:szCs w:val="22"/>
        </w:rPr>
        <w:t xml:space="preserve"> kn (</w:t>
      </w:r>
      <w:r w:rsidR="00DD4842" w:rsidRPr="007F0E49">
        <w:rPr>
          <w:rFonts w:ascii="Arial" w:hAnsi="Arial" w:cs="Arial"/>
          <w:sz w:val="22"/>
          <w:szCs w:val="22"/>
        </w:rPr>
        <w:t>P031</w:t>
      </w:r>
      <w:r w:rsidRPr="007F0E49">
        <w:rPr>
          <w:rFonts w:ascii="Arial" w:hAnsi="Arial" w:cs="Arial"/>
          <w:sz w:val="22"/>
          <w:szCs w:val="22"/>
        </w:rPr>
        <w:t xml:space="preserve">) i obveze za kredite i zajmove u iznosu od </w:t>
      </w:r>
      <w:r w:rsidR="00DD4842" w:rsidRPr="007F0E49">
        <w:rPr>
          <w:rFonts w:ascii="Arial" w:hAnsi="Arial" w:cs="Arial"/>
          <w:sz w:val="22"/>
          <w:szCs w:val="22"/>
        </w:rPr>
        <w:t>26.395,13</w:t>
      </w:r>
      <w:r w:rsidR="00065185" w:rsidRPr="007F0E49">
        <w:rPr>
          <w:rFonts w:ascii="Arial" w:hAnsi="Arial" w:cs="Arial"/>
          <w:sz w:val="22"/>
          <w:szCs w:val="22"/>
        </w:rPr>
        <w:t xml:space="preserve"> </w:t>
      </w:r>
      <w:r w:rsidRPr="007F0E49">
        <w:rPr>
          <w:rFonts w:ascii="Arial" w:hAnsi="Arial" w:cs="Arial"/>
          <w:sz w:val="22"/>
          <w:szCs w:val="22"/>
        </w:rPr>
        <w:t>kn (</w:t>
      </w:r>
      <w:r w:rsidR="00DD4842" w:rsidRPr="007F0E49">
        <w:rPr>
          <w:rFonts w:ascii="Arial" w:hAnsi="Arial" w:cs="Arial"/>
          <w:sz w:val="22"/>
          <w:szCs w:val="22"/>
        </w:rPr>
        <w:t>P034</w:t>
      </w:r>
      <w:r w:rsidR="005965CA" w:rsidRPr="007F0E49">
        <w:rPr>
          <w:rFonts w:ascii="Arial" w:hAnsi="Arial" w:cs="Arial"/>
          <w:sz w:val="22"/>
          <w:szCs w:val="22"/>
        </w:rPr>
        <w:t>) zbog usklađenja stanja na 31.12.2022.</w:t>
      </w:r>
    </w:p>
    <w:p w:rsidR="002677ED" w:rsidRDefault="002677ED" w:rsidP="000E69DA">
      <w:pPr>
        <w:jc w:val="both"/>
        <w:rPr>
          <w:rFonts w:ascii="Arial" w:hAnsi="Arial" w:cs="Arial"/>
          <w:color w:val="FF0000"/>
        </w:rPr>
      </w:pPr>
    </w:p>
    <w:p w:rsidR="00331D92" w:rsidRDefault="00331D92" w:rsidP="000E69DA">
      <w:pPr>
        <w:jc w:val="both"/>
        <w:rPr>
          <w:rFonts w:ascii="Arial" w:hAnsi="Arial" w:cs="Arial"/>
          <w:color w:val="FF0000"/>
        </w:rPr>
      </w:pPr>
    </w:p>
    <w:p w:rsidR="00331D92" w:rsidRDefault="00331D92" w:rsidP="000E69DA">
      <w:pPr>
        <w:jc w:val="both"/>
        <w:rPr>
          <w:rFonts w:ascii="Arial" w:hAnsi="Arial" w:cs="Arial"/>
          <w:color w:val="FF0000"/>
        </w:rPr>
      </w:pPr>
    </w:p>
    <w:p w:rsidR="00331D92" w:rsidRPr="00A73102" w:rsidRDefault="00331D92" w:rsidP="000E69DA">
      <w:pPr>
        <w:jc w:val="both"/>
        <w:rPr>
          <w:rFonts w:ascii="Arial" w:hAnsi="Arial" w:cs="Arial"/>
          <w:color w:val="FF0000"/>
        </w:rPr>
      </w:pPr>
    </w:p>
    <w:p w:rsidR="000E69DA" w:rsidRPr="00BC6599" w:rsidRDefault="000E69DA" w:rsidP="00D907B7">
      <w:pPr>
        <w:keepNext/>
        <w:numPr>
          <w:ilvl w:val="0"/>
          <w:numId w:val="1"/>
        </w:numPr>
        <w:jc w:val="both"/>
        <w:outlineLvl w:val="1"/>
        <w:rPr>
          <w:rFonts w:ascii="Arial" w:hAnsi="Arial" w:cs="Arial"/>
          <w:b/>
          <w:color w:val="1F3864" w:themeColor="accent5" w:themeShade="80"/>
          <w:sz w:val="24"/>
          <w:szCs w:val="24"/>
        </w:rPr>
      </w:pPr>
      <w:r w:rsidRPr="00BC6599">
        <w:rPr>
          <w:rFonts w:ascii="Arial" w:hAnsi="Arial" w:cs="Arial"/>
          <w:b/>
          <w:color w:val="1F3864" w:themeColor="accent5" w:themeShade="80"/>
          <w:sz w:val="24"/>
          <w:szCs w:val="24"/>
        </w:rPr>
        <w:t xml:space="preserve">IZVJEŠTAJ O OBVEZAMA </w:t>
      </w:r>
    </w:p>
    <w:p w:rsidR="008C518A" w:rsidRPr="00A73102" w:rsidRDefault="008C518A" w:rsidP="000E69DA">
      <w:pPr>
        <w:jc w:val="both"/>
        <w:rPr>
          <w:rFonts w:ascii="Arial" w:hAnsi="Arial" w:cs="Arial"/>
          <w:b/>
          <w:color w:val="1F3864" w:themeColor="accent5" w:themeShade="80"/>
          <w:sz w:val="24"/>
          <w:szCs w:val="24"/>
        </w:rPr>
      </w:pPr>
    </w:p>
    <w:p w:rsidR="00467963" w:rsidRPr="00A73102" w:rsidRDefault="00467963" w:rsidP="000E69DA">
      <w:pPr>
        <w:jc w:val="both"/>
        <w:rPr>
          <w:rFonts w:ascii="Arial" w:hAnsi="Arial" w:cs="Arial"/>
          <w:b/>
        </w:rPr>
      </w:pPr>
    </w:p>
    <w:p w:rsidR="005965CA" w:rsidRPr="007F0E49" w:rsidRDefault="000E69DA" w:rsidP="000E69DA">
      <w:pPr>
        <w:jc w:val="both"/>
        <w:rPr>
          <w:rFonts w:ascii="Arial" w:hAnsi="Arial" w:cs="Arial"/>
          <w:sz w:val="22"/>
          <w:szCs w:val="22"/>
        </w:rPr>
      </w:pPr>
      <w:r w:rsidRPr="007F0E49">
        <w:rPr>
          <w:rFonts w:ascii="Arial" w:hAnsi="Arial" w:cs="Arial"/>
          <w:b/>
          <w:sz w:val="22"/>
          <w:szCs w:val="22"/>
        </w:rPr>
        <w:t>Bilješka broj 2</w:t>
      </w:r>
      <w:r w:rsidR="004A6FC0" w:rsidRPr="007F0E49">
        <w:rPr>
          <w:rFonts w:ascii="Arial" w:hAnsi="Arial" w:cs="Arial"/>
          <w:b/>
          <w:sz w:val="22"/>
          <w:szCs w:val="22"/>
        </w:rPr>
        <w:t>2</w:t>
      </w:r>
      <w:r w:rsidRPr="007F0E49">
        <w:rPr>
          <w:rFonts w:ascii="Arial" w:hAnsi="Arial" w:cs="Arial"/>
          <w:b/>
          <w:sz w:val="22"/>
          <w:szCs w:val="22"/>
        </w:rPr>
        <w:t xml:space="preserve"> –</w:t>
      </w:r>
      <w:r w:rsidR="00A2411C" w:rsidRPr="007F0E49">
        <w:rPr>
          <w:rFonts w:ascii="Arial" w:hAnsi="Arial" w:cs="Arial"/>
          <w:b/>
          <w:sz w:val="22"/>
          <w:szCs w:val="22"/>
        </w:rPr>
        <w:t xml:space="preserve"> </w:t>
      </w:r>
      <w:r w:rsidRPr="007F0E49">
        <w:rPr>
          <w:rFonts w:ascii="Arial" w:hAnsi="Arial" w:cs="Arial"/>
          <w:sz w:val="22"/>
          <w:szCs w:val="22"/>
        </w:rPr>
        <w:t xml:space="preserve">Stanje </w:t>
      </w:r>
      <w:r w:rsidR="00A2411C" w:rsidRPr="007F0E49">
        <w:rPr>
          <w:rFonts w:ascii="Arial" w:hAnsi="Arial" w:cs="Arial"/>
          <w:sz w:val="22"/>
          <w:szCs w:val="22"/>
        </w:rPr>
        <w:t xml:space="preserve">ukupnih </w:t>
      </w:r>
      <w:r w:rsidRPr="007F0E49">
        <w:rPr>
          <w:rFonts w:ascii="Arial" w:hAnsi="Arial" w:cs="Arial"/>
          <w:sz w:val="22"/>
          <w:szCs w:val="22"/>
        </w:rPr>
        <w:t xml:space="preserve">obveza na </w:t>
      </w:r>
      <w:r w:rsidR="00A2411C" w:rsidRPr="007F0E49">
        <w:rPr>
          <w:rFonts w:ascii="Arial" w:hAnsi="Arial" w:cs="Arial"/>
          <w:sz w:val="22"/>
          <w:szCs w:val="22"/>
        </w:rPr>
        <w:t xml:space="preserve">dan bilance </w:t>
      </w:r>
      <w:r w:rsidRPr="007F0E49">
        <w:rPr>
          <w:rFonts w:ascii="Arial" w:hAnsi="Arial" w:cs="Arial"/>
          <w:sz w:val="22"/>
          <w:szCs w:val="22"/>
        </w:rPr>
        <w:t xml:space="preserve">iznosi </w:t>
      </w:r>
      <w:r w:rsidR="00104D66" w:rsidRPr="007F0E49">
        <w:rPr>
          <w:rFonts w:ascii="Arial" w:hAnsi="Arial" w:cs="Arial"/>
          <w:sz w:val="22"/>
          <w:szCs w:val="22"/>
        </w:rPr>
        <w:t>394.730.625,21</w:t>
      </w:r>
      <w:r w:rsidRPr="007F0E49">
        <w:rPr>
          <w:rFonts w:ascii="Arial" w:hAnsi="Arial" w:cs="Arial"/>
          <w:sz w:val="22"/>
          <w:szCs w:val="22"/>
        </w:rPr>
        <w:t xml:space="preserve"> kn</w:t>
      </w:r>
      <w:r w:rsidR="005965CA" w:rsidRPr="007F0E49">
        <w:rPr>
          <w:rFonts w:ascii="Arial" w:hAnsi="Arial" w:cs="Arial"/>
          <w:sz w:val="22"/>
          <w:szCs w:val="22"/>
        </w:rPr>
        <w:t xml:space="preserve"> (V006).</w:t>
      </w:r>
      <w:r w:rsidRPr="007F0E49">
        <w:rPr>
          <w:rFonts w:ascii="Arial" w:hAnsi="Arial" w:cs="Arial"/>
          <w:sz w:val="22"/>
          <w:szCs w:val="22"/>
        </w:rPr>
        <w:t xml:space="preserve"> </w:t>
      </w:r>
    </w:p>
    <w:p w:rsidR="004379C2" w:rsidRPr="007F0E49" w:rsidRDefault="005965CA" w:rsidP="000E69DA">
      <w:pPr>
        <w:jc w:val="both"/>
        <w:rPr>
          <w:rFonts w:ascii="Arial" w:hAnsi="Arial" w:cs="Arial"/>
          <w:sz w:val="22"/>
          <w:szCs w:val="22"/>
        </w:rPr>
      </w:pPr>
      <w:r w:rsidRPr="007F0E49">
        <w:rPr>
          <w:rFonts w:ascii="Arial" w:hAnsi="Arial" w:cs="Arial"/>
          <w:sz w:val="22"/>
          <w:szCs w:val="22"/>
        </w:rPr>
        <w:t>O</w:t>
      </w:r>
      <w:r w:rsidR="008D10D0" w:rsidRPr="007F0E49">
        <w:rPr>
          <w:rFonts w:ascii="Arial" w:hAnsi="Arial" w:cs="Arial"/>
          <w:sz w:val="22"/>
          <w:szCs w:val="22"/>
        </w:rPr>
        <w:t xml:space="preserve">d </w:t>
      </w:r>
      <w:r w:rsidRPr="007F0E49">
        <w:rPr>
          <w:rFonts w:ascii="Arial" w:hAnsi="Arial" w:cs="Arial"/>
          <w:sz w:val="22"/>
          <w:szCs w:val="22"/>
        </w:rPr>
        <w:t xml:space="preserve">ukupnih obveza </w:t>
      </w:r>
      <w:r w:rsidR="001D1B7C" w:rsidRPr="007F0E49">
        <w:rPr>
          <w:rFonts w:ascii="Arial" w:hAnsi="Arial" w:cs="Arial"/>
          <w:sz w:val="22"/>
          <w:szCs w:val="22"/>
        </w:rPr>
        <w:t>dospjel</w:t>
      </w:r>
      <w:r w:rsidRPr="007F0E49">
        <w:rPr>
          <w:rFonts w:ascii="Arial" w:hAnsi="Arial" w:cs="Arial"/>
          <w:sz w:val="22"/>
          <w:szCs w:val="22"/>
        </w:rPr>
        <w:t>o je</w:t>
      </w:r>
      <w:r w:rsidR="001D1B7C" w:rsidRPr="007F0E49">
        <w:rPr>
          <w:rFonts w:ascii="Arial" w:hAnsi="Arial" w:cs="Arial"/>
          <w:sz w:val="22"/>
          <w:szCs w:val="22"/>
        </w:rPr>
        <w:t xml:space="preserve"> </w:t>
      </w:r>
      <w:r w:rsidR="00104D66" w:rsidRPr="007F0E49">
        <w:rPr>
          <w:rFonts w:ascii="Arial" w:hAnsi="Arial" w:cs="Arial"/>
          <w:sz w:val="22"/>
          <w:szCs w:val="22"/>
        </w:rPr>
        <w:t>30.824.393,25</w:t>
      </w:r>
      <w:r w:rsidR="000E69DA" w:rsidRPr="007F0E49">
        <w:rPr>
          <w:rFonts w:ascii="Arial" w:hAnsi="Arial" w:cs="Arial"/>
          <w:sz w:val="22"/>
          <w:szCs w:val="22"/>
        </w:rPr>
        <w:t xml:space="preserve"> </w:t>
      </w:r>
      <w:r w:rsidR="001D1B7C" w:rsidRPr="007F0E49">
        <w:rPr>
          <w:rFonts w:ascii="Arial" w:hAnsi="Arial" w:cs="Arial"/>
          <w:sz w:val="22"/>
          <w:szCs w:val="22"/>
        </w:rPr>
        <w:t>kn</w:t>
      </w:r>
      <w:r w:rsidRPr="007F0E49">
        <w:rPr>
          <w:rFonts w:ascii="Arial" w:hAnsi="Arial" w:cs="Arial"/>
          <w:sz w:val="22"/>
          <w:szCs w:val="22"/>
        </w:rPr>
        <w:t xml:space="preserve"> (V007)</w:t>
      </w:r>
      <w:r w:rsidR="001D1B7C" w:rsidRPr="007F0E49">
        <w:rPr>
          <w:rFonts w:ascii="Arial" w:hAnsi="Arial" w:cs="Arial"/>
          <w:sz w:val="22"/>
          <w:szCs w:val="22"/>
        </w:rPr>
        <w:t>, a nedospjel</w:t>
      </w:r>
      <w:r w:rsidRPr="007F0E49">
        <w:rPr>
          <w:rFonts w:ascii="Arial" w:hAnsi="Arial" w:cs="Arial"/>
          <w:sz w:val="22"/>
          <w:szCs w:val="22"/>
        </w:rPr>
        <w:t>o</w:t>
      </w:r>
      <w:r w:rsidR="001D1B7C" w:rsidRPr="007F0E49">
        <w:rPr>
          <w:rFonts w:ascii="Arial" w:hAnsi="Arial" w:cs="Arial"/>
          <w:sz w:val="22"/>
          <w:szCs w:val="22"/>
        </w:rPr>
        <w:t xml:space="preserve"> </w:t>
      </w:r>
      <w:r w:rsidR="00104D66" w:rsidRPr="007F0E49">
        <w:rPr>
          <w:rFonts w:ascii="Arial" w:hAnsi="Arial" w:cs="Arial"/>
          <w:sz w:val="22"/>
          <w:szCs w:val="22"/>
        </w:rPr>
        <w:t>363.906.231,96</w:t>
      </w:r>
      <w:r w:rsidR="000E69DA" w:rsidRPr="007F0E49">
        <w:rPr>
          <w:rFonts w:ascii="Arial" w:hAnsi="Arial" w:cs="Arial"/>
          <w:sz w:val="22"/>
          <w:szCs w:val="22"/>
        </w:rPr>
        <w:t xml:space="preserve"> kn</w:t>
      </w:r>
      <w:r w:rsidRPr="007F0E49">
        <w:rPr>
          <w:rFonts w:ascii="Arial" w:hAnsi="Arial" w:cs="Arial"/>
          <w:sz w:val="22"/>
          <w:szCs w:val="22"/>
        </w:rPr>
        <w:t xml:space="preserve"> (V009)</w:t>
      </w:r>
      <w:r w:rsidR="000E69DA" w:rsidRPr="007F0E49">
        <w:rPr>
          <w:rFonts w:ascii="Arial" w:hAnsi="Arial" w:cs="Arial"/>
          <w:sz w:val="22"/>
          <w:szCs w:val="22"/>
        </w:rPr>
        <w:t xml:space="preserve">. </w:t>
      </w:r>
    </w:p>
    <w:p w:rsidR="005965CA" w:rsidRPr="007F0E49" w:rsidRDefault="005965CA" w:rsidP="000E69DA">
      <w:pPr>
        <w:jc w:val="both"/>
        <w:rPr>
          <w:rFonts w:ascii="Arial" w:hAnsi="Arial" w:cs="Arial"/>
          <w:sz w:val="22"/>
          <w:szCs w:val="22"/>
        </w:rPr>
      </w:pPr>
    </w:p>
    <w:p w:rsidR="000E69DA" w:rsidRPr="007F0E49" w:rsidRDefault="000E69DA" w:rsidP="000E69DA">
      <w:pPr>
        <w:jc w:val="both"/>
        <w:rPr>
          <w:rFonts w:ascii="Arial" w:hAnsi="Arial" w:cs="Arial"/>
          <w:sz w:val="22"/>
          <w:szCs w:val="22"/>
        </w:rPr>
      </w:pPr>
      <w:r w:rsidRPr="007F0E49">
        <w:rPr>
          <w:rFonts w:ascii="Arial" w:hAnsi="Arial" w:cs="Arial"/>
          <w:sz w:val="22"/>
          <w:szCs w:val="22"/>
        </w:rPr>
        <w:t>U odnosu na pret</w:t>
      </w:r>
      <w:r w:rsidR="001D1B7C" w:rsidRPr="007F0E49">
        <w:rPr>
          <w:rFonts w:ascii="Arial" w:hAnsi="Arial" w:cs="Arial"/>
          <w:sz w:val="22"/>
          <w:szCs w:val="22"/>
        </w:rPr>
        <w:t>hodnu godinu</w:t>
      </w:r>
      <w:r w:rsidR="00C52A84" w:rsidRPr="007F0E49">
        <w:rPr>
          <w:rFonts w:ascii="Arial" w:hAnsi="Arial" w:cs="Arial"/>
          <w:sz w:val="22"/>
          <w:szCs w:val="22"/>
        </w:rPr>
        <w:t xml:space="preserve"> </w:t>
      </w:r>
      <w:r w:rsidR="001D1B7C" w:rsidRPr="007F0E49">
        <w:rPr>
          <w:rFonts w:ascii="Arial" w:hAnsi="Arial" w:cs="Arial"/>
          <w:sz w:val="22"/>
          <w:szCs w:val="22"/>
        </w:rPr>
        <w:t>ukupn</w:t>
      </w:r>
      <w:r w:rsidR="005668F0" w:rsidRPr="007F0E49">
        <w:rPr>
          <w:rFonts w:ascii="Arial" w:hAnsi="Arial" w:cs="Arial"/>
          <w:sz w:val="22"/>
          <w:szCs w:val="22"/>
        </w:rPr>
        <w:t>e</w:t>
      </w:r>
      <w:r w:rsidR="001D1B7C" w:rsidRPr="007F0E49">
        <w:rPr>
          <w:rFonts w:ascii="Arial" w:hAnsi="Arial" w:cs="Arial"/>
          <w:sz w:val="22"/>
          <w:szCs w:val="22"/>
        </w:rPr>
        <w:t xml:space="preserve"> obvez</w:t>
      </w:r>
      <w:r w:rsidR="005668F0" w:rsidRPr="007F0E49">
        <w:rPr>
          <w:rFonts w:ascii="Arial" w:hAnsi="Arial" w:cs="Arial"/>
          <w:sz w:val="22"/>
          <w:szCs w:val="22"/>
        </w:rPr>
        <w:t>e</w:t>
      </w:r>
      <w:r w:rsidR="00C52A84" w:rsidRPr="007F0E49">
        <w:rPr>
          <w:rFonts w:ascii="Arial" w:hAnsi="Arial" w:cs="Arial"/>
          <w:sz w:val="22"/>
          <w:szCs w:val="22"/>
        </w:rPr>
        <w:t xml:space="preserve"> </w:t>
      </w:r>
      <w:r w:rsidR="005668F0" w:rsidRPr="007F0E49">
        <w:rPr>
          <w:rFonts w:ascii="Arial" w:hAnsi="Arial" w:cs="Arial"/>
          <w:sz w:val="22"/>
          <w:szCs w:val="22"/>
        </w:rPr>
        <w:t xml:space="preserve">bilježe smanjenje </w:t>
      </w:r>
      <w:r w:rsidR="00F4452E" w:rsidRPr="007F0E49">
        <w:rPr>
          <w:rFonts w:ascii="Arial" w:hAnsi="Arial" w:cs="Arial"/>
          <w:sz w:val="22"/>
          <w:szCs w:val="22"/>
        </w:rPr>
        <w:t xml:space="preserve">za </w:t>
      </w:r>
      <w:r w:rsidR="00021247" w:rsidRPr="007F0E49">
        <w:rPr>
          <w:rFonts w:ascii="Arial" w:hAnsi="Arial" w:cs="Arial"/>
          <w:sz w:val="22"/>
          <w:szCs w:val="22"/>
        </w:rPr>
        <w:t>59.486.045,43</w:t>
      </w:r>
      <w:r w:rsidRPr="007F0E49">
        <w:rPr>
          <w:rFonts w:ascii="Arial" w:hAnsi="Arial" w:cs="Arial"/>
          <w:sz w:val="22"/>
          <w:szCs w:val="22"/>
        </w:rPr>
        <w:t xml:space="preserve"> kn.</w:t>
      </w:r>
    </w:p>
    <w:p w:rsidR="005965CA" w:rsidRPr="007F0E49" w:rsidRDefault="005965CA" w:rsidP="000E69DA">
      <w:pPr>
        <w:jc w:val="both"/>
        <w:rPr>
          <w:rFonts w:ascii="Arial" w:hAnsi="Arial" w:cs="Arial"/>
          <w:sz w:val="22"/>
          <w:szCs w:val="22"/>
        </w:rPr>
      </w:pPr>
    </w:p>
    <w:p w:rsidR="000E69DA" w:rsidRPr="007F0E49" w:rsidRDefault="000E69DA" w:rsidP="000E69DA">
      <w:pPr>
        <w:jc w:val="both"/>
        <w:rPr>
          <w:rFonts w:ascii="Arial" w:hAnsi="Arial" w:cs="Arial"/>
          <w:sz w:val="22"/>
          <w:szCs w:val="22"/>
        </w:rPr>
      </w:pPr>
      <w:r w:rsidRPr="007F0E49">
        <w:rPr>
          <w:rFonts w:ascii="Arial" w:hAnsi="Arial" w:cs="Arial"/>
          <w:sz w:val="22"/>
          <w:szCs w:val="22"/>
        </w:rPr>
        <w:t xml:space="preserve">Dospjele obveze </w:t>
      </w:r>
      <w:r w:rsidR="006A584D" w:rsidRPr="007F0E49">
        <w:rPr>
          <w:rFonts w:ascii="Arial" w:hAnsi="Arial" w:cs="Arial"/>
          <w:sz w:val="22"/>
          <w:szCs w:val="22"/>
        </w:rPr>
        <w:t xml:space="preserve">na kraju </w:t>
      </w:r>
      <w:r w:rsidRPr="007F0E49">
        <w:rPr>
          <w:rFonts w:ascii="Arial" w:hAnsi="Arial" w:cs="Arial"/>
          <w:sz w:val="22"/>
          <w:szCs w:val="22"/>
        </w:rPr>
        <w:t>izvještajno</w:t>
      </w:r>
      <w:r w:rsidR="006A584D" w:rsidRPr="007F0E49">
        <w:rPr>
          <w:rFonts w:ascii="Arial" w:hAnsi="Arial" w:cs="Arial"/>
          <w:sz w:val="22"/>
          <w:szCs w:val="22"/>
        </w:rPr>
        <w:t>g</w:t>
      </w:r>
      <w:r w:rsidRPr="007F0E49">
        <w:rPr>
          <w:rFonts w:ascii="Arial" w:hAnsi="Arial" w:cs="Arial"/>
          <w:sz w:val="22"/>
          <w:szCs w:val="22"/>
        </w:rPr>
        <w:t xml:space="preserve"> razdoblj</w:t>
      </w:r>
      <w:r w:rsidR="006A584D" w:rsidRPr="007F0E49">
        <w:rPr>
          <w:rFonts w:ascii="Arial" w:hAnsi="Arial" w:cs="Arial"/>
          <w:sz w:val="22"/>
          <w:szCs w:val="22"/>
        </w:rPr>
        <w:t>a</w:t>
      </w:r>
      <w:r w:rsidR="008E2A13" w:rsidRPr="007F0E49">
        <w:rPr>
          <w:rFonts w:ascii="Arial" w:hAnsi="Arial" w:cs="Arial"/>
          <w:sz w:val="22"/>
          <w:szCs w:val="22"/>
        </w:rPr>
        <w:t xml:space="preserve"> </w:t>
      </w:r>
      <w:r w:rsidR="003A4D3E" w:rsidRPr="007F0E49">
        <w:rPr>
          <w:rFonts w:ascii="Arial" w:hAnsi="Arial" w:cs="Arial"/>
          <w:sz w:val="22"/>
          <w:szCs w:val="22"/>
        </w:rPr>
        <w:t xml:space="preserve">iznose </w:t>
      </w:r>
      <w:r w:rsidR="00104D66" w:rsidRPr="007F0E49">
        <w:rPr>
          <w:rFonts w:ascii="Arial" w:hAnsi="Arial" w:cs="Arial"/>
          <w:sz w:val="22"/>
          <w:szCs w:val="22"/>
        </w:rPr>
        <w:t>30.824.393,25</w:t>
      </w:r>
      <w:r w:rsidR="003A4D3E" w:rsidRPr="007F0E49">
        <w:rPr>
          <w:rFonts w:ascii="Arial" w:hAnsi="Arial" w:cs="Arial"/>
          <w:sz w:val="22"/>
          <w:szCs w:val="22"/>
        </w:rPr>
        <w:t xml:space="preserve"> kn i </w:t>
      </w:r>
      <w:r w:rsidR="003475FE" w:rsidRPr="007F0E49">
        <w:rPr>
          <w:rFonts w:ascii="Arial" w:hAnsi="Arial" w:cs="Arial"/>
          <w:sz w:val="22"/>
          <w:szCs w:val="22"/>
        </w:rPr>
        <w:t xml:space="preserve">u odnosu </w:t>
      </w:r>
      <w:r w:rsidR="003A4D3E" w:rsidRPr="007F0E49">
        <w:rPr>
          <w:rFonts w:ascii="Arial" w:hAnsi="Arial" w:cs="Arial"/>
          <w:sz w:val="22"/>
          <w:szCs w:val="22"/>
        </w:rPr>
        <w:t xml:space="preserve">na </w:t>
      </w:r>
      <w:r w:rsidR="00C52A84" w:rsidRPr="007F0E49">
        <w:rPr>
          <w:rFonts w:ascii="Arial" w:hAnsi="Arial" w:cs="Arial"/>
          <w:sz w:val="22"/>
          <w:szCs w:val="22"/>
        </w:rPr>
        <w:t xml:space="preserve">stanje krajem </w:t>
      </w:r>
      <w:r w:rsidR="003475FE" w:rsidRPr="007F0E49">
        <w:rPr>
          <w:rFonts w:ascii="Arial" w:hAnsi="Arial" w:cs="Arial"/>
          <w:sz w:val="22"/>
          <w:szCs w:val="22"/>
        </w:rPr>
        <w:t>prethodne godine</w:t>
      </w:r>
      <w:r w:rsidR="00C52A84" w:rsidRPr="007F0E49">
        <w:rPr>
          <w:rFonts w:ascii="Arial" w:hAnsi="Arial" w:cs="Arial"/>
          <w:sz w:val="22"/>
          <w:szCs w:val="22"/>
        </w:rPr>
        <w:t>,</w:t>
      </w:r>
      <w:r w:rsidR="001D1B7C" w:rsidRPr="007F0E49">
        <w:rPr>
          <w:rFonts w:ascii="Arial" w:hAnsi="Arial" w:cs="Arial"/>
          <w:sz w:val="22"/>
          <w:szCs w:val="22"/>
        </w:rPr>
        <w:t xml:space="preserve"> manje</w:t>
      </w:r>
      <w:r w:rsidR="003475FE" w:rsidRPr="007F0E49">
        <w:rPr>
          <w:rFonts w:ascii="Arial" w:hAnsi="Arial" w:cs="Arial"/>
          <w:sz w:val="22"/>
          <w:szCs w:val="22"/>
        </w:rPr>
        <w:t xml:space="preserve"> su</w:t>
      </w:r>
      <w:r w:rsidR="00B57ECB" w:rsidRPr="007F0E49">
        <w:rPr>
          <w:rFonts w:ascii="Arial" w:hAnsi="Arial" w:cs="Arial"/>
          <w:sz w:val="22"/>
          <w:szCs w:val="22"/>
        </w:rPr>
        <w:t xml:space="preserve"> za </w:t>
      </w:r>
      <w:r w:rsidR="00104D66" w:rsidRPr="007F0E49">
        <w:rPr>
          <w:rFonts w:ascii="Arial" w:hAnsi="Arial" w:cs="Arial"/>
          <w:sz w:val="22"/>
          <w:szCs w:val="22"/>
        </w:rPr>
        <w:t>45,37</w:t>
      </w:r>
      <w:r w:rsidR="001D1B7C" w:rsidRPr="007F0E49">
        <w:rPr>
          <w:rFonts w:ascii="Arial" w:hAnsi="Arial" w:cs="Arial"/>
          <w:sz w:val="22"/>
          <w:szCs w:val="22"/>
        </w:rPr>
        <w:t>%</w:t>
      </w:r>
      <w:r w:rsidR="008C1E27" w:rsidRPr="007F0E49">
        <w:rPr>
          <w:rFonts w:ascii="Arial" w:hAnsi="Arial" w:cs="Arial"/>
          <w:sz w:val="22"/>
          <w:szCs w:val="22"/>
        </w:rPr>
        <w:t xml:space="preserve">, odnosno za </w:t>
      </w:r>
      <w:r w:rsidR="00F15A34" w:rsidRPr="007F0E49">
        <w:rPr>
          <w:rFonts w:ascii="Arial" w:hAnsi="Arial" w:cs="Arial"/>
          <w:sz w:val="22"/>
          <w:szCs w:val="22"/>
        </w:rPr>
        <w:t>25.602.605,75</w:t>
      </w:r>
      <w:r w:rsidR="008C1E27" w:rsidRPr="007F0E49">
        <w:rPr>
          <w:rFonts w:ascii="Arial" w:hAnsi="Arial" w:cs="Arial"/>
          <w:sz w:val="22"/>
          <w:szCs w:val="22"/>
        </w:rPr>
        <w:t xml:space="preserve"> kn</w:t>
      </w:r>
      <w:r w:rsidR="001D1B7C" w:rsidRPr="007F0E49">
        <w:rPr>
          <w:rFonts w:ascii="Arial" w:hAnsi="Arial" w:cs="Arial"/>
          <w:sz w:val="22"/>
          <w:szCs w:val="22"/>
        </w:rPr>
        <w:t xml:space="preserve">. </w:t>
      </w:r>
    </w:p>
    <w:p w:rsidR="00E84586" w:rsidRPr="007F0E49" w:rsidRDefault="000E69DA" w:rsidP="0087679E">
      <w:pPr>
        <w:jc w:val="both"/>
        <w:rPr>
          <w:rFonts w:ascii="Arial" w:hAnsi="Arial" w:cs="Arial"/>
          <w:sz w:val="22"/>
          <w:szCs w:val="22"/>
        </w:rPr>
      </w:pPr>
      <w:r w:rsidRPr="007F0E49">
        <w:rPr>
          <w:rFonts w:ascii="Arial" w:hAnsi="Arial" w:cs="Arial"/>
          <w:sz w:val="22"/>
          <w:szCs w:val="22"/>
        </w:rPr>
        <w:t>Od ukupno dospjelih obveza na kraju izvještajnog razdoblja</w:t>
      </w:r>
      <w:r w:rsidR="008E2A13" w:rsidRPr="007F0E49">
        <w:rPr>
          <w:rFonts w:ascii="Arial" w:hAnsi="Arial" w:cs="Arial"/>
          <w:sz w:val="22"/>
          <w:szCs w:val="22"/>
        </w:rPr>
        <w:t>,</w:t>
      </w:r>
      <w:r w:rsidRPr="007F0E49">
        <w:rPr>
          <w:rFonts w:ascii="Arial" w:hAnsi="Arial" w:cs="Arial"/>
          <w:sz w:val="22"/>
          <w:szCs w:val="22"/>
        </w:rPr>
        <w:t xml:space="preserve"> unutar 60 dana dospjelo je na plaćanje </w:t>
      </w:r>
      <w:r w:rsidR="00C17D45" w:rsidRPr="007F0E49">
        <w:rPr>
          <w:rFonts w:ascii="Arial" w:hAnsi="Arial" w:cs="Arial"/>
          <w:sz w:val="22"/>
          <w:szCs w:val="22"/>
        </w:rPr>
        <w:t>3.578.590,43 kn</w:t>
      </w:r>
      <w:r w:rsidR="00E84586" w:rsidRPr="007F0E49">
        <w:rPr>
          <w:rFonts w:ascii="Arial" w:hAnsi="Arial" w:cs="Arial"/>
          <w:sz w:val="22"/>
          <w:szCs w:val="22"/>
        </w:rPr>
        <w:t xml:space="preserve"> (11,61%)</w:t>
      </w:r>
      <w:r w:rsidRPr="007F0E49">
        <w:rPr>
          <w:rFonts w:ascii="Arial" w:hAnsi="Arial" w:cs="Arial"/>
          <w:sz w:val="22"/>
          <w:szCs w:val="22"/>
        </w:rPr>
        <w:t xml:space="preserve">, unutar narednih 61-180 dana dospjelo je </w:t>
      </w:r>
      <w:r w:rsidR="00C17D45" w:rsidRPr="007F0E49">
        <w:rPr>
          <w:rFonts w:ascii="Arial" w:hAnsi="Arial" w:cs="Arial"/>
          <w:sz w:val="22"/>
          <w:szCs w:val="22"/>
        </w:rPr>
        <w:t>217.043,44 kn</w:t>
      </w:r>
      <w:r w:rsidR="00E84586" w:rsidRPr="007F0E49">
        <w:rPr>
          <w:rFonts w:ascii="Arial" w:hAnsi="Arial" w:cs="Arial"/>
          <w:sz w:val="22"/>
          <w:szCs w:val="22"/>
        </w:rPr>
        <w:t xml:space="preserve"> (0,7%)</w:t>
      </w:r>
      <w:r w:rsidRPr="007F0E49">
        <w:rPr>
          <w:rFonts w:ascii="Arial" w:hAnsi="Arial" w:cs="Arial"/>
          <w:sz w:val="22"/>
          <w:szCs w:val="22"/>
        </w:rPr>
        <w:t xml:space="preserve">, od 181-360 dana dospjelo je </w:t>
      </w:r>
      <w:r w:rsidR="00C17D45" w:rsidRPr="007F0E49">
        <w:rPr>
          <w:rFonts w:ascii="Arial" w:hAnsi="Arial" w:cs="Arial"/>
          <w:sz w:val="22"/>
          <w:szCs w:val="22"/>
        </w:rPr>
        <w:t>620.588,02 kn</w:t>
      </w:r>
      <w:r w:rsidR="00E84586" w:rsidRPr="007F0E49">
        <w:rPr>
          <w:rFonts w:ascii="Arial" w:hAnsi="Arial" w:cs="Arial"/>
          <w:sz w:val="22"/>
          <w:szCs w:val="22"/>
        </w:rPr>
        <w:t xml:space="preserve"> (2,01%)</w:t>
      </w:r>
      <w:r w:rsidRPr="007F0E49">
        <w:rPr>
          <w:rFonts w:ascii="Arial" w:hAnsi="Arial" w:cs="Arial"/>
          <w:sz w:val="22"/>
          <w:szCs w:val="22"/>
        </w:rPr>
        <w:t>, a preko 360 dana dospjel</w:t>
      </w:r>
      <w:r w:rsidR="009740C6" w:rsidRPr="007F0E49">
        <w:rPr>
          <w:rFonts w:ascii="Arial" w:hAnsi="Arial" w:cs="Arial"/>
          <w:sz w:val="22"/>
          <w:szCs w:val="22"/>
        </w:rPr>
        <w:t>o</w:t>
      </w:r>
      <w:r w:rsidRPr="007F0E49">
        <w:rPr>
          <w:rFonts w:ascii="Arial" w:hAnsi="Arial" w:cs="Arial"/>
          <w:sz w:val="22"/>
          <w:szCs w:val="22"/>
        </w:rPr>
        <w:t xml:space="preserve"> </w:t>
      </w:r>
      <w:r w:rsidR="009740C6" w:rsidRPr="007F0E49">
        <w:rPr>
          <w:rFonts w:ascii="Arial" w:hAnsi="Arial" w:cs="Arial"/>
          <w:sz w:val="22"/>
          <w:szCs w:val="22"/>
        </w:rPr>
        <w:t xml:space="preserve">je </w:t>
      </w:r>
      <w:r w:rsidR="00B06D81" w:rsidRPr="007F0E49">
        <w:rPr>
          <w:rFonts w:ascii="Arial" w:hAnsi="Arial" w:cs="Arial"/>
          <w:sz w:val="22"/>
          <w:szCs w:val="22"/>
        </w:rPr>
        <w:t>26.408.171,3</w:t>
      </w:r>
      <w:r w:rsidR="00C17D45" w:rsidRPr="007F0E49">
        <w:rPr>
          <w:rFonts w:ascii="Arial" w:hAnsi="Arial" w:cs="Arial"/>
          <w:sz w:val="22"/>
          <w:szCs w:val="22"/>
        </w:rPr>
        <w:t>6 kn</w:t>
      </w:r>
      <w:r w:rsidR="00E84586" w:rsidRPr="007F0E49">
        <w:rPr>
          <w:rFonts w:ascii="Arial" w:hAnsi="Arial" w:cs="Arial"/>
          <w:sz w:val="22"/>
          <w:szCs w:val="22"/>
        </w:rPr>
        <w:t xml:space="preserve"> (85,68%)</w:t>
      </w:r>
      <w:r w:rsidR="00C17D45" w:rsidRPr="007F0E49">
        <w:rPr>
          <w:rFonts w:ascii="Arial" w:hAnsi="Arial" w:cs="Arial"/>
          <w:sz w:val="22"/>
          <w:szCs w:val="22"/>
        </w:rPr>
        <w:t>.</w:t>
      </w:r>
      <w:r w:rsidR="00D47ADB" w:rsidRPr="007F0E49">
        <w:rPr>
          <w:rFonts w:ascii="Arial" w:hAnsi="Arial" w:cs="Arial"/>
          <w:sz w:val="22"/>
          <w:szCs w:val="22"/>
        </w:rPr>
        <w:t xml:space="preserve"> </w:t>
      </w:r>
    </w:p>
    <w:p w:rsidR="007B46CC" w:rsidRPr="007F0E49" w:rsidRDefault="0087679E" w:rsidP="0087679E">
      <w:pPr>
        <w:jc w:val="both"/>
        <w:rPr>
          <w:rFonts w:ascii="Arial" w:hAnsi="Arial" w:cs="Arial"/>
          <w:sz w:val="22"/>
          <w:szCs w:val="22"/>
        </w:rPr>
      </w:pPr>
      <w:r w:rsidRPr="007F0E49">
        <w:rPr>
          <w:rFonts w:ascii="Arial" w:hAnsi="Arial" w:cs="Arial"/>
          <w:sz w:val="22"/>
          <w:szCs w:val="22"/>
        </w:rPr>
        <w:t xml:space="preserve">Još uvijek </w:t>
      </w:r>
      <w:r w:rsidR="008C518A" w:rsidRPr="007F0E49">
        <w:rPr>
          <w:rFonts w:ascii="Arial" w:hAnsi="Arial" w:cs="Arial"/>
          <w:sz w:val="22"/>
          <w:szCs w:val="22"/>
        </w:rPr>
        <w:t xml:space="preserve">značajno </w:t>
      </w:r>
      <w:r w:rsidR="000E69DA" w:rsidRPr="007F0E49">
        <w:rPr>
          <w:rFonts w:ascii="Arial" w:hAnsi="Arial" w:cs="Arial"/>
          <w:sz w:val="22"/>
          <w:szCs w:val="22"/>
        </w:rPr>
        <w:t>ve</w:t>
      </w:r>
      <w:r w:rsidR="008C518A" w:rsidRPr="007F0E49">
        <w:rPr>
          <w:rFonts w:ascii="Arial" w:hAnsi="Arial" w:cs="Arial"/>
          <w:sz w:val="22"/>
          <w:szCs w:val="22"/>
        </w:rPr>
        <w:t>lik</w:t>
      </w:r>
      <w:r w:rsidR="000E69DA" w:rsidRPr="007F0E49">
        <w:rPr>
          <w:rFonts w:ascii="Arial" w:hAnsi="Arial" w:cs="Arial"/>
          <w:sz w:val="22"/>
          <w:szCs w:val="22"/>
        </w:rPr>
        <w:t xml:space="preserve"> ud</w:t>
      </w:r>
      <w:r w:rsidR="002E7AF5" w:rsidRPr="007F0E49">
        <w:rPr>
          <w:rFonts w:ascii="Arial" w:hAnsi="Arial" w:cs="Arial"/>
          <w:sz w:val="22"/>
          <w:szCs w:val="22"/>
        </w:rPr>
        <w:t>jel</w:t>
      </w:r>
      <w:r w:rsidR="000E69DA" w:rsidRPr="007F0E49">
        <w:rPr>
          <w:rFonts w:ascii="Arial" w:hAnsi="Arial" w:cs="Arial"/>
          <w:sz w:val="22"/>
          <w:szCs w:val="22"/>
        </w:rPr>
        <w:t xml:space="preserve"> u ukupno dospjelim obvezama čine obveze prema Državnom proračunu za 55% naplaćenih prihoda od prodaje stanova sa stanarskim pravom s dospijećem od preko 360 dana</w:t>
      </w:r>
      <w:r w:rsidR="004E4ACD" w:rsidRPr="007F0E49">
        <w:rPr>
          <w:rFonts w:ascii="Arial" w:hAnsi="Arial" w:cs="Arial"/>
          <w:sz w:val="22"/>
          <w:szCs w:val="22"/>
        </w:rPr>
        <w:t xml:space="preserve"> u visini od 25.084.931,48 kn.</w:t>
      </w:r>
      <w:r w:rsidR="000E69DA" w:rsidRPr="007F0E49">
        <w:rPr>
          <w:rFonts w:ascii="Arial" w:hAnsi="Arial" w:cs="Arial"/>
          <w:sz w:val="22"/>
          <w:szCs w:val="22"/>
        </w:rPr>
        <w:t xml:space="preserve"> </w:t>
      </w:r>
      <w:r w:rsidR="00793D53" w:rsidRPr="007F0E49">
        <w:rPr>
          <w:rFonts w:ascii="Arial" w:hAnsi="Arial" w:cs="Arial"/>
          <w:sz w:val="22"/>
          <w:szCs w:val="22"/>
        </w:rPr>
        <w:t>Ipak, u</w:t>
      </w:r>
      <w:r w:rsidR="000E69DA" w:rsidRPr="007F0E49">
        <w:rPr>
          <w:rFonts w:ascii="Arial" w:hAnsi="Arial"/>
          <w:bCs/>
          <w:sz w:val="22"/>
          <w:szCs w:val="22"/>
        </w:rPr>
        <w:t xml:space="preserve"> odnosu na </w:t>
      </w:r>
      <w:r w:rsidR="008E2A13" w:rsidRPr="007F0E49">
        <w:rPr>
          <w:rFonts w:ascii="Arial" w:hAnsi="Arial"/>
          <w:bCs/>
          <w:sz w:val="22"/>
          <w:szCs w:val="22"/>
        </w:rPr>
        <w:t xml:space="preserve">ranije </w:t>
      </w:r>
      <w:r w:rsidR="000E69DA" w:rsidRPr="007F0E49">
        <w:rPr>
          <w:rFonts w:ascii="Arial" w:hAnsi="Arial"/>
          <w:bCs/>
          <w:sz w:val="22"/>
          <w:szCs w:val="22"/>
        </w:rPr>
        <w:t>godin</w:t>
      </w:r>
      <w:r w:rsidR="008E2A13" w:rsidRPr="007F0E49">
        <w:rPr>
          <w:rFonts w:ascii="Arial" w:hAnsi="Arial"/>
          <w:bCs/>
          <w:sz w:val="22"/>
          <w:szCs w:val="22"/>
        </w:rPr>
        <w:t>e</w:t>
      </w:r>
      <w:r w:rsidR="00793D53" w:rsidRPr="007F0E49">
        <w:rPr>
          <w:rFonts w:ascii="Arial" w:hAnsi="Arial"/>
          <w:bCs/>
          <w:sz w:val="22"/>
          <w:szCs w:val="22"/>
        </w:rPr>
        <w:t xml:space="preserve"> kada je ovo dugovanje bilo veće,</w:t>
      </w:r>
      <w:r w:rsidR="000E69DA" w:rsidRPr="007F0E49">
        <w:rPr>
          <w:rFonts w:ascii="Arial" w:hAnsi="Arial"/>
          <w:bCs/>
          <w:sz w:val="22"/>
          <w:szCs w:val="22"/>
        </w:rPr>
        <w:t xml:space="preserve"> </w:t>
      </w:r>
      <w:r w:rsidR="008E2A13" w:rsidRPr="007F0E49">
        <w:rPr>
          <w:rFonts w:ascii="Arial" w:hAnsi="Arial"/>
          <w:bCs/>
          <w:sz w:val="22"/>
          <w:szCs w:val="22"/>
        </w:rPr>
        <w:t xml:space="preserve">postupno </w:t>
      </w:r>
      <w:r w:rsidR="000E69DA" w:rsidRPr="007F0E49">
        <w:rPr>
          <w:rFonts w:ascii="Arial" w:hAnsi="Arial"/>
          <w:bCs/>
          <w:sz w:val="22"/>
          <w:szCs w:val="22"/>
        </w:rPr>
        <w:t xml:space="preserve">dolazi do smanjenja </w:t>
      </w:r>
      <w:r w:rsidR="00376132" w:rsidRPr="007F0E49">
        <w:rPr>
          <w:rFonts w:ascii="Arial" w:hAnsi="Arial"/>
          <w:bCs/>
          <w:sz w:val="22"/>
          <w:szCs w:val="22"/>
        </w:rPr>
        <w:t>ovih obveza</w:t>
      </w:r>
      <w:r w:rsidR="008E2A13" w:rsidRPr="007F0E49">
        <w:rPr>
          <w:rFonts w:ascii="Arial" w:hAnsi="Arial"/>
          <w:bCs/>
          <w:sz w:val="22"/>
          <w:szCs w:val="22"/>
        </w:rPr>
        <w:t xml:space="preserve">, prije svega, </w:t>
      </w:r>
      <w:r w:rsidR="000E69DA" w:rsidRPr="007F0E49">
        <w:rPr>
          <w:rFonts w:ascii="Arial" w:hAnsi="Arial"/>
          <w:bCs/>
          <w:sz w:val="22"/>
          <w:szCs w:val="22"/>
        </w:rPr>
        <w:t xml:space="preserve">po osnovi </w:t>
      </w:r>
      <w:r w:rsidR="000E69DA" w:rsidRPr="007F0E49">
        <w:rPr>
          <w:rFonts w:ascii="Arial" w:hAnsi="Arial"/>
          <w:sz w:val="22"/>
          <w:szCs w:val="22"/>
        </w:rPr>
        <w:t xml:space="preserve">Sporazuma o namirenju dugovanja ustupanjem nekretnina u vlasništvu Grada Rijeke zaključenog 13. ožujka 2019. godine između Republike Hrvatske i Grada Rijeke temeljem Odluke Vlade RH, Klasa: 022-03/19-04/67; Urbroj: 50301-26/24-19-2 od 8. ožujka 2019. godine i Odluke Gradskog vijeća Grada Rijeka, Klasa: 021-05/19-01/17; Urbroj: 2170-01/16-00-19-2 od 28. veljače 2019. godine. Temeljem navedenog Sporazuma </w:t>
      </w:r>
      <w:r w:rsidR="008E2A13" w:rsidRPr="007F0E49">
        <w:rPr>
          <w:rFonts w:ascii="Arial" w:hAnsi="Arial"/>
          <w:sz w:val="22"/>
          <w:szCs w:val="22"/>
        </w:rPr>
        <w:t xml:space="preserve">u 2019. godini su </w:t>
      </w:r>
      <w:r w:rsidR="000E69DA" w:rsidRPr="007F0E49">
        <w:rPr>
          <w:rFonts w:ascii="Arial" w:hAnsi="Arial"/>
          <w:sz w:val="22"/>
          <w:szCs w:val="22"/>
        </w:rPr>
        <w:t>podmirene obveze prema Ministarstvu financija za 55% naplaćenih prihoda od prodaje stanova temeljem Zakona o prodaji stanova na kojima postoji stanarsko pravo u visini od 47.744.654,75 kn i obveze prema Ministarstvu državne imovine temeljem Ugovora o zamjeni nekretnina, Klasa: 943-01/11-01/23; Urbroj: 360-5240/01-2011-39 od 24. studenog 2011. godine u visini od 1.426.476,73 kn.</w:t>
      </w:r>
      <w:r w:rsidRPr="007F0E49">
        <w:rPr>
          <w:rFonts w:ascii="Arial" w:hAnsi="Arial"/>
          <w:sz w:val="22"/>
          <w:szCs w:val="22"/>
        </w:rPr>
        <w:t xml:space="preserve"> </w:t>
      </w:r>
      <w:r w:rsidRPr="007F0E49">
        <w:rPr>
          <w:rFonts w:ascii="Arial" w:hAnsi="Arial" w:cs="Arial"/>
          <w:sz w:val="22"/>
          <w:szCs w:val="22"/>
        </w:rPr>
        <w:t xml:space="preserve">Po pitanju preostalog dugovanja u visini od 25.084.931,48 kn, Grad je </w:t>
      </w:r>
      <w:r w:rsidR="002E7AF5" w:rsidRPr="007F0E49">
        <w:rPr>
          <w:rFonts w:ascii="Arial" w:hAnsi="Arial" w:cs="Arial"/>
          <w:sz w:val="22"/>
          <w:szCs w:val="22"/>
        </w:rPr>
        <w:t>m</w:t>
      </w:r>
      <w:r w:rsidRPr="007F0E49">
        <w:rPr>
          <w:rFonts w:ascii="Arial" w:hAnsi="Arial" w:cs="Arial"/>
          <w:sz w:val="22"/>
          <w:szCs w:val="22"/>
        </w:rPr>
        <w:t xml:space="preserve">inistarstvu </w:t>
      </w:r>
      <w:r w:rsidR="002E7AF5" w:rsidRPr="007F0E49">
        <w:rPr>
          <w:rFonts w:ascii="Arial" w:hAnsi="Arial" w:cs="Arial"/>
          <w:sz w:val="22"/>
          <w:szCs w:val="22"/>
        </w:rPr>
        <w:t>zaduženom za državnu i</w:t>
      </w:r>
      <w:r w:rsidRPr="007F0E49">
        <w:rPr>
          <w:rFonts w:ascii="Arial" w:hAnsi="Arial" w:cs="Arial"/>
          <w:sz w:val="22"/>
          <w:szCs w:val="22"/>
        </w:rPr>
        <w:t>movin</w:t>
      </w:r>
      <w:r w:rsidR="002E7AF5" w:rsidRPr="007F0E49">
        <w:rPr>
          <w:rFonts w:ascii="Arial" w:hAnsi="Arial" w:cs="Arial"/>
          <w:sz w:val="22"/>
          <w:szCs w:val="22"/>
        </w:rPr>
        <w:t>u</w:t>
      </w:r>
      <w:r w:rsidRPr="007F0E49">
        <w:rPr>
          <w:rFonts w:ascii="Arial" w:hAnsi="Arial" w:cs="Arial"/>
          <w:sz w:val="22"/>
          <w:szCs w:val="22"/>
        </w:rPr>
        <w:t xml:space="preserve"> uputio već nekoliko dopisa </w:t>
      </w:r>
      <w:r w:rsidR="002E7AF5" w:rsidRPr="007F0E49">
        <w:rPr>
          <w:rFonts w:ascii="Arial" w:hAnsi="Arial" w:cs="Arial"/>
          <w:sz w:val="22"/>
          <w:szCs w:val="22"/>
        </w:rPr>
        <w:t>u svrhu sklapanja novog sporazuma</w:t>
      </w:r>
      <w:r w:rsidR="00BD34D9" w:rsidRPr="007F0E49">
        <w:rPr>
          <w:rFonts w:ascii="Arial" w:hAnsi="Arial" w:cs="Arial"/>
          <w:sz w:val="22"/>
          <w:szCs w:val="22"/>
        </w:rPr>
        <w:t xml:space="preserve"> o ustupanju u vlasništvo Republici Hrvatskoj nekre</w:t>
      </w:r>
      <w:r w:rsidR="00DB58B3" w:rsidRPr="007F0E49">
        <w:rPr>
          <w:rFonts w:ascii="Arial" w:hAnsi="Arial" w:cs="Arial"/>
          <w:sz w:val="22"/>
          <w:szCs w:val="22"/>
        </w:rPr>
        <w:t>tnina u vlasništvu Grada Rijeke.</w:t>
      </w:r>
    </w:p>
    <w:p w:rsidR="0087679E" w:rsidRPr="007F0E49" w:rsidRDefault="00104D66" w:rsidP="0087679E">
      <w:pPr>
        <w:jc w:val="both"/>
        <w:rPr>
          <w:rFonts w:ascii="Arial" w:hAnsi="Arial" w:cs="Arial"/>
          <w:sz w:val="22"/>
          <w:szCs w:val="22"/>
        </w:rPr>
      </w:pPr>
      <w:r w:rsidRPr="007F0E49">
        <w:rPr>
          <w:rFonts w:ascii="Arial" w:hAnsi="Arial" w:cs="Arial"/>
          <w:sz w:val="22"/>
          <w:szCs w:val="22"/>
        </w:rPr>
        <w:t>Grad Rijeka je od 2018. do 2022</w:t>
      </w:r>
      <w:r w:rsidR="008C1E27" w:rsidRPr="007F0E49">
        <w:rPr>
          <w:rFonts w:ascii="Arial" w:hAnsi="Arial" w:cs="Arial"/>
          <w:sz w:val="22"/>
          <w:szCs w:val="22"/>
        </w:rPr>
        <w:t>. godine uku</w:t>
      </w:r>
      <w:r w:rsidR="00190A53" w:rsidRPr="007F0E49">
        <w:rPr>
          <w:rFonts w:ascii="Arial" w:hAnsi="Arial" w:cs="Arial"/>
          <w:sz w:val="22"/>
          <w:szCs w:val="22"/>
        </w:rPr>
        <w:t xml:space="preserve">pno podmirio </w:t>
      </w:r>
      <w:r w:rsidRPr="007F0E49">
        <w:rPr>
          <w:rFonts w:ascii="Arial" w:hAnsi="Arial" w:cs="Arial"/>
          <w:sz w:val="22"/>
          <w:szCs w:val="22"/>
        </w:rPr>
        <w:t>7</w:t>
      </w:r>
      <w:r w:rsidR="00CB6909" w:rsidRPr="007F0E49">
        <w:rPr>
          <w:rFonts w:ascii="Arial" w:hAnsi="Arial" w:cs="Arial"/>
          <w:sz w:val="22"/>
          <w:szCs w:val="22"/>
        </w:rPr>
        <w:t xml:space="preserve">6.264.901,77 </w:t>
      </w:r>
      <w:r w:rsidR="00190A53" w:rsidRPr="007F0E49">
        <w:rPr>
          <w:rFonts w:ascii="Arial" w:hAnsi="Arial" w:cs="Arial"/>
          <w:sz w:val="22"/>
          <w:szCs w:val="22"/>
        </w:rPr>
        <w:t>kn obvez</w:t>
      </w:r>
      <w:r w:rsidR="008C1E27" w:rsidRPr="007F0E49">
        <w:rPr>
          <w:rFonts w:ascii="Arial" w:hAnsi="Arial" w:cs="Arial"/>
          <w:sz w:val="22"/>
          <w:szCs w:val="22"/>
        </w:rPr>
        <w:t>a prema Državnom proračunu za gradske stanove i stanove po</w:t>
      </w:r>
      <w:r w:rsidR="004D2CC4" w:rsidRPr="007F0E49">
        <w:rPr>
          <w:rFonts w:ascii="Arial" w:hAnsi="Arial" w:cs="Arial"/>
          <w:sz w:val="22"/>
          <w:szCs w:val="22"/>
        </w:rPr>
        <w:t xml:space="preserve"> pretvorbi, od toga </w:t>
      </w:r>
      <w:r w:rsidR="005965CA" w:rsidRPr="007F0E49">
        <w:rPr>
          <w:rFonts w:ascii="Arial" w:hAnsi="Arial" w:cs="Arial"/>
          <w:sz w:val="22"/>
          <w:szCs w:val="22"/>
        </w:rPr>
        <w:t xml:space="preserve">je </w:t>
      </w:r>
      <w:r w:rsidR="004D2CC4" w:rsidRPr="007F0E49">
        <w:rPr>
          <w:rFonts w:ascii="Arial" w:hAnsi="Arial" w:cs="Arial"/>
          <w:sz w:val="22"/>
          <w:szCs w:val="22"/>
        </w:rPr>
        <w:t>tijekom 2022</w:t>
      </w:r>
      <w:r w:rsidR="008C1E27" w:rsidRPr="007F0E49">
        <w:rPr>
          <w:rFonts w:ascii="Arial" w:hAnsi="Arial" w:cs="Arial"/>
          <w:sz w:val="22"/>
          <w:szCs w:val="22"/>
        </w:rPr>
        <w:t xml:space="preserve">. godine podmireno </w:t>
      </w:r>
      <w:r w:rsidR="004D2CC4" w:rsidRPr="007F0E49">
        <w:rPr>
          <w:rFonts w:ascii="Arial" w:hAnsi="Arial" w:cs="Arial"/>
          <w:sz w:val="22"/>
          <w:szCs w:val="22"/>
        </w:rPr>
        <w:t>3.874.254,</w:t>
      </w:r>
      <w:r w:rsidR="00C14FB0" w:rsidRPr="007F0E49">
        <w:rPr>
          <w:rFonts w:ascii="Arial" w:hAnsi="Arial" w:cs="Arial"/>
          <w:sz w:val="22"/>
          <w:szCs w:val="22"/>
        </w:rPr>
        <w:t>21</w:t>
      </w:r>
      <w:r w:rsidR="008C1E27" w:rsidRPr="007F0E49">
        <w:rPr>
          <w:rFonts w:ascii="Arial" w:hAnsi="Arial" w:cs="Arial"/>
          <w:sz w:val="22"/>
          <w:szCs w:val="22"/>
        </w:rPr>
        <w:t xml:space="preserve"> kn</w:t>
      </w:r>
      <w:r w:rsidR="004F2977" w:rsidRPr="007F0E49">
        <w:rPr>
          <w:rFonts w:ascii="Arial" w:hAnsi="Arial" w:cs="Arial"/>
          <w:sz w:val="22"/>
          <w:szCs w:val="22"/>
        </w:rPr>
        <w:t>.</w:t>
      </w:r>
    </w:p>
    <w:p w:rsidR="000E69DA" w:rsidRPr="007F0E49" w:rsidRDefault="000E69DA" w:rsidP="000E69DA">
      <w:pPr>
        <w:jc w:val="both"/>
        <w:rPr>
          <w:rFonts w:ascii="Arial" w:hAnsi="Arial"/>
          <w:sz w:val="22"/>
          <w:szCs w:val="22"/>
        </w:rPr>
      </w:pPr>
    </w:p>
    <w:p w:rsidR="000E69DA" w:rsidRPr="007F0E49" w:rsidRDefault="000E69DA" w:rsidP="000E69DA">
      <w:pPr>
        <w:jc w:val="both"/>
        <w:rPr>
          <w:rFonts w:ascii="Arial" w:hAnsi="Arial" w:cs="Arial"/>
          <w:color w:val="FF0000"/>
          <w:sz w:val="22"/>
          <w:szCs w:val="22"/>
        </w:rPr>
      </w:pPr>
      <w:r w:rsidRPr="007F0E49">
        <w:rPr>
          <w:rFonts w:ascii="Arial" w:hAnsi="Arial" w:cs="Arial"/>
          <w:sz w:val="22"/>
          <w:szCs w:val="22"/>
        </w:rPr>
        <w:t xml:space="preserve">Preostali dio dospjelih obveza </w:t>
      </w:r>
      <w:r w:rsidR="005965CA" w:rsidRPr="007F0E49">
        <w:rPr>
          <w:rFonts w:ascii="Arial" w:hAnsi="Arial" w:cs="Arial"/>
          <w:sz w:val="22"/>
          <w:szCs w:val="22"/>
        </w:rPr>
        <w:t>jesu</w:t>
      </w:r>
      <w:r w:rsidRPr="007F0E49">
        <w:rPr>
          <w:rFonts w:ascii="Arial" w:hAnsi="Arial" w:cs="Arial"/>
          <w:sz w:val="22"/>
          <w:szCs w:val="22"/>
        </w:rPr>
        <w:t xml:space="preserve"> obveze za materijalne rashode (usluge tekućeg održavanja, komunalne usluge, energija), obveze za financij</w:t>
      </w:r>
      <w:r w:rsidR="004D2CC4" w:rsidRPr="007F0E49">
        <w:rPr>
          <w:rFonts w:ascii="Arial" w:hAnsi="Arial" w:cs="Arial"/>
          <w:sz w:val="22"/>
          <w:szCs w:val="22"/>
        </w:rPr>
        <w:t>ske rashode (kamate)</w:t>
      </w:r>
      <w:r w:rsidRPr="007F0E49">
        <w:rPr>
          <w:rFonts w:ascii="Arial" w:hAnsi="Arial" w:cs="Arial"/>
          <w:sz w:val="22"/>
          <w:szCs w:val="22"/>
        </w:rPr>
        <w:t>, naknade građanima i kućanstvima (</w:t>
      </w:r>
      <w:r w:rsidR="004D2CC4" w:rsidRPr="007F0E49">
        <w:rPr>
          <w:rFonts w:ascii="Arial" w:hAnsi="Arial" w:cs="Arial"/>
          <w:sz w:val="22"/>
          <w:szCs w:val="22"/>
        </w:rPr>
        <w:t xml:space="preserve">u naravi i </w:t>
      </w:r>
      <w:r w:rsidRPr="007F0E49">
        <w:rPr>
          <w:rFonts w:ascii="Arial" w:hAnsi="Arial" w:cs="Arial"/>
          <w:sz w:val="22"/>
          <w:szCs w:val="22"/>
        </w:rPr>
        <w:t>socijalno ugroženima), ostale nespomenute obveze (obveze za jamčevine, povrati), obveze za nefinancijsku imovinu</w:t>
      </w:r>
      <w:r w:rsidR="004D2CC4" w:rsidRPr="007F0E49">
        <w:rPr>
          <w:rFonts w:ascii="Arial" w:hAnsi="Arial" w:cs="Arial"/>
          <w:sz w:val="22"/>
          <w:szCs w:val="22"/>
        </w:rPr>
        <w:t>.</w:t>
      </w:r>
      <w:r w:rsidRPr="007F0E49">
        <w:rPr>
          <w:rFonts w:ascii="Arial" w:hAnsi="Arial" w:cs="Arial"/>
          <w:sz w:val="22"/>
          <w:szCs w:val="22"/>
        </w:rPr>
        <w:t xml:space="preserve"> </w:t>
      </w:r>
      <w:r w:rsidR="006F5FB2" w:rsidRPr="007F0E49">
        <w:rPr>
          <w:rFonts w:ascii="Arial" w:hAnsi="Arial" w:cs="Arial"/>
          <w:sz w:val="22"/>
          <w:szCs w:val="22"/>
        </w:rPr>
        <w:t xml:space="preserve">Veći dio </w:t>
      </w:r>
      <w:r w:rsidR="009C4102" w:rsidRPr="007F0E49">
        <w:rPr>
          <w:rFonts w:ascii="Arial" w:hAnsi="Arial" w:cs="Arial"/>
          <w:sz w:val="22"/>
          <w:szCs w:val="22"/>
        </w:rPr>
        <w:t xml:space="preserve">ovih </w:t>
      </w:r>
      <w:r w:rsidRPr="007F0E49">
        <w:rPr>
          <w:rFonts w:ascii="Arial" w:hAnsi="Arial" w:cs="Arial"/>
          <w:sz w:val="22"/>
          <w:szCs w:val="22"/>
        </w:rPr>
        <w:t>obvez</w:t>
      </w:r>
      <w:r w:rsidR="006F5FB2" w:rsidRPr="007F0E49">
        <w:rPr>
          <w:rFonts w:ascii="Arial" w:hAnsi="Arial" w:cs="Arial"/>
          <w:sz w:val="22"/>
          <w:szCs w:val="22"/>
        </w:rPr>
        <w:t>a</w:t>
      </w:r>
      <w:r w:rsidRPr="007F0E49">
        <w:rPr>
          <w:rFonts w:ascii="Arial" w:hAnsi="Arial" w:cs="Arial"/>
          <w:sz w:val="22"/>
          <w:szCs w:val="22"/>
        </w:rPr>
        <w:t xml:space="preserve"> </w:t>
      </w:r>
      <w:r w:rsidR="004D2CC4" w:rsidRPr="007F0E49">
        <w:rPr>
          <w:rFonts w:ascii="Arial" w:hAnsi="Arial" w:cs="Arial"/>
          <w:sz w:val="22"/>
          <w:szCs w:val="22"/>
        </w:rPr>
        <w:t>podmir</w:t>
      </w:r>
      <w:r w:rsidR="006F5FB2" w:rsidRPr="007F0E49">
        <w:rPr>
          <w:rFonts w:ascii="Arial" w:hAnsi="Arial" w:cs="Arial"/>
          <w:sz w:val="22"/>
          <w:szCs w:val="22"/>
        </w:rPr>
        <w:t>eno je</w:t>
      </w:r>
      <w:r w:rsidR="004D2CC4" w:rsidRPr="007F0E49">
        <w:rPr>
          <w:rFonts w:ascii="Arial" w:hAnsi="Arial" w:cs="Arial"/>
          <w:sz w:val="22"/>
          <w:szCs w:val="22"/>
        </w:rPr>
        <w:t xml:space="preserve"> početkom 2023</w:t>
      </w:r>
      <w:r w:rsidRPr="007F0E49">
        <w:rPr>
          <w:rFonts w:ascii="Arial" w:hAnsi="Arial" w:cs="Arial"/>
          <w:sz w:val="22"/>
          <w:szCs w:val="22"/>
        </w:rPr>
        <w:t>. godine.</w:t>
      </w:r>
      <w:r w:rsidR="00EB3371" w:rsidRPr="007F0E49">
        <w:rPr>
          <w:rFonts w:ascii="Arial" w:hAnsi="Arial" w:cs="Arial"/>
          <w:sz w:val="22"/>
          <w:szCs w:val="22"/>
        </w:rPr>
        <w:t xml:space="preserve"> </w:t>
      </w:r>
    </w:p>
    <w:p w:rsidR="000E69DA" w:rsidRPr="007F0E49" w:rsidRDefault="000E69DA" w:rsidP="000E69DA">
      <w:pPr>
        <w:jc w:val="both"/>
        <w:rPr>
          <w:rFonts w:ascii="Arial" w:hAnsi="Arial" w:cs="Arial"/>
          <w:color w:val="FF0000"/>
          <w:sz w:val="22"/>
          <w:szCs w:val="22"/>
        </w:rPr>
      </w:pPr>
    </w:p>
    <w:p w:rsidR="00ED5E3E" w:rsidRPr="007F0E49" w:rsidRDefault="000E69DA" w:rsidP="009A3387">
      <w:pPr>
        <w:jc w:val="both"/>
        <w:rPr>
          <w:rFonts w:ascii="Arial" w:hAnsi="Arial" w:cs="Arial"/>
          <w:sz w:val="22"/>
          <w:szCs w:val="22"/>
        </w:rPr>
      </w:pPr>
      <w:r w:rsidRPr="007F0E49">
        <w:rPr>
          <w:rFonts w:ascii="Arial" w:hAnsi="Arial" w:cs="Arial"/>
          <w:sz w:val="22"/>
          <w:szCs w:val="22"/>
        </w:rPr>
        <w:t>Stanje nedospjelih obveza na k</w:t>
      </w:r>
      <w:r w:rsidR="00076536" w:rsidRPr="007F0E49">
        <w:rPr>
          <w:rFonts w:ascii="Arial" w:hAnsi="Arial" w:cs="Arial"/>
          <w:sz w:val="22"/>
          <w:szCs w:val="22"/>
        </w:rPr>
        <w:t>raju izvještajnog razdoblja (</w:t>
      </w:r>
      <w:r w:rsidR="004D2CC4" w:rsidRPr="007F0E49">
        <w:rPr>
          <w:rFonts w:ascii="Arial" w:hAnsi="Arial" w:cs="Arial"/>
          <w:sz w:val="22"/>
          <w:szCs w:val="22"/>
        </w:rPr>
        <w:t>V009</w:t>
      </w:r>
      <w:r w:rsidRPr="007F0E49">
        <w:rPr>
          <w:rFonts w:ascii="Arial" w:hAnsi="Arial" w:cs="Arial"/>
          <w:sz w:val="22"/>
          <w:szCs w:val="22"/>
        </w:rPr>
        <w:t xml:space="preserve">) iznosi </w:t>
      </w:r>
      <w:r w:rsidR="004D2CC4" w:rsidRPr="007F0E49">
        <w:rPr>
          <w:rFonts w:ascii="Arial" w:hAnsi="Arial" w:cs="Arial"/>
          <w:sz w:val="22"/>
          <w:szCs w:val="22"/>
        </w:rPr>
        <w:t>363.906.231,96</w:t>
      </w:r>
      <w:r w:rsidRPr="007F0E49">
        <w:rPr>
          <w:rFonts w:ascii="Arial" w:hAnsi="Arial" w:cs="Arial"/>
          <w:sz w:val="22"/>
          <w:szCs w:val="22"/>
        </w:rPr>
        <w:t xml:space="preserve"> kn, a odnos</w:t>
      </w:r>
      <w:r w:rsidR="00B80EE1" w:rsidRPr="007F0E49">
        <w:rPr>
          <w:rFonts w:ascii="Arial" w:hAnsi="Arial" w:cs="Arial"/>
          <w:sz w:val="22"/>
          <w:szCs w:val="22"/>
        </w:rPr>
        <w:t>e</w:t>
      </w:r>
      <w:r w:rsidRPr="007F0E49">
        <w:rPr>
          <w:rFonts w:ascii="Arial" w:hAnsi="Arial" w:cs="Arial"/>
          <w:sz w:val="22"/>
          <w:szCs w:val="22"/>
        </w:rPr>
        <w:t xml:space="preserve"> se na slijedeće obveze: obveze za financijsku imovinu </w:t>
      </w:r>
      <w:r w:rsidR="004D2CC4" w:rsidRPr="007F0E49">
        <w:rPr>
          <w:rFonts w:ascii="Arial" w:hAnsi="Arial" w:cs="Arial"/>
          <w:sz w:val="22"/>
          <w:szCs w:val="22"/>
        </w:rPr>
        <w:t>252.473.799,75</w:t>
      </w:r>
      <w:r w:rsidRPr="007F0E49">
        <w:rPr>
          <w:rFonts w:ascii="Arial" w:hAnsi="Arial" w:cs="Arial"/>
          <w:sz w:val="22"/>
          <w:szCs w:val="22"/>
        </w:rPr>
        <w:t xml:space="preserve"> kn (obveze za tuzemne kredite i zajmove</w:t>
      </w:r>
      <w:r w:rsidR="001F53B3" w:rsidRPr="007F0E49">
        <w:rPr>
          <w:rFonts w:ascii="Arial" w:hAnsi="Arial" w:cs="Arial"/>
          <w:sz w:val="22"/>
          <w:szCs w:val="22"/>
        </w:rPr>
        <w:t xml:space="preserve"> prema kreditnim institucijama</w:t>
      </w:r>
      <w:r w:rsidR="004D48FC" w:rsidRPr="007F0E49">
        <w:rPr>
          <w:rFonts w:ascii="Arial" w:hAnsi="Arial" w:cs="Arial"/>
          <w:sz w:val="22"/>
          <w:szCs w:val="22"/>
        </w:rPr>
        <w:t>, bez</w:t>
      </w:r>
      <w:r w:rsidR="001F53B3" w:rsidRPr="007F0E49">
        <w:rPr>
          <w:rFonts w:ascii="Arial" w:hAnsi="Arial" w:cs="Arial"/>
          <w:sz w:val="22"/>
          <w:szCs w:val="22"/>
        </w:rPr>
        <w:t xml:space="preserve"> zajmova prema Državnom proračunu</w:t>
      </w:r>
      <w:r w:rsidR="00D96C4A" w:rsidRPr="007F0E49">
        <w:rPr>
          <w:rFonts w:ascii="Arial" w:hAnsi="Arial" w:cs="Arial"/>
          <w:sz w:val="22"/>
          <w:szCs w:val="22"/>
        </w:rPr>
        <w:t xml:space="preserve"> i </w:t>
      </w:r>
      <w:r w:rsidR="001F6395" w:rsidRPr="007F0E49">
        <w:rPr>
          <w:rFonts w:ascii="Arial" w:hAnsi="Arial" w:cs="Arial"/>
          <w:sz w:val="22"/>
          <w:szCs w:val="22"/>
        </w:rPr>
        <w:t>proračunskom korisniku</w:t>
      </w:r>
      <w:r w:rsidR="00D96C4A" w:rsidRPr="007F0E49">
        <w:rPr>
          <w:rFonts w:ascii="Arial" w:hAnsi="Arial" w:cs="Arial"/>
          <w:sz w:val="22"/>
          <w:szCs w:val="22"/>
        </w:rPr>
        <w:t xml:space="preserve"> koji su iskazani u nedospjelim međusobnim obvezama</w:t>
      </w:r>
      <w:r w:rsidR="00EB3371" w:rsidRPr="007F0E49">
        <w:rPr>
          <w:rFonts w:ascii="Arial" w:hAnsi="Arial" w:cs="Arial"/>
          <w:sz w:val="22"/>
          <w:szCs w:val="22"/>
        </w:rPr>
        <w:t xml:space="preserve"> proračunskih korisnika</w:t>
      </w:r>
      <w:r w:rsidR="00EA46A0" w:rsidRPr="007F0E49">
        <w:rPr>
          <w:rFonts w:ascii="Arial" w:hAnsi="Arial" w:cs="Arial"/>
          <w:sz w:val="22"/>
          <w:szCs w:val="22"/>
        </w:rPr>
        <w:t>)</w:t>
      </w:r>
      <w:r w:rsidRPr="007F0E49">
        <w:rPr>
          <w:rFonts w:ascii="Arial" w:hAnsi="Arial" w:cs="Arial"/>
          <w:sz w:val="22"/>
          <w:szCs w:val="22"/>
        </w:rPr>
        <w:t xml:space="preserve">, za rashode poslovanja </w:t>
      </w:r>
      <w:r w:rsidR="004D2CC4" w:rsidRPr="007F0E49">
        <w:rPr>
          <w:rFonts w:ascii="Arial" w:hAnsi="Arial" w:cs="Arial"/>
          <w:sz w:val="22"/>
          <w:szCs w:val="22"/>
        </w:rPr>
        <w:t>60.427.583,99</w:t>
      </w:r>
      <w:r w:rsidRPr="007F0E49">
        <w:rPr>
          <w:rFonts w:ascii="Arial" w:hAnsi="Arial" w:cs="Arial"/>
          <w:sz w:val="22"/>
          <w:szCs w:val="22"/>
        </w:rPr>
        <w:t xml:space="preserve"> kn (</w:t>
      </w:r>
      <w:r w:rsidR="00B65812" w:rsidRPr="007F0E49">
        <w:rPr>
          <w:rFonts w:ascii="Arial" w:hAnsi="Arial" w:cs="Arial"/>
          <w:sz w:val="22"/>
          <w:szCs w:val="22"/>
        </w:rPr>
        <w:t>obveza za plaću za prosinac 202</w:t>
      </w:r>
      <w:r w:rsidR="004D2CC4" w:rsidRPr="007F0E49">
        <w:rPr>
          <w:rFonts w:ascii="Arial" w:hAnsi="Arial" w:cs="Arial"/>
          <w:sz w:val="22"/>
          <w:szCs w:val="22"/>
        </w:rPr>
        <w:t>2</w:t>
      </w:r>
      <w:r w:rsidRPr="007F0E49">
        <w:rPr>
          <w:rFonts w:ascii="Arial" w:hAnsi="Arial" w:cs="Arial"/>
          <w:sz w:val="22"/>
          <w:szCs w:val="22"/>
        </w:rPr>
        <w:t xml:space="preserve">., za materijalne rashode, subvencije, naknade građanima, za PDV i ostale obveze), nedospjele obveze za nabavu nefinancijske imovine u iznosu od </w:t>
      </w:r>
      <w:r w:rsidR="004D2CC4" w:rsidRPr="007F0E49">
        <w:rPr>
          <w:rFonts w:ascii="Arial" w:hAnsi="Arial" w:cs="Arial"/>
          <w:sz w:val="22"/>
          <w:szCs w:val="22"/>
        </w:rPr>
        <w:t>8.207.183,11</w:t>
      </w:r>
      <w:r w:rsidRPr="007F0E49">
        <w:rPr>
          <w:rFonts w:ascii="Arial" w:hAnsi="Arial" w:cs="Arial"/>
          <w:sz w:val="22"/>
          <w:szCs w:val="22"/>
        </w:rPr>
        <w:t xml:space="preserve"> kn te </w:t>
      </w:r>
      <w:r w:rsidR="00B80EE1" w:rsidRPr="007F0E49">
        <w:rPr>
          <w:rFonts w:ascii="Arial" w:hAnsi="Arial" w:cs="Arial"/>
          <w:sz w:val="22"/>
          <w:szCs w:val="22"/>
        </w:rPr>
        <w:t xml:space="preserve">na </w:t>
      </w:r>
      <w:r w:rsidRPr="007F0E49">
        <w:rPr>
          <w:rFonts w:ascii="Arial" w:hAnsi="Arial" w:cs="Arial"/>
          <w:sz w:val="22"/>
          <w:szCs w:val="22"/>
        </w:rPr>
        <w:t xml:space="preserve">nedospjele međusobne obveze proračunskih korisnika </w:t>
      </w:r>
      <w:r w:rsidR="004D2CC4" w:rsidRPr="007F0E49">
        <w:rPr>
          <w:rFonts w:ascii="Arial" w:hAnsi="Arial" w:cs="Arial"/>
          <w:sz w:val="22"/>
          <w:szCs w:val="22"/>
        </w:rPr>
        <w:lastRenderedPageBreak/>
        <w:t>42.797.665,11</w:t>
      </w:r>
      <w:r w:rsidRPr="007F0E49">
        <w:rPr>
          <w:rFonts w:ascii="Arial" w:hAnsi="Arial" w:cs="Arial"/>
          <w:sz w:val="22"/>
          <w:szCs w:val="22"/>
        </w:rPr>
        <w:t xml:space="preserve"> kn</w:t>
      </w:r>
      <w:r w:rsidR="001F53B3" w:rsidRPr="007F0E49">
        <w:rPr>
          <w:rFonts w:ascii="Arial" w:hAnsi="Arial" w:cs="Arial"/>
          <w:sz w:val="22"/>
          <w:szCs w:val="22"/>
        </w:rPr>
        <w:t xml:space="preserve"> (od čega obveze za zajmove prema Državnom proračunu u iznosu od </w:t>
      </w:r>
      <w:r w:rsidR="004D2CC4" w:rsidRPr="007F0E49">
        <w:rPr>
          <w:rFonts w:ascii="Arial" w:hAnsi="Arial" w:cs="Arial"/>
          <w:sz w:val="22"/>
          <w:szCs w:val="22"/>
        </w:rPr>
        <w:t>10.428.356,34</w:t>
      </w:r>
      <w:r w:rsidR="00B04BAD" w:rsidRPr="007F0E49">
        <w:rPr>
          <w:rFonts w:ascii="Arial" w:hAnsi="Arial" w:cs="Arial"/>
          <w:sz w:val="22"/>
          <w:szCs w:val="22"/>
        </w:rPr>
        <w:t xml:space="preserve"> </w:t>
      </w:r>
      <w:r w:rsidR="004D48FC" w:rsidRPr="007F0E49">
        <w:rPr>
          <w:rFonts w:ascii="Arial" w:hAnsi="Arial" w:cs="Arial"/>
          <w:sz w:val="22"/>
          <w:szCs w:val="22"/>
        </w:rPr>
        <w:t>kn</w:t>
      </w:r>
      <w:r w:rsidR="00EA46A0" w:rsidRPr="007F0E49">
        <w:rPr>
          <w:rFonts w:ascii="Arial" w:hAnsi="Arial" w:cs="Arial"/>
          <w:sz w:val="22"/>
          <w:szCs w:val="22"/>
        </w:rPr>
        <w:t xml:space="preserve"> i obveze za zajam prema </w:t>
      </w:r>
      <w:r w:rsidR="001F6395" w:rsidRPr="007F0E49">
        <w:rPr>
          <w:rFonts w:ascii="Arial" w:hAnsi="Arial" w:cs="Arial"/>
          <w:sz w:val="22"/>
          <w:szCs w:val="22"/>
        </w:rPr>
        <w:t>proračunskom korisniku</w:t>
      </w:r>
      <w:r w:rsidR="00EA46A0" w:rsidRPr="007F0E49">
        <w:rPr>
          <w:rFonts w:ascii="Arial" w:hAnsi="Arial" w:cs="Arial"/>
          <w:sz w:val="22"/>
          <w:szCs w:val="22"/>
        </w:rPr>
        <w:t xml:space="preserve"> u iznosu od 10.882.661,46 kn</w:t>
      </w:r>
      <w:r w:rsidR="004D48FC" w:rsidRPr="007F0E49">
        <w:rPr>
          <w:rFonts w:ascii="Arial" w:hAnsi="Arial" w:cs="Arial"/>
          <w:sz w:val="22"/>
          <w:szCs w:val="22"/>
        </w:rPr>
        <w:t>)</w:t>
      </w:r>
      <w:r w:rsidRPr="007F0E49">
        <w:rPr>
          <w:rFonts w:ascii="Arial" w:hAnsi="Arial" w:cs="Arial"/>
          <w:sz w:val="22"/>
          <w:szCs w:val="22"/>
        </w:rPr>
        <w:t>.</w:t>
      </w:r>
    </w:p>
    <w:p w:rsidR="00B80EE1" w:rsidRDefault="009A3387" w:rsidP="000E69DA">
      <w:pPr>
        <w:tabs>
          <w:tab w:val="left" w:pos="284"/>
          <w:tab w:val="left" w:pos="567"/>
          <w:tab w:val="left" w:pos="851"/>
        </w:tabs>
        <w:jc w:val="both"/>
        <w:rPr>
          <w:rFonts w:ascii="Arial" w:hAnsi="Arial"/>
          <w:i/>
          <w:sz w:val="22"/>
          <w:szCs w:val="22"/>
        </w:rPr>
      </w:pPr>
      <w:r w:rsidRPr="007F0E49">
        <w:rPr>
          <w:rFonts w:ascii="Arial" w:hAnsi="Arial"/>
          <w:i/>
          <w:sz w:val="22"/>
          <w:szCs w:val="22"/>
        </w:rPr>
        <w:tab/>
      </w:r>
      <w:r w:rsidRPr="007F0E49">
        <w:rPr>
          <w:rFonts w:ascii="Arial" w:hAnsi="Arial"/>
          <w:i/>
          <w:sz w:val="22"/>
          <w:szCs w:val="22"/>
        </w:rPr>
        <w:tab/>
      </w:r>
      <w:r w:rsidRPr="007F0E49">
        <w:rPr>
          <w:rFonts w:ascii="Arial" w:hAnsi="Arial"/>
          <w:i/>
          <w:sz w:val="22"/>
          <w:szCs w:val="22"/>
        </w:rPr>
        <w:tab/>
      </w:r>
      <w:r w:rsidRPr="007F0E49">
        <w:rPr>
          <w:rFonts w:ascii="Arial" w:hAnsi="Arial"/>
          <w:i/>
          <w:sz w:val="22"/>
          <w:szCs w:val="22"/>
        </w:rPr>
        <w:tab/>
      </w:r>
      <w:r w:rsidR="005C26FF" w:rsidRPr="007F0E49">
        <w:rPr>
          <w:rFonts w:ascii="Arial" w:hAnsi="Arial"/>
          <w:i/>
          <w:sz w:val="22"/>
          <w:szCs w:val="22"/>
        </w:rPr>
        <w:tab/>
      </w:r>
    </w:p>
    <w:p w:rsidR="00331D92" w:rsidRPr="007F0E49" w:rsidRDefault="00331D92" w:rsidP="000E69DA">
      <w:pPr>
        <w:tabs>
          <w:tab w:val="left" w:pos="284"/>
          <w:tab w:val="left" w:pos="567"/>
          <w:tab w:val="left" w:pos="851"/>
        </w:tabs>
        <w:jc w:val="both"/>
        <w:rPr>
          <w:rFonts w:ascii="Arial" w:hAnsi="Arial"/>
          <w:i/>
          <w:sz w:val="22"/>
          <w:szCs w:val="22"/>
        </w:rPr>
      </w:pPr>
    </w:p>
    <w:p w:rsidR="004F133B" w:rsidRDefault="004F133B" w:rsidP="000E69DA">
      <w:pPr>
        <w:tabs>
          <w:tab w:val="left" w:pos="284"/>
          <w:tab w:val="left" w:pos="567"/>
          <w:tab w:val="left" w:pos="851"/>
        </w:tabs>
        <w:jc w:val="both"/>
        <w:rPr>
          <w:rFonts w:ascii="Arial" w:hAnsi="Arial"/>
          <w:sz w:val="22"/>
          <w:szCs w:val="22"/>
        </w:rPr>
      </w:pPr>
    </w:p>
    <w:p w:rsidR="001E6264" w:rsidRPr="007F0E49" w:rsidRDefault="000E69DA" w:rsidP="000E69DA">
      <w:pPr>
        <w:tabs>
          <w:tab w:val="left" w:pos="284"/>
          <w:tab w:val="left" w:pos="567"/>
          <w:tab w:val="left" w:pos="851"/>
        </w:tabs>
        <w:jc w:val="both"/>
        <w:rPr>
          <w:rFonts w:ascii="Arial" w:hAnsi="Arial"/>
          <w:sz w:val="22"/>
          <w:szCs w:val="22"/>
        </w:rPr>
      </w:pPr>
      <w:r w:rsidRPr="007F0E49">
        <w:rPr>
          <w:rFonts w:ascii="Arial" w:hAnsi="Arial"/>
          <w:sz w:val="22"/>
          <w:szCs w:val="22"/>
        </w:rPr>
        <w:t>Prilog</w:t>
      </w:r>
      <w:r w:rsidR="005F4102" w:rsidRPr="007F0E49">
        <w:rPr>
          <w:rFonts w:ascii="Arial" w:hAnsi="Arial"/>
          <w:sz w:val="22"/>
          <w:szCs w:val="22"/>
        </w:rPr>
        <w:t xml:space="preserve"> Bilješkama</w:t>
      </w:r>
      <w:r w:rsidRPr="007F0E49">
        <w:rPr>
          <w:rFonts w:ascii="Arial" w:hAnsi="Arial"/>
          <w:sz w:val="22"/>
          <w:szCs w:val="22"/>
        </w:rPr>
        <w:t>:</w:t>
      </w:r>
    </w:p>
    <w:p w:rsidR="000E69DA" w:rsidRPr="007F0E49" w:rsidRDefault="000E69DA" w:rsidP="000E69DA">
      <w:pPr>
        <w:tabs>
          <w:tab w:val="left" w:pos="284"/>
          <w:tab w:val="left" w:pos="567"/>
          <w:tab w:val="left" w:pos="851"/>
        </w:tabs>
        <w:jc w:val="both"/>
        <w:rPr>
          <w:rFonts w:ascii="Arial" w:hAnsi="Arial"/>
          <w:sz w:val="22"/>
          <w:szCs w:val="22"/>
        </w:rPr>
      </w:pPr>
      <w:r w:rsidRPr="007F0E49">
        <w:rPr>
          <w:rFonts w:ascii="Arial" w:hAnsi="Arial"/>
          <w:sz w:val="22"/>
          <w:szCs w:val="22"/>
        </w:rPr>
        <w:t xml:space="preserve"> </w:t>
      </w:r>
    </w:p>
    <w:p w:rsidR="00A12880" w:rsidRPr="007F0E49" w:rsidRDefault="000E69DA" w:rsidP="00A12880">
      <w:pPr>
        <w:numPr>
          <w:ilvl w:val="0"/>
          <w:numId w:val="14"/>
        </w:numPr>
        <w:tabs>
          <w:tab w:val="left" w:pos="284"/>
          <w:tab w:val="left" w:pos="567"/>
          <w:tab w:val="left" w:pos="851"/>
        </w:tabs>
        <w:jc w:val="both"/>
        <w:rPr>
          <w:rFonts w:ascii="Arial" w:hAnsi="Arial"/>
          <w:sz w:val="22"/>
          <w:szCs w:val="22"/>
        </w:rPr>
      </w:pPr>
      <w:r w:rsidRPr="007F0E49">
        <w:rPr>
          <w:rFonts w:ascii="Arial" w:hAnsi="Arial"/>
          <w:sz w:val="22"/>
          <w:szCs w:val="22"/>
        </w:rPr>
        <w:t xml:space="preserve">Dodatak 1: Tablica Popis sudskih sporova u tijeku – Grad tužitelj </w:t>
      </w:r>
    </w:p>
    <w:p w:rsidR="000E69DA" w:rsidRPr="007F0E49" w:rsidRDefault="000E69DA" w:rsidP="00D907B7">
      <w:pPr>
        <w:numPr>
          <w:ilvl w:val="0"/>
          <w:numId w:val="14"/>
        </w:numPr>
        <w:tabs>
          <w:tab w:val="left" w:pos="284"/>
          <w:tab w:val="left" w:pos="567"/>
          <w:tab w:val="left" w:pos="851"/>
        </w:tabs>
        <w:jc w:val="both"/>
        <w:rPr>
          <w:rFonts w:ascii="Arial" w:hAnsi="Arial"/>
          <w:sz w:val="22"/>
          <w:szCs w:val="22"/>
        </w:rPr>
      </w:pPr>
      <w:r w:rsidRPr="007F0E49">
        <w:rPr>
          <w:rFonts w:ascii="Arial" w:hAnsi="Arial"/>
          <w:sz w:val="22"/>
          <w:szCs w:val="22"/>
        </w:rPr>
        <w:t xml:space="preserve">Dodatak 2: Tablica Popis sudskih sporova u tijeku – Grad tuženik </w:t>
      </w:r>
    </w:p>
    <w:p w:rsidR="000E69DA" w:rsidRPr="007F0E49" w:rsidRDefault="000E69DA" w:rsidP="000E69DA">
      <w:pPr>
        <w:jc w:val="both"/>
        <w:rPr>
          <w:rFonts w:ascii="Arial" w:hAnsi="Arial"/>
          <w:sz w:val="22"/>
          <w:szCs w:val="22"/>
        </w:rPr>
      </w:pPr>
    </w:p>
    <w:p w:rsidR="00A12880" w:rsidRPr="007F0E49" w:rsidRDefault="00A12880" w:rsidP="000E69DA">
      <w:pPr>
        <w:jc w:val="both"/>
        <w:rPr>
          <w:rFonts w:ascii="Arial" w:hAnsi="Arial"/>
          <w:sz w:val="22"/>
          <w:szCs w:val="22"/>
        </w:rPr>
      </w:pPr>
    </w:p>
    <w:p w:rsidR="000E69DA" w:rsidRPr="007F0E49" w:rsidRDefault="000E69DA" w:rsidP="000E69DA">
      <w:pPr>
        <w:jc w:val="both"/>
        <w:rPr>
          <w:rFonts w:ascii="Arial" w:hAnsi="Arial"/>
          <w:sz w:val="22"/>
          <w:szCs w:val="22"/>
        </w:rPr>
      </w:pPr>
    </w:p>
    <w:p w:rsidR="000E69DA" w:rsidRPr="007F0E49" w:rsidRDefault="000E69DA" w:rsidP="000E69DA">
      <w:pPr>
        <w:jc w:val="both"/>
        <w:rPr>
          <w:rFonts w:ascii="Arial" w:hAnsi="Arial"/>
          <w:sz w:val="22"/>
          <w:szCs w:val="22"/>
        </w:rPr>
      </w:pPr>
      <w:r w:rsidRPr="007F0E49">
        <w:rPr>
          <w:rFonts w:ascii="Arial" w:hAnsi="Arial"/>
          <w:sz w:val="22"/>
          <w:szCs w:val="22"/>
        </w:rPr>
        <w:t>Rijeka, 1</w:t>
      </w:r>
      <w:r w:rsidR="00C80E04">
        <w:rPr>
          <w:rFonts w:ascii="Arial" w:hAnsi="Arial"/>
          <w:sz w:val="22"/>
          <w:szCs w:val="22"/>
        </w:rPr>
        <w:t>5</w:t>
      </w:r>
      <w:r w:rsidR="00B465A2" w:rsidRPr="007F0E49">
        <w:rPr>
          <w:rFonts w:ascii="Arial" w:hAnsi="Arial"/>
          <w:sz w:val="22"/>
          <w:szCs w:val="22"/>
        </w:rPr>
        <w:t>. veljače 2023</w:t>
      </w:r>
      <w:r w:rsidRPr="007F0E49">
        <w:rPr>
          <w:rFonts w:ascii="Arial" w:hAnsi="Arial"/>
          <w:sz w:val="22"/>
          <w:szCs w:val="22"/>
        </w:rPr>
        <w:t>.</w:t>
      </w:r>
      <w:r w:rsidRPr="007F0E49">
        <w:rPr>
          <w:rFonts w:ascii="Arial" w:hAnsi="Arial"/>
          <w:sz w:val="22"/>
          <w:szCs w:val="22"/>
        </w:rPr>
        <w:tab/>
      </w:r>
      <w:r w:rsidRPr="007F0E49">
        <w:rPr>
          <w:rFonts w:ascii="Arial" w:hAnsi="Arial"/>
          <w:sz w:val="22"/>
          <w:szCs w:val="22"/>
        </w:rPr>
        <w:tab/>
      </w:r>
      <w:r w:rsidRPr="007F0E49">
        <w:rPr>
          <w:rFonts w:ascii="Arial" w:hAnsi="Arial"/>
          <w:sz w:val="22"/>
          <w:szCs w:val="22"/>
        </w:rPr>
        <w:tab/>
      </w:r>
      <w:r w:rsidRPr="007F0E49">
        <w:rPr>
          <w:rFonts w:ascii="Arial" w:hAnsi="Arial"/>
          <w:sz w:val="22"/>
          <w:szCs w:val="22"/>
        </w:rPr>
        <w:tab/>
      </w:r>
      <w:r w:rsidRPr="007F0E49">
        <w:rPr>
          <w:rFonts w:ascii="Arial" w:hAnsi="Arial"/>
          <w:sz w:val="22"/>
          <w:szCs w:val="22"/>
        </w:rPr>
        <w:tab/>
      </w:r>
      <w:r w:rsidRPr="007F0E49">
        <w:rPr>
          <w:rFonts w:ascii="Arial" w:hAnsi="Arial"/>
          <w:sz w:val="22"/>
          <w:szCs w:val="22"/>
        </w:rPr>
        <w:tab/>
      </w:r>
    </w:p>
    <w:p w:rsidR="000E69DA" w:rsidRPr="007F0E49" w:rsidRDefault="000E69DA" w:rsidP="000E69DA">
      <w:pPr>
        <w:jc w:val="both"/>
        <w:rPr>
          <w:rFonts w:ascii="Arial" w:hAnsi="Arial"/>
          <w:sz w:val="22"/>
          <w:szCs w:val="22"/>
        </w:rPr>
      </w:pPr>
    </w:p>
    <w:p w:rsidR="008E0579" w:rsidRDefault="008E0579" w:rsidP="008E0579">
      <w:pPr>
        <w:rPr>
          <w:rFonts w:ascii="Arial" w:hAnsi="Arial" w:cs="Arial"/>
          <w:noProof/>
          <w:sz w:val="22"/>
          <w:szCs w:val="22"/>
        </w:rPr>
      </w:pPr>
    </w:p>
    <w:p w:rsidR="004F133B" w:rsidRPr="007F0E49" w:rsidRDefault="004F133B" w:rsidP="008E0579">
      <w:pPr>
        <w:rPr>
          <w:rFonts w:ascii="Arial" w:hAnsi="Arial" w:cs="Arial"/>
          <w:noProof/>
          <w:sz w:val="22"/>
          <w:szCs w:val="22"/>
        </w:rPr>
      </w:pPr>
    </w:p>
    <w:p w:rsidR="009462D8" w:rsidRPr="007F0E49" w:rsidRDefault="009462D8" w:rsidP="008E0579">
      <w:pPr>
        <w:rPr>
          <w:rFonts w:ascii="Arial" w:hAnsi="Arial" w:cs="Arial"/>
          <w:noProof/>
          <w:sz w:val="22"/>
          <w:szCs w:val="22"/>
        </w:rPr>
      </w:pPr>
      <w:r w:rsidRPr="007F0E49">
        <w:rPr>
          <w:rFonts w:ascii="Arial" w:hAnsi="Arial" w:cs="Arial"/>
          <w:noProof/>
          <w:sz w:val="22"/>
          <w:szCs w:val="22"/>
        </w:rPr>
        <w:t>Bilješke sastavila</w:t>
      </w:r>
      <w:r w:rsidR="008E0579" w:rsidRPr="007F0E49">
        <w:rPr>
          <w:rFonts w:ascii="Arial" w:hAnsi="Arial" w:cs="Arial"/>
          <w:noProof/>
          <w:sz w:val="22"/>
          <w:szCs w:val="22"/>
        </w:rPr>
        <w:t>:</w:t>
      </w:r>
    </w:p>
    <w:p w:rsidR="009462D8" w:rsidRPr="00331D92" w:rsidRDefault="009462D8" w:rsidP="008E0579">
      <w:pPr>
        <w:rPr>
          <w:rFonts w:ascii="Arial" w:hAnsi="Arial" w:cs="Arial"/>
          <w:b/>
          <w:noProof/>
          <w:sz w:val="24"/>
          <w:szCs w:val="24"/>
        </w:rPr>
      </w:pPr>
      <w:r w:rsidRPr="007F0E49">
        <w:rPr>
          <w:rFonts w:ascii="Arial" w:hAnsi="Arial" w:cs="Arial"/>
          <w:noProof/>
          <w:sz w:val="22"/>
          <w:szCs w:val="22"/>
        </w:rPr>
        <w:tab/>
      </w:r>
      <w:r w:rsidRPr="007F0E49">
        <w:rPr>
          <w:rFonts w:ascii="Arial" w:hAnsi="Arial" w:cs="Arial"/>
          <w:noProof/>
          <w:sz w:val="22"/>
          <w:szCs w:val="22"/>
        </w:rPr>
        <w:tab/>
      </w:r>
      <w:r w:rsidRPr="007F0E49">
        <w:rPr>
          <w:rFonts w:ascii="Arial" w:hAnsi="Arial" w:cs="Arial"/>
          <w:noProof/>
          <w:sz w:val="22"/>
          <w:szCs w:val="22"/>
        </w:rPr>
        <w:tab/>
      </w:r>
      <w:r w:rsidR="008E0579" w:rsidRPr="007F0E49">
        <w:rPr>
          <w:rFonts w:ascii="Arial" w:hAnsi="Arial" w:cs="Arial"/>
          <w:b/>
          <w:noProof/>
          <w:sz w:val="22"/>
          <w:szCs w:val="22"/>
        </w:rPr>
        <w:t xml:space="preserve"> </w:t>
      </w:r>
      <w:r w:rsidR="008E0579" w:rsidRPr="007F0E49">
        <w:rPr>
          <w:rFonts w:ascii="Arial" w:hAnsi="Arial" w:cs="Arial"/>
          <w:b/>
          <w:noProof/>
          <w:sz w:val="22"/>
          <w:szCs w:val="22"/>
        </w:rPr>
        <w:tab/>
      </w:r>
      <w:r w:rsidR="008E0579" w:rsidRPr="007F0E49">
        <w:rPr>
          <w:rFonts w:ascii="Arial" w:hAnsi="Arial" w:cs="Arial"/>
          <w:b/>
          <w:noProof/>
          <w:sz w:val="22"/>
          <w:szCs w:val="22"/>
        </w:rPr>
        <w:tab/>
      </w:r>
      <w:r w:rsidR="008E0579" w:rsidRPr="007F0E49">
        <w:rPr>
          <w:rFonts w:ascii="Arial" w:hAnsi="Arial" w:cs="Arial"/>
          <w:b/>
          <w:noProof/>
          <w:sz w:val="22"/>
          <w:szCs w:val="22"/>
        </w:rPr>
        <w:tab/>
      </w:r>
      <w:r w:rsidR="008E0579" w:rsidRPr="007F0E49">
        <w:rPr>
          <w:rFonts w:ascii="Arial" w:hAnsi="Arial" w:cs="Arial"/>
          <w:b/>
          <w:noProof/>
          <w:sz w:val="22"/>
          <w:szCs w:val="22"/>
        </w:rPr>
        <w:tab/>
      </w:r>
      <w:r w:rsidR="008E0579" w:rsidRPr="007F0E49">
        <w:rPr>
          <w:rFonts w:ascii="Arial" w:hAnsi="Arial" w:cs="Arial"/>
          <w:b/>
          <w:noProof/>
          <w:sz w:val="22"/>
          <w:szCs w:val="22"/>
        </w:rPr>
        <w:tab/>
      </w:r>
      <w:r w:rsidR="008E0579" w:rsidRPr="007F0E49">
        <w:rPr>
          <w:rFonts w:ascii="Arial" w:hAnsi="Arial" w:cs="Arial"/>
          <w:b/>
          <w:noProof/>
          <w:sz w:val="22"/>
          <w:szCs w:val="22"/>
        </w:rPr>
        <w:tab/>
      </w:r>
      <w:r w:rsidR="008E0579" w:rsidRPr="007F0E49">
        <w:rPr>
          <w:rFonts w:ascii="Arial" w:hAnsi="Arial" w:cs="Arial"/>
          <w:b/>
          <w:noProof/>
          <w:sz w:val="22"/>
          <w:szCs w:val="22"/>
        </w:rPr>
        <w:tab/>
      </w:r>
      <w:r w:rsidR="008E0579" w:rsidRPr="00331D92">
        <w:rPr>
          <w:rFonts w:ascii="Arial" w:hAnsi="Arial" w:cs="Arial"/>
          <w:b/>
          <w:noProof/>
          <w:sz w:val="24"/>
          <w:szCs w:val="24"/>
        </w:rPr>
        <w:t xml:space="preserve">Gradonačelnik </w:t>
      </w:r>
    </w:p>
    <w:p w:rsidR="008E0579" w:rsidRPr="007F0E49" w:rsidRDefault="009462D8" w:rsidP="008E0579">
      <w:pPr>
        <w:rPr>
          <w:rFonts w:ascii="Arial" w:hAnsi="Arial" w:cs="Arial"/>
          <w:b/>
          <w:noProof/>
          <w:sz w:val="22"/>
          <w:szCs w:val="22"/>
        </w:rPr>
      </w:pPr>
      <w:r w:rsidRPr="007F0E49">
        <w:rPr>
          <w:rFonts w:ascii="Arial" w:hAnsi="Arial" w:cs="Arial"/>
          <w:noProof/>
          <w:sz w:val="22"/>
          <w:szCs w:val="22"/>
        </w:rPr>
        <w:t>Vanda Sesar</w:t>
      </w:r>
      <w:r w:rsidR="008E0579" w:rsidRPr="007F0E49">
        <w:rPr>
          <w:rFonts w:ascii="Arial" w:hAnsi="Arial" w:cs="Arial"/>
          <w:b/>
          <w:noProof/>
          <w:sz w:val="22"/>
          <w:szCs w:val="22"/>
        </w:rPr>
        <w:tab/>
      </w:r>
    </w:p>
    <w:p w:rsidR="008E0579" w:rsidRPr="007F0E49" w:rsidRDefault="009462D8" w:rsidP="008E0579">
      <w:pPr>
        <w:rPr>
          <w:rFonts w:ascii="Arial" w:hAnsi="Arial" w:cs="Arial"/>
          <w:noProof/>
          <w:sz w:val="22"/>
          <w:szCs w:val="22"/>
        </w:rPr>
      </w:pPr>
      <w:r w:rsidRPr="007F0E49">
        <w:rPr>
          <w:rFonts w:ascii="Arial" w:hAnsi="Arial" w:cs="Arial"/>
          <w:noProof/>
          <w:sz w:val="22"/>
          <w:szCs w:val="22"/>
        </w:rPr>
        <w:tab/>
      </w:r>
      <w:r w:rsidR="008E0579" w:rsidRPr="007F0E49">
        <w:rPr>
          <w:rFonts w:ascii="Arial" w:hAnsi="Arial" w:cs="Arial"/>
          <w:noProof/>
          <w:sz w:val="22"/>
          <w:szCs w:val="22"/>
        </w:rPr>
        <w:tab/>
      </w:r>
      <w:r w:rsidR="008E0579" w:rsidRPr="007F0E49">
        <w:rPr>
          <w:rFonts w:ascii="Arial" w:hAnsi="Arial" w:cs="Arial"/>
          <w:noProof/>
          <w:sz w:val="22"/>
          <w:szCs w:val="22"/>
        </w:rPr>
        <w:tab/>
      </w:r>
      <w:r w:rsidR="008E0579" w:rsidRPr="007F0E49">
        <w:rPr>
          <w:rFonts w:ascii="Arial" w:hAnsi="Arial" w:cs="Arial"/>
          <w:b/>
          <w:noProof/>
          <w:sz w:val="22"/>
          <w:szCs w:val="22"/>
        </w:rPr>
        <w:tab/>
      </w:r>
      <w:r w:rsidR="008E0579" w:rsidRPr="007F0E49">
        <w:rPr>
          <w:rFonts w:ascii="Arial" w:hAnsi="Arial" w:cs="Arial"/>
          <w:b/>
          <w:noProof/>
          <w:sz w:val="22"/>
          <w:szCs w:val="22"/>
        </w:rPr>
        <w:tab/>
      </w:r>
      <w:r w:rsidR="008E0579" w:rsidRPr="007F0E49">
        <w:rPr>
          <w:rFonts w:ascii="Arial" w:hAnsi="Arial" w:cs="Arial"/>
          <w:b/>
          <w:noProof/>
          <w:sz w:val="22"/>
          <w:szCs w:val="22"/>
        </w:rPr>
        <w:tab/>
      </w:r>
      <w:r w:rsidR="008E0579" w:rsidRPr="007F0E49">
        <w:rPr>
          <w:rFonts w:ascii="Arial" w:hAnsi="Arial" w:cs="Arial"/>
          <w:noProof/>
          <w:sz w:val="22"/>
          <w:szCs w:val="22"/>
        </w:rPr>
        <w:t>M.P.</w:t>
      </w:r>
    </w:p>
    <w:p w:rsidR="008E0579" w:rsidRPr="007F0E49" w:rsidRDefault="008E0579" w:rsidP="008E0579">
      <w:pPr>
        <w:rPr>
          <w:rFonts w:ascii="Arial" w:hAnsi="Arial" w:cs="Arial"/>
          <w:noProof/>
          <w:sz w:val="22"/>
          <w:szCs w:val="22"/>
        </w:rPr>
      </w:pPr>
      <w:r w:rsidRPr="007F0E49">
        <w:rPr>
          <w:rFonts w:ascii="Arial" w:hAnsi="Arial" w:cs="Arial"/>
          <w:noProof/>
          <w:sz w:val="22"/>
          <w:szCs w:val="22"/>
        </w:rPr>
        <w:tab/>
      </w:r>
      <w:r w:rsidRPr="007F0E49">
        <w:rPr>
          <w:rFonts w:ascii="Arial" w:hAnsi="Arial" w:cs="Arial"/>
          <w:noProof/>
          <w:sz w:val="22"/>
          <w:szCs w:val="22"/>
        </w:rPr>
        <w:tab/>
      </w:r>
    </w:p>
    <w:p w:rsidR="008E0579" w:rsidRPr="00331D92" w:rsidRDefault="008E0579" w:rsidP="008E0579">
      <w:pPr>
        <w:rPr>
          <w:rFonts w:ascii="Arial" w:hAnsi="Arial" w:cs="Arial"/>
          <w:noProof/>
          <w:sz w:val="24"/>
          <w:szCs w:val="24"/>
        </w:rPr>
      </w:pPr>
      <w:r w:rsidRPr="007F0E49">
        <w:rPr>
          <w:rFonts w:ascii="Arial" w:hAnsi="Arial" w:cs="Arial"/>
          <w:noProof/>
          <w:sz w:val="22"/>
          <w:szCs w:val="22"/>
        </w:rPr>
        <w:tab/>
      </w:r>
      <w:r w:rsidRPr="007F0E49">
        <w:rPr>
          <w:rFonts w:ascii="Arial" w:hAnsi="Arial" w:cs="Arial"/>
          <w:noProof/>
          <w:sz w:val="22"/>
          <w:szCs w:val="22"/>
        </w:rPr>
        <w:tab/>
      </w:r>
      <w:r w:rsidRPr="007F0E49">
        <w:rPr>
          <w:rFonts w:ascii="Arial" w:hAnsi="Arial" w:cs="Arial"/>
          <w:noProof/>
          <w:sz w:val="22"/>
          <w:szCs w:val="22"/>
        </w:rPr>
        <w:tab/>
      </w:r>
      <w:r w:rsidRPr="007F0E49">
        <w:rPr>
          <w:rFonts w:ascii="Arial" w:hAnsi="Arial" w:cs="Arial"/>
          <w:noProof/>
          <w:sz w:val="22"/>
          <w:szCs w:val="22"/>
        </w:rPr>
        <w:tab/>
      </w:r>
      <w:r w:rsidRPr="007F0E49">
        <w:rPr>
          <w:rFonts w:ascii="Arial" w:hAnsi="Arial" w:cs="Arial"/>
          <w:noProof/>
          <w:sz w:val="22"/>
          <w:szCs w:val="22"/>
        </w:rPr>
        <w:tab/>
      </w:r>
      <w:r w:rsidRPr="007F0E49">
        <w:rPr>
          <w:rFonts w:ascii="Arial" w:hAnsi="Arial" w:cs="Arial"/>
          <w:noProof/>
          <w:sz w:val="22"/>
          <w:szCs w:val="22"/>
        </w:rPr>
        <w:tab/>
      </w:r>
      <w:r w:rsidRPr="007F0E49">
        <w:rPr>
          <w:rFonts w:ascii="Arial" w:hAnsi="Arial" w:cs="Arial"/>
          <w:noProof/>
          <w:sz w:val="22"/>
          <w:szCs w:val="22"/>
        </w:rPr>
        <w:tab/>
      </w:r>
      <w:r w:rsidRPr="007F0E49">
        <w:rPr>
          <w:rFonts w:ascii="Arial" w:hAnsi="Arial" w:cs="Arial"/>
          <w:noProof/>
          <w:sz w:val="22"/>
          <w:szCs w:val="22"/>
        </w:rPr>
        <w:tab/>
      </w:r>
      <w:r w:rsidRPr="007F0E49">
        <w:rPr>
          <w:rFonts w:ascii="Arial" w:hAnsi="Arial" w:cs="Arial"/>
          <w:noProof/>
          <w:sz w:val="22"/>
          <w:szCs w:val="22"/>
        </w:rPr>
        <w:tab/>
      </w:r>
      <w:r w:rsidRPr="007F0E49">
        <w:rPr>
          <w:rFonts w:ascii="Arial" w:hAnsi="Arial" w:cs="Arial"/>
          <w:noProof/>
          <w:sz w:val="22"/>
          <w:szCs w:val="22"/>
        </w:rPr>
        <w:tab/>
      </w:r>
      <w:r w:rsidRPr="00331D92">
        <w:rPr>
          <w:rFonts w:ascii="Arial" w:hAnsi="Arial" w:cs="Arial"/>
          <w:b/>
          <w:noProof/>
          <w:sz w:val="24"/>
          <w:szCs w:val="24"/>
        </w:rPr>
        <w:t>Marko Filipović</w:t>
      </w:r>
    </w:p>
    <w:p w:rsidR="008E0579" w:rsidRPr="007F0E49" w:rsidRDefault="008E0579" w:rsidP="008E0579">
      <w:pPr>
        <w:pStyle w:val="Footer"/>
        <w:tabs>
          <w:tab w:val="clear" w:pos="4153"/>
          <w:tab w:val="clear" w:pos="8306"/>
        </w:tabs>
        <w:rPr>
          <w:rFonts w:ascii="Arial" w:hAnsi="Arial" w:cs="Arial"/>
          <w:noProof/>
          <w:sz w:val="22"/>
          <w:szCs w:val="22"/>
        </w:rPr>
      </w:pPr>
    </w:p>
    <w:p w:rsidR="008E0579" w:rsidRPr="007F0E49" w:rsidRDefault="008E0579" w:rsidP="008E0579">
      <w:pPr>
        <w:pStyle w:val="Footer"/>
        <w:tabs>
          <w:tab w:val="clear" w:pos="4153"/>
          <w:tab w:val="clear" w:pos="8306"/>
        </w:tabs>
        <w:rPr>
          <w:rFonts w:ascii="Arial" w:hAnsi="Arial" w:cs="Arial"/>
          <w:noProof/>
          <w:sz w:val="22"/>
          <w:szCs w:val="22"/>
        </w:rPr>
      </w:pPr>
    </w:p>
    <w:p w:rsidR="008E0579" w:rsidRPr="007F0E49" w:rsidRDefault="008E0579" w:rsidP="008E0579">
      <w:pPr>
        <w:pStyle w:val="Footer"/>
        <w:tabs>
          <w:tab w:val="clear" w:pos="4153"/>
          <w:tab w:val="clear" w:pos="8306"/>
        </w:tabs>
        <w:rPr>
          <w:rFonts w:ascii="Arial" w:hAnsi="Arial" w:cs="Arial"/>
          <w:noProof/>
          <w:sz w:val="22"/>
          <w:szCs w:val="22"/>
        </w:rPr>
      </w:pPr>
    </w:p>
    <w:p w:rsidR="008E0579" w:rsidRPr="007F0E49" w:rsidRDefault="008E0579" w:rsidP="000E69DA">
      <w:pPr>
        <w:jc w:val="both"/>
        <w:rPr>
          <w:rFonts w:ascii="Arial" w:hAnsi="Arial"/>
          <w:sz w:val="22"/>
          <w:szCs w:val="22"/>
        </w:rPr>
      </w:pPr>
    </w:p>
    <w:sectPr w:rsidR="008E0579" w:rsidRPr="007F0E49" w:rsidSect="00BB3AAF">
      <w:footerReference w:type="default" r:id="rId17"/>
      <w:pgSz w:w="11906" w:h="16838"/>
      <w:pgMar w:top="1134" w:right="1021" w:bottom="851" w:left="1134" w:header="720" w:footer="79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91C" w:rsidRDefault="00A4291C">
      <w:r>
        <w:separator/>
      </w:r>
    </w:p>
  </w:endnote>
  <w:endnote w:type="continuationSeparator" w:id="0">
    <w:p w:rsidR="00A4291C" w:rsidRDefault="00A42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RO_Calligraph-Bold">
    <w:altName w:val="Times New Roman"/>
    <w:charset w:val="00"/>
    <w:family w:val="auto"/>
    <w:pitch w:val="variable"/>
    <w:sig w:usb0="00000087" w:usb1="00000000" w:usb2="00000000" w:usb3="00000000" w:csb0="0000001B"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639299"/>
      <w:docPartObj>
        <w:docPartGallery w:val="Page Numbers (Bottom of Page)"/>
        <w:docPartUnique/>
      </w:docPartObj>
    </w:sdtPr>
    <w:sdtEndPr>
      <w:rPr>
        <w:noProof/>
      </w:rPr>
    </w:sdtEndPr>
    <w:sdtContent>
      <w:p w:rsidR="00992485" w:rsidRDefault="00992485">
        <w:pPr>
          <w:pStyle w:val="Footer"/>
          <w:jc w:val="center"/>
        </w:pPr>
        <w:r>
          <w:fldChar w:fldCharType="begin"/>
        </w:r>
        <w:r>
          <w:instrText xml:space="preserve"> PAGE   \* MERGEFORMAT </w:instrText>
        </w:r>
        <w:r>
          <w:fldChar w:fldCharType="separate"/>
        </w:r>
        <w:r w:rsidR="00E36B92">
          <w:rPr>
            <w:noProof/>
          </w:rPr>
          <w:t>26</w:t>
        </w:r>
        <w:r>
          <w:rPr>
            <w:noProof/>
          </w:rPr>
          <w:fldChar w:fldCharType="end"/>
        </w:r>
      </w:p>
    </w:sdtContent>
  </w:sdt>
  <w:p w:rsidR="00992485" w:rsidRDefault="009924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91C" w:rsidRDefault="00A4291C">
      <w:r>
        <w:separator/>
      </w:r>
    </w:p>
  </w:footnote>
  <w:footnote w:type="continuationSeparator" w:id="0">
    <w:p w:rsidR="00A4291C" w:rsidRDefault="00A429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0055"/>
    <w:multiLevelType w:val="hybridMultilevel"/>
    <w:tmpl w:val="F3D0F4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E52776"/>
    <w:multiLevelType w:val="hybridMultilevel"/>
    <w:tmpl w:val="6476A122"/>
    <w:lvl w:ilvl="0" w:tplc="CE82D6C8">
      <w:start w:val="1"/>
      <w:numFmt w:val="bullet"/>
      <w:lvlText w:val=""/>
      <w:lvlJc w:val="left"/>
      <w:pPr>
        <w:ind w:left="1464" w:hanging="360"/>
      </w:pPr>
      <w:rPr>
        <w:rFonts w:ascii="Symbol" w:hAnsi="Symbol" w:hint="default"/>
      </w:rPr>
    </w:lvl>
    <w:lvl w:ilvl="1" w:tplc="041A0003" w:tentative="1">
      <w:start w:val="1"/>
      <w:numFmt w:val="bullet"/>
      <w:lvlText w:val="o"/>
      <w:lvlJc w:val="left"/>
      <w:pPr>
        <w:ind w:left="2184" w:hanging="360"/>
      </w:pPr>
      <w:rPr>
        <w:rFonts w:ascii="Courier New" w:hAnsi="Courier New" w:cs="Courier New" w:hint="default"/>
      </w:rPr>
    </w:lvl>
    <w:lvl w:ilvl="2" w:tplc="041A0005" w:tentative="1">
      <w:start w:val="1"/>
      <w:numFmt w:val="bullet"/>
      <w:lvlText w:val=""/>
      <w:lvlJc w:val="left"/>
      <w:pPr>
        <w:ind w:left="2904" w:hanging="360"/>
      </w:pPr>
      <w:rPr>
        <w:rFonts w:ascii="Wingdings" w:hAnsi="Wingdings" w:hint="default"/>
      </w:rPr>
    </w:lvl>
    <w:lvl w:ilvl="3" w:tplc="041A0001" w:tentative="1">
      <w:start w:val="1"/>
      <w:numFmt w:val="bullet"/>
      <w:lvlText w:val=""/>
      <w:lvlJc w:val="left"/>
      <w:pPr>
        <w:ind w:left="3624" w:hanging="360"/>
      </w:pPr>
      <w:rPr>
        <w:rFonts w:ascii="Symbol" w:hAnsi="Symbol" w:hint="default"/>
      </w:rPr>
    </w:lvl>
    <w:lvl w:ilvl="4" w:tplc="041A0003" w:tentative="1">
      <w:start w:val="1"/>
      <w:numFmt w:val="bullet"/>
      <w:lvlText w:val="o"/>
      <w:lvlJc w:val="left"/>
      <w:pPr>
        <w:ind w:left="4344" w:hanging="360"/>
      </w:pPr>
      <w:rPr>
        <w:rFonts w:ascii="Courier New" w:hAnsi="Courier New" w:cs="Courier New" w:hint="default"/>
      </w:rPr>
    </w:lvl>
    <w:lvl w:ilvl="5" w:tplc="041A0005" w:tentative="1">
      <w:start w:val="1"/>
      <w:numFmt w:val="bullet"/>
      <w:lvlText w:val=""/>
      <w:lvlJc w:val="left"/>
      <w:pPr>
        <w:ind w:left="5064" w:hanging="360"/>
      </w:pPr>
      <w:rPr>
        <w:rFonts w:ascii="Wingdings" w:hAnsi="Wingdings" w:hint="default"/>
      </w:rPr>
    </w:lvl>
    <w:lvl w:ilvl="6" w:tplc="041A0001" w:tentative="1">
      <w:start w:val="1"/>
      <w:numFmt w:val="bullet"/>
      <w:lvlText w:val=""/>
      <w:lvlJc w:val="left"/>
      <w:pPr>
        <w:ind w:left="5784" w:hanging="360"/>
      </w:pPr>
      <w:rPr>
        <w:rFonts w:ascii="Symbol" w:hAnsi="Symbol" w:hint="default"/>
      </w:rPr>
    </w:lvl>
    <w:lvl w:ilvl="7" w:tplc="041A0003" w:tentative="1">
      <w:start w:val="1"/>
      <w:numFmt w:val="bullet"/>
      <w:lvlText w:val="o"/>
      <w:lvlJc w:val="left"/>
      <w:pPr>
        <w:ind w:left="6504" w:hanging="360"/>
      </w:pPr>
      <w:rPr>
        <w:rFonts w:ascii="Courier New" w:hAnsi="Courier New" w:cs="Courier New" w:hint="default"/>
      </w:rPr>
    </w:lvl>
    <w:lvl w:ilvl="8" w:tplc="041A0005" w:tentative="1">
      <w:start w:val="1"/>
      <w:numFmt w:val="bullet"/>
      <w:lvlText w:val=""/>
      <w:lvlJc w:val="left"/>
      <w:pPr>
        <w:ind w:left="7224" w:hanging="360"/>
      </w:pPr>
      <w:rPr>
        <w:rFonts w:ascii="Wingdings" w:hAnsi="Wingdings" w:hint="default"/>
      </w:rPr>
    </w:lvl>
  </w:abstractNum>
  <w:abstractNum w:abstractNumId="2" w15:restartNumberingAfterBreak="0">
    <w:nsid w:val="0B847648"/>
    <w:multiLevelType w:val="hybridMultilevel"/>
    <w:tmpl w:val="E80EE5CA"/>
    <w:lvl w:ilvl="0" w:tplc="041A0005">
      <w:start w:val="1"/>
      <w:numFmt w:val="bullet"/>
      <w:lvlText w:val=""/>
      <w:lvlJc w:val="left"/>
      <w:pPr>
        <w:ind w:left="786" w:hanging="360"/>
      </w:pPr>
      <w:rPr>
        <w:rFonts w:ascii="Wingdings" w:hAnsi="Wingdings"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 w15:restartNumberingAfterBreak="0">
    <w:nsid w:val="0F5B5775"/>
    <w:multiLevelType w:val="hybridMultilevel"/>
    <w:tmpl w:val="44CE28C4"/>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022B83"/>
    <w:multiLevelType w:val="hybridMultilevel"/>
    <w:tmpl w:val="05BC54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EC646E1"/>
    <w:multiLevelType w:val="hybridMultilevel"/>
    <w:tmpl w:val="D99001F6"/>
    <w:lvl w:ilvl="0" w:tplc="E4F05526">
      <w:start w:val="39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0923CE3"/>
    <w:multiLevelType w:val="hybridMultilevel"/>
    <w:tmpl w:val="086A20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3261060"/>
    <w:multiLevelType w:val="hybridMultilevel"/>
    <w:tmpl w:val="EF54EF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5AE3882"/>
    <w:multiLevelType w:val="hybridMultilevel"/>
    <w:tmpl w:val="7520D4B0"/>
    <w:lvl w:ilvl="0" w:tplc="29CA78DE">
      <w:start w:val="2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8503D13"/>
    <w:multiLevelType w:val="hybridMultilevel"/>
    <w:tmpl w:val="E744D32A"/>
    <w:lvl w:ilvl="0" w:tplc="CE82D6C8">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F72C1D"/>
    <w:multiLevelType w:val="hybridMultilevel"/>
    <w:tmpl w:val="4482C0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48A5A65"/>
    <w:multiLevelType w:val="hybridMultilevel"/>
    <w:tmpl w:val="A0069506"/>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38514C2F"/>
    <w:multiLevelType w:val="hybridMultilevel"/>
    <w:tmpl w:val="D71281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9176162"/>
    <w:multiLevelType w:val="hybridMultilevel"/>
    <w:tmpl w:val="69E4A714"/>
    <w:lvl w:ilvl="0" w:tplc="041A0001">
      <w:start w:val="1"/>
      <w:numFmt w:val="bullet"/>
      <w:lvlText w:val=""/>
      <w:lvlJc w:val="left"/>
      <w:pPr>
        <w:ind w:left="1008" w:hanging="360"/>
      </w:pPr>
      <w:rPr>
        <w:rFonts w:ascii="Symbol" w:hAnsi="Symbol" w:hint="default"/>
      </w:rPr>
    </w:lvl>
    <w:lvl w:ilvl="1" w:tplc="041A0003" w:tentative="1">
      <w:start w:val="1"/>
      <w:numFmt w:val="bullet"/>
      <w:lvlText w:val="o"/>
      <w:lvlJc w:val="left"/>
      <w:pPr>
        <w:ind w:left="1728" w:hanging="360"/>
      </w:pPr>
      <w:rPr>
        <w:rFonts w:ascii="Courier New" w:hAnsi="Courier New" w:cs="Courier New" w:hint="default"/>
      </w:rPr>
    </w:lvl>
    <w:lvl w:ilvl="2" w:tplc="041A0005" w:tentative="1">
      <w:start w:val="1"/>
      <w:numFmt w:val="bullet"/>
      <w:lvlText w:val=""/>
      <w:lvlJc w:val="left"/>
      <w:pPr>
        <w:ind w:left="2448" w:hanging="360"/>
      </w:pPr>
      <w:rPr>
        <w:rFonts w:ascii="Wingdings" w:hAnsi="Wingdings" w:hint="default"/>
      </w:rPr>
    </w:lvl>
    <w:lvl w:ilvl="3" w:tplc="041A0001" w:tentative="1">
      <w:start w:val="1"/>
      <w:numFmt w:val="bullet"/>
      <w:lvlText w:val=""/>
      <w:lvlJc w:val="left"/>
      <w:pPr>
        <w:ind w:left="3168" w:hanging="360"/>
      </w:pPr>
      <w:rPr>
        <w:rFonts w:ascii="Symbol" w:hAnsi="Symbol" w:hint="default"/>
      </w:rPr>
    </w:lvl>
    <w:lvl w:ilvl="4" w:tplc="041A0003" w:tentative="1">
      <w:start w:val="1"/>
      <w:numFmt w:val="bullet"/>
      <w:lvlText w:val="o"/>
      <w:lvlJc w:val="left"/>
      <w:pPr>
        <w:ind w:left="3888" w:hanging="360"/>
      </w:pPr>
      <w:rPr>
        <w:rFonts w:ascii="Courier New" w:hAnsi="Courier New" w:cs="Courier New" w:hint="default"/>
      </w:rPr>
    </w:lvl>
    <w:lvl w:ilvl="5" w:tplc="041A0005" w:tentative="1">
      <w:start w:val="1"/>
      <w:numFmt w:val="bullet"/>
      <w:lvlText w:val=""/>
      <w:lvlJc w:val="left"/>
      <w:pPr>
        <w:ind w:left="4608" w:hanging="360"/>
      </w:pPr>
      <w:rPr>
        <w:rFonts w:ascii="Wingdings" w:hAnsi="Wingdings" w:hint="default"/>
      </w:rPr>
    </w:lvl>
    <w:lvl w:ilvl="6" w:tplc="041A0001" w:tentative="1">
      <w:start w:val="1"/>
      <w:numFmt w:val="bullet"/>
      <w:lvlText w:val=""/>
      <w:lvlJc w:val="left"/>
      <w:pPr>
        <w:ind w:left="5328" w:hanging="360"/>
      </w:pPr>
      <w:rPr>
        <w:rFonts w:ascii="Symbol" w:hAnsi="Symbol" w:hint="default"/>
      </w:rPr>
    </w:lvl>
    <w:lvl w:ilvl="7" w:tplc="041A0003" w:tentative="1">
      <w:start w:val="1"/>
      <w:numFmt w:val="bullet"/>
      <w:lvlText w:val="o"/>
      <w:lvlJc w:val="left"/>
      <w:pPr>
        <w:ind w:left="6048" w:hanging="360"/>
      </w:pPr>
      <w:rPr>
        <w:rFonts w:ascii="Courier New" w:hAnsi="Courier New" w:cs="Courier New" w:hint="default"/>
      </w:rPr>
    </w:lvl>
    <w:lvl w:ilvl="8" w:tplc="041A0005" w:tentative="1">
      <w:start w:val="1"/>
      <w:numFmt w:val="bullet"/>
      <w:lvlText w:val=""/>
      <w:lvlJc w:val="left"/>
      <w:pPr>
        <w:ind w:left="6768" w:hanging="360"/>
      </w:pPr>
      <w:rPr>
        <w:rFonts w:ascii="Wingdings" w:hAnsi="Wingdings" w:hint="default"/>
      </w:rPr>
    </w:lvl>
  </w:abstractNum>
  <w:abstractNum w:abstractNumId="14" w15:restartNumberingAfterBreak="0">
    <w:nsid w:val="418F4214"/>
    <w:multiLevelType w:val="hybridMultilevel"/>
    <w:tmpl w:val="9C16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D37754"/>
    <w:multiLevelType w:val="hybridMultilevel"/>
    <w:tmpl w:val="5EE2A080"/>
    <w:lvl w:ilvl="0" w:tplc="041A0001">
      <w:start w:val="1"/>
      <w:numFmt w:val="bullet"/>
      <w:lvlText w:val=""/>
      <w:lvlJc w:val="left"/>
      <w:pPr>
        <w:ind w:left="1008" w:hanging="360"/>
      </w:pPr>
      <w:rPr>
        <w:rFonts w:ascii="Symbol" w:hAnsi="Symbol" w:hint="default"/>
      </w:rPr>
    </w:lvl>
    <w:lvl w:ilvl="1" w:tplc="041A0003" w:tentative="1">
      <w:start w:val="1"/>
      <w:numFmt w:val="bullet"/>
      <w:lvlText w:val="o"/>
      <w:lvlJc w:val="left"/>
      <w:pPr>
        <w:ind w:left="1728" w:hanging="360"/>
      </w:pPr>
      <w:rPr>
        <w:rFonts w:ascii="Courier New" w:hAnsi="Courier New" w:cs="Courier New" w:hint="default"/>
      </w:rPr>
    </w:lvl>
    <w:lvl w:ilvl="2" w:tplc="041A0005" w:tentative="1">
      <w:start w:val="1"/>
      <w:numFmt w:val="bullet"/>
      <w:lvlText w:val=""/>
      <w:lvlJc w:val="left"/>
      <w:pPr>
        <w:ind w:left="2448" w:hanging="360"/>
      </w:pPr>
      <w:rPr>
        <w:rFonts w:ascii="Wingdings" w:hAnsi="Wingdings" w:hint="default"/>
      </w:rPr>
    </w:lvl>
    <w:lvl w:ilvl="3" w:tplc="041A0001" w:tentative="1">
      <w:start w:val="1"/>
      <w:numFmt w:val="bullet"/>
      <w:lvlText w:val=""/>
      <w:lvlJc w:val="left"/>
      <w:pPr>
        <w:ind w:left="3168" w:hanging="360"/>
      </w:pPr>
      <w:rPr>
        <w:rFonts w:ascii="Symbol" w:hAnsi="Symbol" w:hint="default"/>
      </w:rPr>
    </w:lvl>
    <w:lvl w:ilvl="4" w:tplc="041A0003" w:tentative="1">
      <w:start w:val="1"/>
      <w:numFmt w:val="bullet"/>
      <w:lvlText w:val="o"/>
      <w:lvlJc w:val="left"/>
      <w:pPr>
        <w:ind w:left="3888" w:hanging="360"/>
      </w:pPr>
      <w:rPr>
        <w:rFonts w:ascii="Courier New" w:hAnsi="Courier New" w:cs="Courier New" w:hint="default"/>
      </w:rPr>
    </w:lvl>
    <w:lvl w:ilvl="5" w:tplc="041A0005" w:tentative="1">
      <w:start w:val="1"/>
      <w:numFmt w:val="bullet"/>
      <w:lvlText w:val=""/>
      <w:lvlJc w:val="left"/>
      <w:pPr>
        <w:ind w:left="4608" w:hanging="360"/>
      </w:pPr>
      <w:rPr>
        <w:rFonts w:ascii="Wingdings" w:hAnsi="Wingdings" w:hint="default"/>
      </w:rPr>
    </w:lvl>
    <w:lvl w:ilvl="6" w:tplc="041A0001" w:tentative="1">
      <w:start w:val="1"/>
      <w:numFmt w:val="bullet"/>
      <w:lvlText w:val=""/>
      <w:lvlJc w:val="left"/>
      <w:pPr>
        <w:ind w:left="5328" w:hanging="360"/>
      </w:pPr>
      <w:rPr>
        <w:rFonts w:ascii="Symbol" w:hAnsi="Symbol" w:hint="default"/>
      </w:rPr>
    </w:lvl>
    <w:lvl w:ilvl="7" w:tplc="041A0003" w:tentative="1">
      <w:start w:val="1"/>
      <w:numFmt w:val="bullet"/>
      <w:lvlText w:val="o"/>
      <w:lvlJc w:val="left"/>
      <w:pPr>
        <w:ind w:left="6048" w:hanging="360"/>
      </w:pPr>
      <w:rPr>
        <w:rFonts w:ascii="Courier New" w:hAnsi="Courier New" w:cs="Courier New" w:hint="default"/>
      </w:rPr>
    </w:lvl>
    <w:lvl w:ilvl="8" w:tplc="041A0005" w:tentative="1">
      <w:start w:val="1"/>
      <w:numFmt w:val="bullet"/>
      <w:lvlText w:val=""/>
      <w:lvlJc w:val="left"/>
      <w:pPr>
        <w:ind w:left="6768" w:hanging="360"/>
      </w:pPr>
      <w:rPr>
        <w:rFonts w:ascii="Wingdings" w:hAnsi="Wingdings" w:hint="default"/>
      </w:rPr>
    </w:lvl>
  </w:abstractNum>
  <w:abstractNum w:abstractNumId="16" w15:restartNumberingAfterBreak="0">
    <w:nsid w:val="4D6C7E7B"/>
    <w:multiLevelType w:val="hybridMultilevel"/>
    <w:tmpl w:val="F09C4B48"/>
    <w:lvl w:ilvl="0" w:tplc="704CB55E">
      <w:start w:val="1"/>
      <w:numFmt w:val="bullet"/>
      <w:lvlText w:val=""/>
      <w:lvlJc w:val="left"/>
      <w:pPr>
        <w:ind w:left="502"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DE05B70"/>
    <w:multiLevelType w:val="hybridMultilevel"/>
    <w:tmpl w:val="5780361C"/>
    <w:lvl w:ilvl="0" w:tplc="041A0005">
      <w:start w:val="1"/>
      <w:numFmt w:val="bullet"/>
      <w:lvlText w:val=""/>
      <w:lvlJc w:val="left"/>
      <w:pPr>
        <w:ind w:left="786" w:hanging="360"/>
      </w:pPr>
      <w:rPr>
        <w:rFonts w:ascii="Wingdings" w:hAnsi="Wingdings"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8" w15:restartNumberingAfterBreak="0">
    <w:nsid w:val="50F22437"/>
    <w:multiLevelType w:val="hybridMultilevel"/>
    <w:tmpl w:val="1AFA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0B5C10"/>
    <w:multiLevelType w:val="hybridMultilevel"/>
    <w:tmpl w:val="E7AC615A"/>
    <w:lvl w:ilvl="0" w:tplc="E4F05526">
      <w:start w:val="39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AD6006F"/>
    <w:multiLevelType w:val="hybridMultilevel"/>
    <w:tmpl w:val="9F5CFD68"/>
    <w:lvl w:ilvl="0" w:tplc="041A0001">
      <w:start w:val="1"/>
      <w:numFmt w:val="bullet"/>
      <w:lvlText w:val=""/>
      <w:lvlJc w:val="left"/>
      <w:pPr>
        <w:ind w:left="1008" w:hanging="360"/>
      </w:pPr>
      <w:rPr>
        <w:rFonts w:ascii="Symbol" w:hAnsi="Symbol" w:hint="default"/>
      </w:rPr>
    </w:lvl>
    <w:lvl w:ilvl="1" w:tplc="041A0003" w:tentative="1">
      <w:start w:val="1"/>
      <w:numFmt w:val="bullet"/>
      <w:lvlText w:val="o"/>
      <w:lvlJc w:val="left"/>
      <w:pPr>
        <w:ind w:left="1728" w:hanging="360"/>
      </w:pPr>
      <w:rPr>
        <w:rFonts w:ascii="Courier New" w:hAnsi="Courier New" w:cs="Courier New" w:hint="default"/>
      </w:rPr>
    </w:lvl>
    <w:lvl w:ilvl="2" w:tplc="041A0005" w:tentative="1">
      <w:start w:val="1"/>
      <w:numFmt w:val="bullet"/>
      <w:lvlText w:val=""/>
      <w:lvlJc w:val="left"/>
      <w:pPr>
        <w:ind w:left="2448" w:hanging="360"/>
      </w:pPr>
      <w:rPr>
        <w:rFonts w:ascii="Wingdings" w:hAnsi="Wingdings" w:hint="default"/>
      </w:rPr>
    </w:lvl>
    <w:lvl w:ilvl="3" w:tplc="041A0001" w:tentative="1">
      <w:start w:val="1"/>
      <w:numFmt w:val="bullet"/>
      <w:lvlText w:val=""/>
      <w:lvlJc w:val="left"/>
      <w:pPr>
        <w:ind w:left="3168" w:hanging="360"/>
      </w:pPr>
      <w:rPr>
        <w:rFonts w:ascii="Symbol" w:hAnsi="Symbol" w:hint="default"/>
      </w:rPr>
    </w:lvl>
    <w:lvl w:ilvl="4" w:tplc="041A0003" w:tentative="1">
      <w:start w:val="1"/>
      <w:numFmt w:val="bullet"/>
      <w:lvlText w:val="o"/>
      <w:lvlJc w:val="left"/>
      <w:pPr>
        <w:ind w:left="3888" w:hanging="360"/>
      </w:pPr>
      <w:rPr>
        <w:rFonts w:ascii="Courier New" w:hAnsi="Courier New" w:cs="Courier New" w:hint="default"/>
      </w:rPr>
    </w:lvl>
    <w:lvl w:ilvl="5" w:tplc="041A0005" w:tentative="1">
      <w:start w:val="1"/>
      <w:numFmt w:val="bullet"/>
      <w:lvlText w:val=""/>
      <w:lvlJc w:val="left"/>
      <w:pPr>
        <w:ind w:left="4608" w:hanging="360"/>
      </w:pPr>
      <w:rPr>
        <w:rFonts w:ascii="Wingdings" w:hAnsi="Wingdings" w:hint="default"/>
      </w:rPr>
    </w:lvl>
    <w:lvl w:ilvl="6" w:tplc="041A0001" w:tentative="1">
      <w:start w:val="1"/>
      <w:numFmt w:val="bullet"/>
      <w:lvlText w:val=""/>
      <w:lvlJc w:val="left"/>
      <w:pPr>
        <w:ind w:left="5328" w:hanging="360"/>
      </w:pPr>
      <w:rPr>
        <w:rFonts w:ascii="Symbol" w:hAnsi="Symbol" w:hint="default"/>
      </w:rPr>
    </w:lvl>
    <w:lvl w:ilvl="7" w:tplc="041A0003" w:tentative="1">
      <w:start w:val="1"/>
      <w:numFmt w:val="bullet"/>
      <w:lvlText w:val="o"/>
      <w:lvlJc w:val="left"/>
      <w:pPr>
        <w:ind w:left="6048" w:hanging="360"/>
      </w:pPr>
      <w:rPr>
        <w:rFonts w:ascii="Courier New" w:hAnsi="Courier New" w:cs="Courier New" w:hint="default"/>
      </w:rPr>
    </w:lvl>
    <w:lvl w:ilvl="8" w:tplc="041A0005" w:tentative="1">
      <w:start w:val="1"/>
      <w:numFmt w:val="bullet"/>
      <w:lvlText w:val=""/>
      <w:lvlJc w:val="left"/>
      <w:pPr>
        <w:ind w:left="6768" w:hanging="360"/>
      </w:pPr>
      <w:rPr>
        <w:rFonts w:ascii="Wingdings" w:hAnsi="Wingdings" w:hint="default"/>
      </w:rPr>
    </w:lvl>
  </w:abstractNum>
  <w:abstractNum w:abstractNumId="21" w15:restartNumberingAfterBreak="0">
    <w:nsid w:val="5B593FCB"/>
    <w:multiLevelType w:val="hybridMultilevel"/>
    <w:tmpl w:val="49C8F2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D711004"/>
    <w:multiLevelType w:val="hybridMultilevel"/>
    <w:tmpl w:val="22BCF5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AA20A2B"/>
    <w:multiLevelType w:val="hybridMultilevel"/>
    <w:tmpl w:val="54ACDE0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B0E53FE"/>
    <w:multiLevelType w:val="hybridMultilevel"/>
    <w:tmpl w:val="17625456"/>
    <w:lvl w:ilvl="0" w:tplc="E178473A">
      <w:start w:val="1"/>
      <w:numFmt w:val="bullet"/>
      <w:lvlText w:val=""/>
      <w:lvlJc w:val="left"/>
      <w:pPr>
        <w:tabs>
          <w:tab w:val="num" w:pos="360"/>
        </w:tabs>
        <w:ind w:left="360" w:hanging="360"/>
      </w:pPr>
      <w:rPr>
        <w:rFonts w:ascii="Wingdings" w:hAnsi="Wingdings" w:hint="default"/>
        <w:b/>
        <w:color w:val="1F4E79" w:themeColor="accent1" w:themeShade="80"/>
        <w:sz w:val="28"/>
        <w:szCs w:val="28"/>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AD7535D"/>
    <w:multiLevelType w:val="hybridMultilevel"/>
    <w:tmpl w:val="BE540E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B69436C"/>
    <w:multiLevelType w:val="hybridMultilevel"/>
    <w:tmpl w:val="458EE83C"/>
    <w:lvl w:ilvl="0" w:tplc="041A0005">
      <w:start w:val="1"/>
      <w:numFmt w:val="bullet"/>
      <w:lvlText w:val=""/>
      <w:lvlJc w:val="left"/>
      <w:pPr>
        <w:ind w:left="786" w:hanging="360"/>
      </w:pPr>
      <w:rPr>
        <w:rFonts w:ascii="Wingdings" w:hAnsi="Wingdings"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27" w15:restartNumberingAfterBreak="0">
    <w:nsid w:val="7E931AC3"/>
    <w:multiLevelType w:val="hybridMultilevel"/>
    <w:tmpl w:val="C71AA4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26"/>
  </w:num>
  <w:num w:numId="4">
    <w:abstractNumId w:val="2"/>
  </w:num>
  <w:num w:numId="5">
    <w:abstractNumId w:val="21"/>
  </w:num>
  <w:num w:numId="6">
    <w:abstractNumId w:val="16"/>
  </w:num>
  <w:num w:numId="7">
    <w:abstractNumId w:val="9"/>
  </w:num>
  <w:num w:numId="8">
    <w:abstractNumId w:val="7"/>
  </w:num>
  <w:num w:numId="9">
    <w:abstractNumId w:val="0"/>
  </w:num>
  <w:num w:numId="10">
    <w:abstractNumId w:val="10"/>
  </w:num>
  <w:num w:numId="11">
    <w:abstractNumId w:val="8"/>
  </w:num>
  <w:num w:numId="12">
    <w:abstractNumId w:val="23"/>
  </w:num>
  <w:num w:numId="13">
    <w:abstractNumId w:val="12"/>
  </w:num>
  <w:num w:numId="14">
    <w:abstractNumId w:val="22"/>
  </w:num>
  <w:num w:numId="15">
    <w:abstractNumId w:val="18"/>
  </w:num>
  <w:num w:numId="16">
    <w:abstractNumId w:val="17"/>
  </w:num>
  <w:num w:numId="17">
    <w:abstractNumId w:val="14"/>
  </w:num>
  <w:num w:numId="18">
    <w:abstractNumId w:val="13"/>
  </w:num>
  <w:num w:numId="19">
    <w:abstractNumId w:val="20"/>
  </w:num>
  <w:num w:numId="20">
    <w:abstractNumId w:val="15"/>
  </w:num>
  <w:num w:numId="21">
    <w:abstractNumId w:val="1"/>
  </w:num>
  <w:num w:numId="22">
    <w:abstractNumId w:val="11"/>
  </w:num>
  <w:num w:numId="23">
    <w:abstractNumId w:val="6"/>
  </w:num>
  <w:num w:numId="24">
    <w:abstractNumId w:val="25"/>
  </w:num>
  <w:num w:numId="25">
    <w:abstractNumId w:val="19"/>
  </w:num>
  <w:num w:numId="26">
    <w:abstractNumId w:val="5"/>
  </w:num>
  <w:num w:numId="27">
    <w:abstractNumId w:val="27"/>
  </w:num>
  <w:num w:numId="28">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CEC"/>
    <w:rsid w:val="00003261"/>
    <w:rsid w:val="00003D81"/>
    <w:rsid w:val="00004D71"/>
    <w:rsid w:val="00005475"/>
    <w:rsid w:val="00005D28"/>
    <w:rsid w:val="00010F74"/>
    <w:rsid w:val="000128C6"/>
    <w:rsid w:val="000128ED"/>
    <w:rsid w:val="00012BB8"/>
    <w:rsid w:val="00013AC7"/>
    <w:rsid w:val="00014E56"/>
    <w:rsid w:val="000156F2"/>
    <w:rsid w:val="00015BA5"/>
    <w:rsid w:val="00016753"/>
    <w:rsid w:val="000172C8"/>
    <w:rsid w:val="00017DFC"/>
    <w:rsid w:val="00021247"/>
    <w:rsid w:val="000229DA"/>
    <w:rsid w:val="00022E92"/>
    <w:rsid w:val="00023518"/>
    <w:rsid w:val="00023A07"/>
    <w:rsid w:val="00024F7D"/>
    <w:rsid w:val="00025270"/>
    <w:rsid w:val="0002549B"/>
    <w:rsid w:val="00025955"/>
    <w:rsid w:val="00025E76"/>
    <w:rsid w:val="000273CC"/>
    <w:rsid w:val="0002782C"/>
    <w:rsid w:val="00030B72"/>
    <w:rsid w:val="00031F60"/>
    <w:rsid w:val="00034074"/>
    <w:rsid w:val="00034714"/>
    <w:rsid w:val="00034F37"/>
    <w:rsid w:val="000368A7"/>
    <w:rsid w:val="000369AF"/>
    <w:rsid w:val="00041BB6"/>
    <w:rsid w:val="000441EF"/>
    <w:rsid w:val="000448A7"/>
    <w:rsid w:val="000462A8"/>
    <w:rsid w:val="0004657B"/>
    <w:rsid w:val="00047F70"/>
    <w:rsid w:val="00052231"/>
    <w:rsid w:val="00052830"/>
    <w:rsid w:val="00053AE8"/>
    <w:rsid w:val="00054041"/>
    <w:rsid w:val="000543EC"/>
    <w:rsid w:val="00055375"/>
    <w:rsid w:val="000553CC"/>
    <w:rsid w:val="000559BA"/>
    <w:rsid w:val="00055FCC"/>
    <w:rsid w:val="0005675E"/>
    <w:rsid w:val="000610AF"/>
    <w:rsid w:val="00061301"/>
    <w:rsid w:val="0006151D"/>
    <w:rsid w:val="00062569"/>
    <w:rsid w:val="000628D3"/>
    <w:rsid w:val="00062F60"/>
    <w:rsid w:val="00065185"/>
    <w:rsid w:val="00065260"/>
    <w:rsid w:val="000658B0"/>
    <w:rsid w:val="00066595"/>
    <w:rsid w:val="00066AE6"/>
    <w:rsid w:val="00066B62"/>
    <w:rsid w:val="00067375"/>
    <w:rsid w:val="000676CB"/>
    <w:rsid w:val="00067C31"/>
    <w:rsid w:val="00067D10"/>
    <w:rsid w:val="00067E8E"/>
    <w:rsid w:val="00070661"/>
    <w:rsid w:val="0007093B"/>
    <w:rsid w:val="00073758"/>
    <w:rsid w:val="00073872"/>
    <w:rsid w:val="00073E9C"/>
    <w:rsid w:val="000761C7"/>
    <w:rsid w:val="00076536"/>
    <w:rsid w:val="0007766A"/>
    <w:rsid w:val="00080B13"/>
    <w:rsid w:val="000812C1"/>
    <w:rsid w:val="00081549"/>
    <w:rsid w:val="000816C5"/>
    <w:rsid w:val="00083825"/>
    <w:rsid w:val="00084274"/>
    <w:rsid w:val="00084375"/>
    <w:rsid w:val="00085FFC"/>
    <w:rsid w:val="0008712D"/>
    <w:rsid w:val="000910D7"/>
    <w:rsid w:val="00092140"/>
    <w:rsid w:val="000928C4"/>
    <w:rsid w:val="00093B7F"/>
    <w:rsid w:val="000976E0"/>
    <w:rsid w:val="00097F85"/>
    <w:rsid w:val="000A05B5"/>
    <w:rsid w:val="000A0F8A"/>
    <w:rsid w:val="000A16DE"/>
    <w:rsid w:val="000A1C1D"/>
    <w:rsid w:val="000A1F43"/>
    <w:rsid w:val="000A2290"/>
    <w:rsid w:val="000A2C96"/>
    <w:rsid w:val="000A3507"/>
    <w:rsid w:val="000A3814"/>
    <w:rsid w:val="000A3E03"/>
    <w:rsid w:val="000A44F6"/>
    <w:rsid w:val="000A52E1"/>
    <w:rsid w:val="000A6234"/>
    <w:rsid w:val="000A6C9E"/>
    <w:rsid w:val="000A71EB"/>
    <w:rsid w:val="000A7A71"/>
    <w:rsid w:val="000A7DB5"/>
    <w:rsid w:val="000B09CF"/>
    <w:rsid w:val="000B149B"/>
    <w:rsid w:val="000B1D2D"/>
    <w:rsid w:val="000B2606"/>
    <w:rsid w:val="000B3661"/>
    <w:rsid w:val="000B4F13"/>
    <w:rsid w:val="000B5625"/>
    <w:rsid w:val="000B5818"/>
    <w:rsid w:val="000B5AEE"/>
    <w:rsid w:val="000B6A69"/>
    <w:rsid w:val="000C1CFF"/>
    <w:rsid w:val="000C2D6F"/>
    <w:rsid w:val="000C327F"/>
    <w:rsid w:val="000C442B"/>
    <w:rsid w:val="000C456C"/>
    <w:rsid w:val="000C46D5"/>
    <w:rsid w:val="000C509B"/>
    <w:rsid w:val="000C54B8"/>
    <w:rsid w:val="000C5B36"/>
    <w:rsid w:val="000C6064"/>
    <w:rsid w:val="000D380D"/>
    <w:rsid w:val="000D5357"/>
    <w:rsid w:val="000D5BCB"/>
    <w:rsid w:val="000D67DB"/>
    <w:rsid w:val="000E00DC"/>
    <w:rsid w:val="000E07A3"/>
    <w:rsid w:val="000E1DDB"/>
    <w:rsid w:val="000E24C1"/>
    <w:rsid w:val="000E25E8"/>
    <w:rsid w:val="000E295D"/>
    <w:rsid w:val="000E375E"/>
    <w:rsid w:val="000E3B3B"/>
    <w:rsid w:val="000E45A9"/>
    <w:rsid w:val="000E5859"/>
    <w:rsid w:val="000E58B7"/>
    <w:rsid w:val="000E69DA"/>
    <w:rsid w:val="000F18BD"/>
    <w:rsid w:val="000F1FE3"/>
    <w:rsid w:val="000F233A"/>
    <w:rsid w:val="000F27D4"/>
    <w:rsid w:val="000F2CF6"/>
    <w:rsid w:val="000F3DD0"/>
    <w:rsid w:val="000F4A5A"/>
    <w:rsid w:val="000F530A"/>
    <w:rsid w:val="000F6ACF"/>
    <w:rsid w:val="000F7705"/>
    <w:rsid w:val="001004A0"/>
    <w:rsid w:val="00100B3C"/>
    <w:rsid w:val="0010129C"/>
    <w:rsid w:val="00101AF2"/>
    <w:rsid w:val="00101FE3"/>
    <w:rsid w:val="001023F6"/>
    <w:rsid w:val="00102DFD"/>
    <w:rsid w:val="00103186"/>
    <w:rsid w:val="00103462"/>
    <w:rsid w:val="001036AE"/>
    <w:rsid w:val="0010399B"/>
    <w:rsid w:val="00104D66"/>
    <w:rsid w:val="00105FD5"/>
    <w:rsid w:val="00107A52"/>
    <w:rsid w:val="001118BE"/>
    <w:rsid w:val="0011217A"/>
    <w:rsid w:val="00112F4C"/>
    <w:rsid w:val="00113858"/>
    <w:rsid w:val="00115321"/>
    <w:rsid w:val="00115A9C"/>
    <w:rsid w:val="00116039"/>
    <w:rsid w:val="001164CB"/>
    <w:rsid w:val="0011654B"/>
    <w:rsid w:val="001171D1"/>
    <w:rsid w:val="0012049D"/>
    <w:rsid w:val="00120E47"/>
    <w:rsid w:val="00122475"/>
    <w:rsid w:val="00124582"/>
    <w:rsid w:val="00125C48"/>
    <w:rsid w:val="00126193"/>
    <w:rsid w:val="00130208"/>
    <w:rsid w:val="00130857"/>
    <w:rsid w:val="00130874"/>
    <w:rsid w:val="001310AA"/>
    <w:rsid w:val="00131857"/>
    <w:rsid w:val="00131A91"/>
    <w:rsid w:val="001326D5"/>
    <w:rsid w:val="00133588"/>
    <w:rsid w:val="001351DB"/>
    <w:rsid w:val="00135879"/>
    <w:rsid w:val="001361D0"/>
    <w:rsid w:val="00136936"/>
    <w:rsid w:val="001373D1"/>
    <w:rsid w:val="00137DD9"/>
    <w:rsid w:val="00137F07"/>
    <w:rsid w:val="0014086D"/>
    <w:rsid w:val="00141FE6"/>
    <w:rsid w:val="00142A56"/>
    <w:rsid w:val="00142AD5"/>
    <w:rsid w:val="001430EA"/>
    <w:rsid w:val="001448BE"/>
    <w:rsid w:val="00144EAB"/>
    <w:rsid w:val="00145876"/>
    <w:rsid w:val="00147026"/>
    <w:rsid w:val="001470F6"/>
    <w:rsid w:val="001471D1"/>
    <w:rsid w:val="00150583"/>
    <w:rsid w:val="0015171B"/>
    <w:rsid w:val="001521A3"/>
    <w:rsid w:val="001536DF"/>
    <w:rsid w:val="00153A20"/>
    <w:rsid w:val="00154D08"/>
    <w:rsid w:val="001552EF"/>
    <w:rsid w:val="00157757"/>
    <w:rsid w:val="00157C81"/>
    <w:rsid w:val="00157EEF"/>
    <w:rsid w:val="00161485"/>
    <w:rsid w:val="00162350"/>
    <w:rsid w:val="00164D5E"/>
    <w:rsid w:val="00165F09"/>
    <w:rsid w:val="00170F1A"/>
    <w:rsid w:val="00172D56"/>
    <w:rsid w:val="00174041"/>
    <w:rsid w:val="001748E4"/>
    <w:rsid w:val="00174AEC"/>
    <w:rsid w:val="00174DD7"/>
    <w:rsid w:val="001757FD"/>
    <w:rsid w:val="00175D32"/>
    <w:rsid w:val="001771F9"/>
    <w:rsid w:val="001776E5"/>
    <w:rsid w:val="001779AB"/>
    <w:rsid w:val="00180315"/>
    <w:rsid w:val="00180938"/>
    <w:rsid w:val="0018104D"/>
    <w:rsid w:val="00181194"/>
    <w:rsid w:val="00181666"/>
    <w:rsid w:val="001821F8"/>
    <w:rsid w:val="00183734"/>
    <w:rsid w:val="0018728B"/>
    <w:rsid w:val="001877D4"/>
    <w:rsid w:val="00187CE2"/>
    <w:rsid w:val="001902E0"/>
    <w:rsid w:val="0019067F"/>
    <w:rsid w:val="00190A53"/>
    <w:rsid w:val="0019386F"/>
    <w:rsid w:val="001949C6"/>
    <w:rsid w:val="001962CD"/>
    <w:rsid w:val="00197355"/>
    <w:rsid w:val="0019781A"/>
    <w:rsid w:val="001979D0"/>
    <w:rsid w:val="001A2666"/>
    <w:rsid w:val="001A4744"/>
    <w:rsid w:val="001A4809"/>
    <w:rsid w:val="001A5170"/>
    <w:rsid w:val="001A538A"/>
    <w:rsid w:val="001A5C76"/>
    <w:rsid w:val="001A6003"/>
    <w:rsid w:val="001A63D5"/>
    <w:rsid w:val="001A709C"/>
    <w:rsid w:val="001A7C9A"/>
    <w:rsid w:val="001B00D6"/>
    <w:rsid w:val="001B0150"/>
    <w:rsid w:val="001B0C6C"/>
    <w:rsid w:val="001B1081"/>
    <w:rsid w:val="001B1A36"/>
    <w:rsid w:val="001B707D"/>
    <w:rsid w:val="001B7083"/>
    <w:rsid w:val="001B7B22"/>
    <w:rsid w:val="001C0CD4"/>
    <w:rsid w:val="001C1FE0"/>
    <w:rsid w:val="001C2737"/>
    <w:rsid w:val="001C479F"/>
    <w:rsid w:val="001C4A86"/>
    <w:rsid w:val="001C534B"/>
    <w:rsid w:val="001C6B01"/>
    <w:rsid w:val="001C7375"/>
    <w:rsid w:val="001C78BF"/>
    <w:rsid w:val="001C7978"/>
    <w:rsid w:val="001D0790"/>
    <w:rsid w:val="001D14FA"/>
    <w:rsid w:val="001D1544"/>
    <w:rsid w:val="001D1996"/>
    <w:rsid w:val="001D1A60"/>
    <w:rsid w:val="001D1B7C"/>
    <w:rsid w:val="001D2E08"/>
    <w:rsid w:val="001D3434"/>
    <w:rsid w:val="001D49B4"/>
    <w:rsid w:val="001D6849"/>
    <w:rsid w:val="001D7FE6"/>
    <w:rsid w:val="001E0171"/>
    <w:rsid w:val="001E02E1"/>
    <w:rsid w:val="001E0DDD"/>
    <w:rsid w:val="001E105F"/>
    <w:rsid w:val="001E1127"/>
    <w:rsid w:val="001E2304"/>
    <w:rsid w:val="001E236E"/>
    <w:rsid w:val="001E2716"/>
    <w:rsid w:val="001E2EF1"/>
    <w:rsid w:val="001E2FB4"/>
    <w:rsid w:val="001E36A9"/>
    <w:rsid w:val="001E3E47"/>
    <w:rsid w:val="001E6264"/>
    <w:rsid w:val="001E63E4"/>
    <w:rsid w:val="001E7D99"/>
    <w:rsid w:val="001F0B39"/>
    <w:rsid w:val="001F2662"/>
    <w:rsid w:val="001F3F08"/>
    <w:rsid w:val="001F4ACA"/>
    <w:rsid w:val="001F4F48"/>
    <w:rsid w:val="001F53B3"/>
    <w:rsid w:val="001F5BA3"/>
    <w:rsid w:val="001F5D55"/>
    <w:rsid w:val="001F6381"/>
    <w:rsid w:val="001F6395"/>
    <w:rsid w:val="001F73E3"/>
    <w:rsid w:val="002003E3"/>
    <w:rsid w:val="00201B1B"/>
    <w:rsid w:val="00201ED2"/>
    <w:rsid w:val="00202F01"/>
    <w:rsid w:val="00203007"/>
    <w:rsid w:val="00203E6E"/>
    <w:rsid w:val="002048E0"/>
    <w:rsid w:val="0020535D"/>
    <w:rsid w:val="00205D0A"/>
    <w:rsid w:val="002065CD"/>
    <w:rsid w:val="002069C9"/>
    <w:rsid w:val="00206ED1"/>
    <w:rsid w:val="002076F0"/>
    <w:rsid w:val="002109DD"/>
    <w:rsid w:val="00210D4E"/>
    <w:rsid w:val="0021146A"/>
    <w:rsid w:val="00211CC2"/>
    <w:rsid w:val="00211E67"/>
    <w:rsid w:val="00212A91"/>
    <w:rsid w:val="00212E71"/>
    <w:rsid w:val="00212FC8"/>
    <w:rsid w:val="0021402B"/>
    <w:rsid w:val="002140F2"/>
    <w:rsid w:val="002141E6"/>
    <w:rsid w:val="002144E3"/>
    <w:rsid w:val="00215455"/>
    <w:rsid w:val="002162A0"/>
    <w:rsid w:val="0021661E"/>
    <w:rsid w:val="00221098"/>
    <w:rsid w:val="00222F54"/>
    <w:rsid w:val="00223C20"/>
    <w:rsid w:val="002241BC"/>
    <w:rsid w:val="00224A9F"/>
    <w:rsid w:val="002251DB"/>
    <w:rsid w:val="00225AB4"/>
    <w:rsid w:val="00226553"/>
    <w:rsid w:val="002271E8"/>
    <w:rsid w:val="00231829"/>
    <w:rsid w:val="00233104"/>
    <w:rsid w:val="00233B78"/>
    <w:rsid w:val="00233F3F"/>
    <w:rsid w:val="002354B1"/>
    <w:rsid w:val="00237D97"/>
    <w:rsid w:val="00240990"/>
    <w:rsid w:val="00241CD9"/>
    <w:rsid w:val="002436BB"/>
    <w:rsid w:val="00245727"/>
    <w:rsid w:val="002462DD"/>
    <w:rsid w:val="00246F34"/>
    <w:rsid w:val="00250082"/>
    <w:rsid w:val="0025008E"/>
    <w:rsid w:val="002508FD"/>
    <w:rsid w:val="00253886"/>
    <w:rsid w:val="00253ABF"/>
    <w:rsid w:val="0025406A"/>
    <w:rsid w:val="002545DC"/>
    <w:rsid w:val="002554D5"/>
    <w:rsid w:val="00257986"/>
    <w:rsid w:val="00260B03"/>
    <w:rsid w:val="00260D9D"/>
    <w:rsid w:val="002615BD"/>
    <w:rsid w:val="00262CE0"/>
    <w:rsid w:val="00263797"/>
    <w:rsid w:val="00263E78"/>
    <w:rsid w:val="002652F3"/>
    <w:rsid w:val="00266735"/>
    <w:rsid w:val="00267641"/>
    <w:rsid w:val="002677ED"/>
    <w:rsid w:val="0027112E"/>
    <w:rsid w:val="00272FCD"/>
    <w:rsid w:val="00273404"/>
    <w:rsid w:val="00274E70"/>
    <w:rsid w:val="00274E85"/>
    <w:rsid w:val="00274F95"/>
    <w:rsid w:val="0027512E"/>
    <w:rsid w:val="002756BB"/>
    <w:rsid w:val="00276304"/>
    <w:rsid w:val="0027700C"/>
    <w:rsid w:val="0027784F"/>
    <w:rsid w:val="002778BE"/>
    <w:rsid w:val="0028066E"/>
    <w:rsid w:val="002819BB"/>
    <w:rsid w:val="00283114"/>
    <w:rsid w:val="002834A7"/>
    <w:rsid w:val="00285A5F"/>
    <w:rsid w:val="00286AB2"/>
    <w:rsid w:val="00287A92"/>
    <w:rsid w:val="00290544"/>
    <w:rsid w:val="00290799"/>
    <w:rsid w:val="00292739"/>
    <w:rsid w:val="00292AA6"/>
    <w:rsid w:val="00293530"/>
    <w:rsid w:val="0029374E"/>
    <w:rsid w:val="00293B54"/>
    <w:rsid w:val="00294A40"/>
    <w:rsid w:val="00294C25"/>
    <w:rsid w:val="00294FD1"/>
    <w:rsid w:val="00295DEB"/>
    <w:rsid w:val="002978DC"/>
    <w:rsid w:val="00297A03"/>
    <w:rsid w:val="00297E54"/>
    <w:rsid w:val="002A0D7A"/>
    <w:rsid w:val="002A25BE"/>
    <w:rsid w:val="002A2A6C"/>
    <w:rsid w:val="002A311C"/>
    <w:rsid w:val="002A393E"/>
    <w:rsid w:val="002A3E94"/>
    <w:rsid w:val="002A400B"/>
    <w:rsid w:val="002A4D9B"/>
    <w:rsid w:val="002A4F07"/>
    <w:rsid w:val="002A5C5B"/>
    <w:rsid w:val="002B0294"/>
    <w:rsid w:val="002B1335"/>
    <w:rsid w:val="002B1F65"/>
    <w:rsid w:val="002B27EE"/>
    <w:rsid w:val="002B37F8"/>
    <w:rsid w:val="002B40AF"/>
    <w:rsid w:val="002B5486"/>
    <w:rsid w:val="002B638C"/>
    <w:rsid w:val="002C0D4D"/>
    <w:rsid w:val="002C0D58"/>
    <w:rsid w:val="002C29E2"/>
    <w:rsid w:val="002C41F8"/>
    <w:rsid w:val="002C67EC"/>
    <w:rsid w:val="002C69C7"/>
    <w:rsid w:val="002C77E8"/>
    <w:rsid w:val="002C7826"/>
    <w:rsid w:val="002C7880"/>
    <w:rsid w:val="002D1351"/>
    <w:rsid w:val="002D1A50"/>
    <w:rsid w:val="002D3AE0"/>
    <w:rsid w:val="002D41E3"/>
    <w:rsid w:val="002D4746"/>
    <w:rsid w:val="002D4E66"/>
    <w:rsid w:val="002D4EB8"/>
    <w:rsid w:val="002D4ED4"/>
    <w:rsid w:val="002D4F13"/>
    <w:rsid w:val="002D5CC3"/>
    <w:rsid w:val="002D6B65"/>
    <w:rsid w:val="002D7210"/>
    <w:rsid w:val="002E0B09"/>
    <w:rsid w:val="002E18FB"/>
    <w:rsid w:val="002E1938"/>
    <w:rsid w:val="002E31B3"/>
    <w:rsid w:val="002E364E"/>
    <w:rsid w:val="002E521E"/>
    <w:rsid w:val="002E70F4"/>
    <w:rsid w:val="002E7AF5"/>
    <w:rsid w:val="002F0320"/>
    <w:rsid w:val="002F114F"/>
    <w:rsid w:val="002F30A6"/>
    <w:rsid w:val="002F31CC"/>
    <w:rsid w:val="002F377A"/>
    <w:rsid w:val="002F3AE8"/>
    <w:rsid w:val="002F3DFF"/>
    <w:rsid w:val="002F3FD7"/>
    <w:rsid w:val="002F6AF1"/>
    <w:rsid w:val="002F6B2D"/>
    <w:rsid w:val="002F7DB4"/>
    <w:rsid w:val="0030123F"/>
    <w:rsid w:val="003014FE"/>
    <w:rsid w:val="00301AA3"/>
    <w:rsid w:val="00302329"/>
    <w:rsid w:val="00302490"/>
    <w:rsid w:val="003029BE"/>
    <w:rsid w:val="00302C17"/>
    <w:rsid w:val="00303A08"/>
    <w:rsid w:val="00303BF7"/>
    <w:rsid w:val="003043A5"/>
    <w:rsid w:val="00304F63"/>
    <w:rsid w:val="00306B33"/>
    <w:rsid w:val="003078F3"/>
    <w:rsid w:val="00312605"/>
    <w:rsid w:val="0031277F"/>
    <w:rsid w:val="003132DD"/>
    <w:rsid w:val="00313479"/>
    <w:rsid w:val="00313DEC"/>
    <w:rsid w:val="00316290"/>
    <w:rsid w:val="0031697A"/>
    <w:rsid w:val="00320620"/>
    <w:rsid w:val="00321D91"/>
    <w:rsid w:val="0032252A"/>
    <w:rsid w:val="00322B39"/>
    <w:rsid w:val="003236C6"/>
    <w:rsid w:val="0032383C"/>
    <w:rsid w:val="003239B3"/>
    <w:rsid w:val="003255AB"/>
    <w:rsid w:val="00325E50"/>
    <w:rsid w:val="003300CB"/>
    <w:rsid w:val="003306CD"/>
    <w:rsid w:val="0033176F"/>
    <w:rsid w:val="00331D92"/>
    <w:rsid w:val="00331DD7"/>
    <w:rsid w:val="003324D4"/>
    <w:rsid w:val="00333643"/>
    <w:rsid w:val="0033402E"/>
    <w:rsid w:val="00334904"/>
    <w:rsid w:val="003360D1"/>
    <w:rsid w:val="0033666B"/>
    <w:rsid w:val="00337AEB"/>
    <w:rsid w:val="00337E15"/>
    <w:rsid w:val="0034190F"/>
    <w:rsid w:val="00342522"/>
    <w:rsid w:val="003430E2"/>
    <w:rsid w:val="003442BE"/>
    <w:rsid w:val="00344819"/>
    <w:rsid w:val="00346813"/>
    <w:rsid w:val="003475FE"/>
    <w:rsid w:val="00347977"/>
    <w:rsid w:val="0035040F"/>
    <w:rsid w:val="0035256C"/>
    <w:rsid w:val="00352FBE"/>
    <w:rsid w:val="0035305E"/>
    <w:rsid w:val="0035625B"/>
    <w:rsid w:val="0035633A"/>
    <w:rsid w:val="00357439"/>
    <w:rsid w:val="003602C3"/>
    <w:rsid w:val="0036032E"/>
    <w:rsid w:val="00361744"/>
    <w:rsid w:val="0036283D"/>
    <w:rsid w:val="0036298E"/>
    <w:rsid w:val="00362EC8"/>
    <w:rsid w:val="003636EC"/>
    <w:rsid w:val="0036388E"/>
    <w:rsid w:val="00364CBB"/>
    <w:rsid w:val="0036571D"/>
    <w:rsid w:val="00365870"/>
    <w:rsid w:val="00365EE5"/>
    <w:rsid w:val="0036702D"/>
    <w:rsid w:val="003700AF"/>
    <w:rsid w:val="00370D07"/>
    <w:rsid w:val="00370F76"/>
    <w:rsid w:val="0037238A"/>
    <w:rsid w:val="00373193"/>
    <w:rsid w:val="0037600B"/>
    <w:rsid w:val="00376132"/>
    <w:rsid w:val="003767F9"/>
    <w:rsid w:val="00376904"/>
    <w:rsid w:val="00377D48"/>
    <w:rsid w:val="00380EFB"/>
    <w:rsid w:val="003812C2"/>
    <w:rsid w:val="0038163D"/>
    <w:rsid w:val="00383397"/>
    <w:rsid w:val="00384890"/>
    <w:rsid w:val="00384F6F"/>
    <w:rsid w:val="003856E0"/>
    <w:rsid w:val="00386065"/>
    <w:rsid w:val="00386B99"/>
    <w:rsid w:val="00387A70"/>
    <w:rsid w:val="003900EC"/>
    <w:rsid w:val="00390124"/>
    <w:rsid w:val="00390392"/>
    <w:rsid w:val="0039048F"/>
    <w:rsid w:val="00391E1D"/>
    <w:rsid w:val="00391F4F"/>
    <w:rsid w:val="00391F87"/>
    <w:rsid w:val="00392E92"/>
    <w:rsid w:val="00394A47"/>
    <w:rsid w:val="0039581B"/>
    <w:rsid w:val="00396543"/>
    <w:rsid w:val="003965D6"/>
    <w:rsid w:val="003973C3"/>
    <w:rsid w:val="00397E0C"/>
    <w:rsid w:val="003A0202"/>
    <w:rsid w:val="003A16B1"/>
    <w:rsid w:val="003A19EB"/>
    <w:rsid w:val="003A1F1C"/>
    <w:rsid w:val="003A2EF3"/>
    <w:rsid w:val="003A42B4"/>
    <w:rsid w:val="003A4454"/>
    <w:rsid w:val="003A4818"/>
    <w:rsid w:val="003A4D3E"/>
    <w:rsid w:val="003A4DB6"/>
    <w:rsid w:val="003A5C68"/>
    <w:rsid w:val="003A62A3"/>
    <w:rsid w:val="003B25DD"/>
    <w:rsid w:val="003B3F88"/>
    <w:rsid w:val="003B440F"/>
    <w:rsid w:val="003B5363"/>
    <w:rsid w:val="003B6A66"/>
    <w:rsid w:val="003B6C4D"/>
    <w:rsid w:val="003B6F7D"/>
    <w:rsid w:val="003B7A37"/>
    <w:rsid w:val="003B7AA8"/>
    <w:rsid w:val="003C0661"/>
    <w:rsid w:val="003C0ADA"/>
    <w:rsid w:val="003C1F87"/>
    <w:rsid w:val="003C291A"/>
    <w:rsid w:val="003C51A7"/>
    <w:rsid w:val="003C598F"/>
    <w:rsid w:val="003C60B4"/>
    <w:rsid w:val="003C71E1"/>
    <w:rsid w:val="003D019B"/>
    <w:rsid w:val="003D03BF"/>
    <w:rsid w:val="003D2474"/>
    <w:rsid w:val="003D3AFF"/>
    <w:rsid w:val="003D4143"/>
    <w:rsid w:val="003D4D2C"/>
    <w:rsid w:val="003D537E"/>
    <w:rsid w:val="003D6801"/>
    <w:rsid w:val="003D7625"/>
    <w:rsid w:val="003E042B"/>
    <w:rsid w:val="003E0AC3"/>
    <w:rsid w:val="003E0C93"/>
    <w:rsid w:val="003E1540"/>
    <w:rsid w:val="003E3150"/>
    <w:rsid w:val="003E3DAF"/>
    <w:rsid w:val="003E4D8C"/>
    <w:rsid w:val="003E4DD0"/>
    <w:rsid w:val="003E5462"/>
    <w:rsid w:val="003E55B3"/>
    <w:rsid w:val="003E5C74"/>
    <w:rsid w:val="003E7202"/>
    <w:rsid w:val="003E72C9"/>
    <w:rsid w:val="003E7996"/>
    <w:rsid w:val="003E7CA7"/>
    <w:rsid w:val="003F02BD"/>
    <w:rsid w:val="003F17DB"/>
    <w:rsid w:val="003F1963"/>
    <w:rsid w:val="003F24E7"/>
    <w:rsid w:val="003F3CFE"/>
    <w:rsid w:val="003F40FC"/>
    <w:rsid w:val="003F4D19"/>
    <w:rsid w:val="003F63F6"/>
    <w:rsid w:val="003F681A"/>
    <w:rsid w:val="003F6E0F"/>
    <w:rsid w:val="003F72E9"/>
    <w:rsid w:val="0040179D"/>
    <w:rsid w:val="00402483"/>
    <w:rsid w:val="0040268C"/>
    <w:rsid w:val="0040297D"/>
    <w:rsid w:val="004038CA"/>
    <w:rsid w:val="00404A3C"/>
    <w:rsid w:val="0040635A"/>
    <w:rsid w:val="00407BF7"/>
    <w:rsid w:val="00407F41"/>
    <w:rsid w:val="00412A12"/>
    <w:rsid w:val="00413322"/>
    <w:rsid w:val="00414D86"/>
    <w:rsid w:val="00415300"/>
    <w:rsid w:val="0041548B"/>
    <w:rsid w:val="00415546"/>
    <w:rsid w:val="00417611"/>
    <w:rsid w:val="0041791E"/>
    <w:rsid w:val="004179B7"/>
    <w:rsid w:val="00417F4C"/>
    <w:rsid w:val="00420B8E"/>
    <w:rsid w:val="00421E2D"/>
    <w:rsid w:val="0042211D"/>
    <w:rsid w:val="00422B21"/>
    <w:rsid w:val="0042392F"/>
    <w:rsid w:val="00423AC3"/>
    <w:rsid w:val="00423D45"/>
    <w:rsid w:val="004240AA"/>
    <w:rsid w:val="00424738"/>
    <w:rsid w:val="00424E39"/>
    <w:rsid w:val="00425481"/>
    <w:rsid w:val="004260A8"/>
    <w:rsid w:val="00426CDC"/>
    <w:rsid w:val="004279A3"/>
    <w:rsid w:val="004305DB"/>
    <w:rsid w:val="00430740"/>
    <w:rsid w:val="00431265"/>
    <w:rsid w:val="0043150E"/>
    <w:rsid w:val="00431CDE"/>
    <w:rsid w:val="00431D87"/>
    <w:rsid w:val="00432002"/>
    <w:rsid w:val="004326FB"/>
    <w:rsid w:val="004337DE"/>
    <w:rsid w:val="00435AFD"/>
    <w:rsid w:val="00435F90"/>
    <w:rsid w:val="0043606E"/>
    <w:rsid w:val="0043648D"/>
    <w:rsid w:val="004371F1"/>
    <w:rsid w:val="004379C2"/>
    <w:rsid w:val="00437DA2"/>
    <w:rsid w:val="00440D5C"/>
    <w:rsid w:val="00440FCA"/>
    <w:rsid w:val="004418E1"/>
    <w:rsid w:val="004435A9"/>
    <w:rsid w:val="00443FA2"/>
    <w:rsid w:val="0044459B"/>
    <w:rsid w:val="00444EAE"/>
    <w:rsid w:val="00444EBE"/>
    <w:rsid w:val="004463E7"/>
    <w:rsid w:val="00447B24"/>
    <w:rsid w:val="00450156"/>
    <w:rsid w:val="00450161"/>
    <w:rsid w:val="004536CF"/>
    <w:rsid w:val="00454528"/>
    <w:rsid w:val="00455086"/>
    <w:rsid w:val="00455C7A"/>
    <w:rsid w:val="00455E8A"/>
    <w:rsid w:val="00455FB8"/>
    <w:rsid w:val="004606A9"/>
    <w:rsid w:val="0046129F"/>
    <w:rsid w:val="0046156B"/>
    <w:rsid w:val="0046182D"/>
    <w:rsid w:val="0046329D"/>
    <w:rsid w:val="00463D21"/>
    <w:rsid w:val="004665AB"/>
    <w:rsid w:val="004665D7"/>
    <w:rsid w:val="00466E07"/>
    <w:rsid w:val="0046745F"/>
    <w:rsid w:val="00467963"/>
    <w:rsid w:val="00470736"/>
    <w:rsid w:val="00471D9B"/>
    <w:rsid w:val="00471DE7"/>
    <w:rsid w:val="00472324"/>
    <w:rsid w:val="004732DD"/>
    <w:rsid w:val="004748AB"/>
    <w:rsid w:val="00475960"/>
    <w:rsid w:val="00476286"/>
    <w:rsid w:val="004770A8"/>
    <w:rsid w:val="00477C0F"/>
    <w:rsid w:val="00481D26"/>
    <w:rsid w:val="00481F77"/>
    <w:rsid w:val="00481FF0"/>
    <w:rsid w:val="00482573"/>
    <w:rsid w:val="00483585"/>
    <w:rsid w:val="00484386"/>
    <w:rsid w:val="00484552"/>
    <w:rsid w:val="004849CB"/>
    <w:rsid w:val="004850D3"/>
    <w:rsid w:val="004908BC"/>
    <w:rsid w:val="004917E2"/>
    <w:rsid w:val="00492B78"/>
    <w:rsid w:val="00493C27"/>
    <w:rsid w:val="00494271"/>
    <w:rsid w:val="00494933"/>
    <w:rsid w:val="004960E9"/>
    <w:rsid w:val="00496890"/>
    <w:rsid w:val="004968BA"/>
    <w:rsid w:val="004974E7"/>
    <w:rsid w:val="004A0401"/>
    <w:rsid w:val="004A0CF8"/>
    <w:rsid w:val="004A2346"/>
    <w:rsid w:val="004A2C40"/>
    <w:rsid w:val="004A32FF"/>
    <w:rsid w:val="004A37C4"/>
    <w:rsid w:val="004A3A19"/>
    <w:rsid w:val="004A4F55"/>
    <w:rsid w:val="004A5671"/>
    <w:rsid w:val="004A6387"/>
    <w:rsid w:val="004A6FC0"/>
    <w:rsid w:val="004B0949"/>
    <w:rsid w:val="004B16E6"/>
    <w:rsid w:val="004B2B59"/>
    <w:rsid w:val="004B49A9"/>
    <w:rsid w:val="004B5377"/>
    <w:rsid w:val="004B5ACD"/>
    <w:rsid w:val="004B5CB7"/>
    <w:rsid w:val="004B684A"/>
    <w:rsid w:val="004B708A"/>
    <w:rsid w:val="004B753E"/>
    <w:rsid w:val="004B7F02"/>
    <w:rsid w:val="004C18D8"/>
    <w:rsid w:val="004C4251"/>
    <w:rsid w:val="004C520C"/>
    <w:rsid w:val="004C55E8"/>
    <w:rsid w:val="004C580C"/>
    <w:rsid w:val="004C65E9"/>
    <w:rsid w:val="004C71F3"/>
    <w:rsid w:val="004C79D6"/>
    <w:rsid w:val="004C7F38"/>
    <w:rsid w:val="004D0526"/>
    <w:rsid w:val="004D212A"/>
    <w:rsid w:val="004D2CC4"/>
    <w:rsid w:val="004D48FC"/>
    <w:rsid w:val="004D4B93"/>
    <w:rsid w:val="004D4C11"/>
    <w:rsid w:val="004D634B"/>
    <w:rsid w:val="004E0304"/>
    <w:rsid w:val="004E1AC4"/>
    <w:rsid w:val="004E1D52"/>
    <w:rsid w:val="004E2B18"/>
    <w:rsid w:val="004E36D8"/>
    <w:rsid w:val="004E3B55"/>
    <w:rsid w:val="004E4085"/>
    <w:rsid w:val="004E47E6"/>
    <w:rsid w:val="004E4ACD"/>
    <w:rsid w:val="004E529A"/>
    <w:rsid w:val="004E6C6E"/>
    <w:rsid w:val="004E6DAA"/>
    <w:rsid w:val="004E78FB"/>
    <w:rsid w:val="004F07A9"/>
    <w:rsid w:val="004F133B"/>
    <w:rsid w:val="004F2977"/>
    <w:rsid w:val="004F2C4F"/>
    <w:rsid w:val="004F31EE"/>
    <w:rsid w:val="004F5884"/>
    <w:rsid w:val="004F722A"/>
    <w:rsid w:val="004F7E95"/>
    <w:rsid w:val="00500198"/>
    <w:rsid w:val="005005CD"/>
    <w:rsid w:val="005018CD"/>
    <w:rsid w:val="00502591"/>
    <w:rsid w:val="005032EC"/>
    <w:rsid w:val="005034B8"/>
    <w:rsid w:val="00504203"/>
    <w:rsid w:val="00505082"/>
    <w:rsid w:val="00505134"/>
    <w:rsid w:val="00510B46"/>
    <w:rsid w:val="00511EB6"/>
    <w:rsid w:val="0051461F"/>
    <w:rsid w:val="00514A34"/>
    <w:rsid w:val="005151E5"/>
    <w:rsid w:val="00520C3F"/>
    <w:rsid w:val="005215C6"/>
    <w:rsid w:val="005220B7"/>
    <w:rsid w:val="0052258A"/>
    <w:rsid w:val="005226B9"/>
    <w:rsid w:val="005231C9"/>
    <w:rsid w:val="00523BF1"/>
    <w:rsid w:val="005242B3"/>
    <w:rsid w:val="005242F6"/>
    <w:rsid w:val="0052447D"/>
    <w:rsid w:val="005259FF"/>
    <w:rsid w:val="00525CD4"/>
    <w:rsid w:val="0052668D"/>
    <w:rsid w:val="00527E0F"/>
    <w:rsid w:val="00527F5A"/>
    <w:rsid w:val="00530078"/>
    <w:rsid w:val="00530BCF"/>
    <w:rsid w:val="00534669"/>
    <w:rsid w:val="0053569A"/>
    <w:rsid w:val="005356D9"/>
    <w:rsid w:val="00535CF1"/>
    <w:rsid w:val="00536A64"/>
    <w:rsid w:val="00537056"/>
    <w:rsid w:val="0054088F"/>
    <w:rsid w:val="005415C2"/>
    <w:rsid w:val="00543036"/>
    <w:rsid w:val="00543D08"/>
    <w:rsid w:val="00544C1D"/>
    <w:rsid w:val="00544DF4"/>
    <w:rsid w:val="0054588A"/>
    <w:rsid w:val="00545CB7"/>
    <w:rsid w:val="005469C3"/>
    <w:rsid w:val="00546CE0"/>
    <w:rsid w:val="00547071"/>
    <w:rsid w:val="005471B0"/>
    <w:rsid w:val="00547649"/>
    <w:rsid w:val="00551697"/>
    <w:rsid w:val="00551A8B"/>
    <w:rsid w:val="00552237"/>
    <w:rsid w:val="005534B3"/>
    <w:rsid w:val="00553776"/>
    <w:rsid w:val="00554787"/>
    <w:rsid w:val="005603E3"/>
    <w:rsid w:val="00560E1C"/>
    <w:rsid w:val="00560E5B"/>
    <w:rsid w:val="00561673"/>
    <w:rsid w:val="00561E16"/>
    <w:rsid w:val="00562884"/>
    <w:rsid w:val="005640C1"/>
    <w:rsid w:val="00564196"/>
    <w:rsid w:val="0056457B"/>
    <w:rsid w:val="00564F30"/>
    <w:rsid w:val="00564FAC"/>
    <w:rsid w:val="00564FBE"/>
    <w:rsid w:val="005668F0"/>
    <w:rsid w:val="005669B7"/>
    <w:rsid w:val="0057035A"/>
    <w:rsid w:val="005703C5"/>
    <w:rsid w:val="00571807"/>
    <w:rsid w:val="00572BF3"/>
    <w:rsid w:val="00572C12"/>
    <w:rsid w:val="0057327F"/>
    <w:rsid w:val="005736BF"/>
    <w:rsid w:val="005737F5"/>
    <w:rsid w:val="00574475"/>
    <w:rsid w:val="00575867"/>
    <w:rsid w:val="00575A79"/>
    <w:rsid w:val="005775EA"/>
    <w:rsid w:val="00577C6B"/>
    <w:rsid w:val="00580314"/>
    <w:rsid w:val="00580E7D"/>
    <w:rsid w:val="0058137D"/>
    <w:rsid w:val="0058156E"/>
    <w:rsid w:val="005823BB"/>
    <w:rsid w:val="005835C2"/>
    <w:rsid w:val="0058401B"/>
    <w:rsid w:val="005843B2"/>
    <w:rsid w:val="0058555C"/>
    <w:rsid w:val="0058721D"/>
    <w:rsid w:val="0059020E"/>
    <w:rsid w:val="0059074F"/>
    <w:rsid w:val="0059296B"/>
    <w:rsid w:val="00592999"/>
    <w:rsid w:val="005935A5"/>
    <w:rsid w:val="005936CD"/>
    <w:rsid w:val="005948D5"/>
    <w:rsid w:val="00594D7A"/>
    <w:rsid w:val="005958A4"/>
    <w:rsid w:val="00595AFD"/>
    <w:rsid w:val="005965CA"/>
    <w:rsid w:val="00597B9A"/>
    <w:rsid w:val="005A1F52"/>
    <w:rsid w:val="005A263D"/>
    <w:rsid w:val="005A4E83"/>
    <w:rsid w:val="005A5732"/>
    <w:rsid w:val="005A628D"/>
    <w:rsid w:val="005A6290"/>
    <w:rsid w:val="005A65B2"/>
    <w:rsid w:val="005A6607"/>
    <w:rsid w:val="005B00D9"/>
    <w:rsid w:val="005B0349"/>
    <w:rsid w:val="005B0365"/>
    <w:rsid w:val="005B0C30"/>
    <w:rsid w:val="005B0C92"/>
    <w:rsid w:val="005B1F2E"/>
    <w:rsid w:val="005B42B9"/>
    <w:rsid w:val="005B5A11"/>
    <w:rsid w:val="005B607B"/>
    <w:rsid w:val="005B62D5"/>
    <w:rsid w:val="005B66D4"/>
    <w:rsid w:val="005B6B71"/>
    <w:rsid w:val="005B6F62"/>
    <w:rsid w:val="005B6FA8"/>
    <w:rsid w:val="005B7045"/>
    <w:rsid w:val="005C1AC2"/>
    <w:rsid w:val="005C256B"/>
    <w:rsid w:val="005C26FF"/>
    <w:rsid w:val="005C4F92"/>
    <w:rsid w:val="005C6108"/>
    <w:rsid w:val="005C61FC"/>
    <w:rsid w:val="005C645A"/>
    <w:rsid w:val="005C65DA"/>
    <w:rsid w:val="005C6856"/>
    <w:rsid w:val="005D0B7E"/>
    <w:rsid w:val="005D0BA3"/>
    <w:rsid w:val="005D0CD5"/>
    <w:rsid w:val="005D1493"/>
    <w:rsid w:val="005D2978"/>
    <w:rsid w:val="005D3DD6"/>
    <w:rsid w:val="005D6173"/>
    <w:rsid w:val="005D6BB1"/>
    <w:rsid w:val="005D7F66"/>
    <w:rsid w:val="005E0ECF"/>
    <w:rsid w:val="005E1652"/>
    <w:rsid w:val="005E45DA"/>
    <w:rsid w:val="005E585B"/>
    <w:rsid w:val="005E592C"/>
    <w:rsid w:val="005E5C34"/>
    <w:rsid w:val="005E6799"/>
    <w:rsid w:val="005F1EEB"/>
    <w:rsid w:val="005F29FA"/>
    <w:rsid w:val="005F32BA"/>
    <w:rsid w:val="005F3ED0"/>
    <w:rsid w:val="005F4102"/>
    <w:rsid w:val="005F56A3"/>
    <w:rsid w:val="005F5A2A"/>
    <w:rsid w:val="005F5A36"/>
    <w:rsid w:val="005F6262"/>
    <w:rsid w:val="005F7039"/>
    <w:rsid w:val="0060010E"/>
    <w:rsid w:val="00601159"/>
    <w:rsid w:val="00601C46"/>
    <w:rsid w:val="0060236F"/>
    <w:rsid w:val="006030E1"/>
    <w:rsid w:val="006047C9"/>
    <w:rsid w:val="00604CEC"/>
    <w:rsid w:val="00604EA3"/>
    <w:rsid w:val="0060583C"/>
    <w:rsid w:val="00605F74"/>
    <w:rsid w:val="00606953"/>
    <w:rsid w:val="00607518"/>
    <w:rsid w:val="006105C5"/>
    <w:rsid w:val="006109C6"/>
    <w:rsid w:val="00611006"/>
    <w:rsid w:val="00611229"/>
    <w:rsid w:val="006136BB"/>
    <w:rsid w:val="00613AE0"/>
    <w:rsid w:val="00614DF6"/>
    <w:rsid w:val="0061528E"/>
    <w:rsid w:val="00615F6E"/>
    <w:rsid w:val="00617E38"/>
    <w:rsid w:val="0062093D"/>
    <w:rsid w:val="00620949"/>
    <w:rsid w:val="00622339"/>
    <w:rsid w:val="00623905"/>
    <w:rsid w:val="00623C14"/>
    <w:rsid w:val="00624B56"/>
    <w:rsid w:val="00624B85"/>
    <w:rsid w:val="00624FB0"/>
    <w:rsid w:val="0062694C"/>
    <w:rsid w:val="00627B28"/>
    <w:rsid w:val="0063032B"/>
    <w:rsid w:val="00631056"/>
    <w:rsid w:val="006312C7"/>
    <w:rsid w:val="0063199A"/>
    <w:rsid w:val="00633BB4"/>
    <w:rsid w:val="00634D27"/>
    <w:rsid w:val="00634DD7"/>
    <w:rsid w:val="00635E24"/>
    <w:rsid w:val="00636F3A"/>
    <w:rsid w:val="00637BCD"/>
    <w:rsid w:val="00640E3F"/>
    <w:rsid w:val="0064117E"/>
    <w:rsid w:val="006426E2"/>
    <w:rsid w:val="006432D9"/>
    <w:rsid w:val="00643C5D"/>
    <w:rsid w:val="0064467A"/>
    <w:rsid w:val="00645389"/>
    <w:rsid w:val="00645632"/>
    <w:rsid w:val="0064659A"/>
    <w:rsid w:val="00646C01"/>
    <w:rsid w:val="0064712F"/>
    <w:rsid w:val="0064735F"/>
    <w:rsid w:val="00647BE9"/>
    <w:rsid w:val="00647D8B"/>
    <w:rsid w:val="00650ABB"/>
    <w:rsid w:val="00650F18"/>
    <w:rsid w:val="006518F2"/>
    <w:rsid w:val="00652BB1"/>
    <w:rsid w:val="00652E99"/>
    <w:rsid w:val="00653339"/>
    <w:rsid w:val="00653580"/>
    <w:rsid w:val="006538C0"/>
    <w:rsid w:val="00654150"/>
    <w:rsid w:val="00654D18"/>
    <w:rsid w:val="00656532"/>
    <w:rsid w:val="00661028"/>
    <w:rsid w:val="00661E2D"/>
    <w:rsid w:val="00662B48"/>
    <w:rsid w:val="00662BB6"/>
    <w:rsid w:val="00663947"/>
    <w:rsid w:val="006648B5"/>
    <w:rsid w:val="00664D8D"/>
    <w:rsid w:val="006656B5"/>
    <w:rsid w:val="006659BA"/>
    <w:rsid w:val="00665D15"/>
    <w:rsid w:val="00666F0C"/>
    <w:rsid w:val="00670461"/>
    <w:rsid w:val="00670752"/>
    <w:rsid w:val="006720F5"/>
    <w:rsid w:val="006732DB"/>
    <w:rsid w:val="006749ED"/>
    <w:rsid w:val="00674B53"/>
    <w:rsid w:val="00676254"/>
    <w:rsid w:val="00676E5A"/>
    <w:rsid w:val="00676E63"/>
    <w:rsid w:val="0068067B"/>
    <w:rsid w:val="0068371A"/>
    <w:rsid w:val="00684997"/>
    <w:rsid w:val="00684BAB"/>
    <w:rsid w:val="00685D02"/>
    <w:rsid w:val="00686DBC"/>
    <w:rsid w:val="00686F97"/>
    <w:rsid w:val="0068734A"/>
    <w:rsid w:val="00690403"/>
    <w:rsid w:val="00690CB7"/>
    <w:rsid w:val="00690EB4"/>
    <w:rsid w:val="00690EDB"/>
    <w:rsid w:val="00691394"/>
    <w:rsid w:val="006923FB"/>
    <w:rsid w:val="00692D03"/>
    <w:rsid w:val="00695590"/>
    <w:rsid w:val="006959DF"/>
    <w:rsid w:val="00696D3B"/>
    <w:rsid w:val="00696FD5"/>
    <w:rsid w:val="00697656"/>
    <w:rsid w:val="006A03E7"/>
    <w:rsid w:val="006A2EAA"/>
    <w:rsid w:val="006A44D8"/>
    <w:rsid w:val="006A4757"/>
    <w:rsid w:val="006A4F83"/>
    <w:rsid w:val="006A581D"/>
    <w:rsid w:val="006A584D"/>
    <w:rsid w:val="006A5A40"/>
    <w:rsid w:val="006A68F1"/>
    <w:rsid w:val="006A6A68"/>
    <w:rsid w:val="006A7C63"/>
    <w:rsid w:val="006B01AD"/>
    <w:rsid w:val="006B145F"/>
    <w:rsid w:val="006B2836"/>
    <w:rsid w:val="006B2D40"/>
    <w:rsid w:val="006B35C4"/>
    <w:rsid w:val="006B35DD"/>
    <w:rsid w:val="006B415F"/>
    <w:rsid w:val="006B567C"/>
    <w:rsid w:val="006B5C8D"/>
    <w:rsid w:val="006B5F44"/>
    <w:rsid w:val="006B62B3"/>
    <w:rsid w:val="006B6B5C"/>
    <w:rsid w:val="006B76AF"/>
    <w:rsid w:val="006B7919"/>
    <w:rsid w:val="006C01DE"/>
    <w:rsid w:val="006C0883"/>
    <w:rsid w:val="006C1500"/>
    <w:rsid w:val="006C1EB1"/>
    <w:rsid w:val="006C239E"/>
    <w:rsid w:val="006C25B7"/>
    <w:rsid w:val="006C2C03"/>
    <w:rsid w:val="006C433A"/>
    <w:rsid w:val="006C4790"/>
    <w:rsid w:val="006C48D7"/>
    <w:rsid w:val="006C6516"/>
    <w:rsid w:val="006D0F28"/>
    <w:rsid w:val="006D546C"/>
    <w:rsid w:val="006D6451"/>
    <w:rsid w:val="006D694B"/>
    <w:rsid w:val="006D7176"/>
    <w:rsid w:val="006D7569"/>
    <w:rsid w:val="006E06EC"/>
    <w:rsid w:val="006E0CA7"/>
    <w:rsid w:val="006E2723"/>
    <w:rsid w:val="006E2A4B"/>
    <w:rsid w:val="006E474F"/>
    <w:rsid w:val="006E685C"/>
    <w:rsid w:val="006E6F0D"/>
    <w:rsid w:val="006E7903"/>
    <w:rsid w:val="006E7B26"/>
    <w:rsid w:val="006F0508"/>
    <w:rsid w:val="006F0BE7"/>
    <w:rsid w:val="006F0F6A"/>
    <w:rsid w:val="006F1128"/>
    <w:rsid w:val="006F14F9"/>
    <w:rsid w:val="006F19C1"/>
    <w:rsid w:val="006F20DE"/>
    <w:rsid w:val="006F2B34"/>
    <w:rsid w:val="006F31BD"/>
    <w:rsid w:val="006F4D1A"/>
    <w:rsid w:val="006F534D"/>
    <w:rsid w:val="006F5C50"/>
    <w:rsid w:val="006F5FB2"/>
    <w:rsid w:val="006F630F"/>
    <w:rsid w:val="00701251"/>
    <w:rsid w:val="00701380"/>
    <w:rsid w:val="00702E32"/>
    <w:rsid w:val="00703018"/>
    <w:rsid w:val="00706454"/>
    <w:rsid w:val="0070790B"/>
    <w:rsid w:val="0070791A"/>
    <w:rsid w:val="00711267"/>
    <w:rsid w:val="00711778"/>
    <w:rsid w:val="007138AB"/>
    <w:rsid w:val="00713BC8"/>
    <w:rsid w:val="00714B4D"/>
    <w:rsid w:val="007152AA"/>
    <w:rsid w:val="0071542F"/>
    <w:rsid w:val="007169D6"/>
    <w:rsid w:val="00716C41"/>
    <w:rsid w:val="00717934"/>
    <w:rsid w:val="00720238"/>
    <w:rsid w:val="00723130"/>
    <w:rsid w:val="00723364"/>
    <w:rsid w:val="007237B4"/>
    <w:rsid w:val="00724A6A"/>
    <w:rsid w:val="0072500C"/>
    <w:rsid w:val="007253A7"/>
    <w:rsid w:val="0072689C"/>
    <w:rsid w:val="00726AFE"/>
    <w:rsid w:val="00727177"/>
    <w:rsid w:val="00730B23"/>
    <w:rsid w:val="00730D23"/>
    <w:rsid w:val="00730D8B"/>
    <w:rsid w:val="00731DD5"/>
    <w:rsid w:val="007336F0"/>
    <w:rsid w:val="00733EDF"/>
    <w:rsid w:val="00734745"/>
    <w:rsid w:val="00735C7E"/>
    <w:rsid w:val="0073678A"/>
    <w:rsid w:val="00736A66"/>
    <w:rsid w:val="00737E88"/>
    <w:rsid w:val="00740776"/>
    <w:rsid w:val="00740847"/>
    <w:rsid w:val="00740980"/>
    <w:rsid w:val="00741931"/>
    <w:rsid w:val="00743344"/>
    <w:rsid w:val="00743AE8"/>
    <w:rsid w:val="00743CA2"/>
    <w:rsid w:val="00743DE2"/>
    <w:rsid w:val="007520B2"/>
    <w:rsid w:val="00753029"/>
    <w:rsid w:val="00753B97"/>
    <w:rsid w:val="00754A82"/>
    <w:rsid w:val="0075554D"/>
    <w:rsid w:val="00757079"/>
    <w:rsid w:val="007570B6"/>
    <w:rsid w:val="007577D1"/>
    <w:rsid w:val="0075784D"/>
    <w:rsid w:val="00760304"/>
    <w:rsid w:val="00761D5F"/>
    <w:rsid w:val="00761FE8"/>
    <w:rsid w:val="007627D2"/>
    <w:rsid w:val="00764031"/>
    <w:rsid w:val="0076413F"/>
    <w:rsid w:val="00764BCA"/>
    <w:rsid w:val="0076573A"/>
    <w:rsid w:val="00765BA0"/>
    <w:rsid w:val="007676BF"/>
    <w:rsid w:val="0077057F"/>
    <w:rsid w:val="00770A01"/>
    <w:rsid w:val="00771068"/>
    <w:rsid w:val="00771CF1"/>
    <w:rsid w:val="00772153"/>
    <w:rsid w:val="007725BA"/>
    <w:rsid w:val="00777EE1"/>
    <w:rsid w:val="00780348"/>
    <w:rsid w:val="0078174C"/>
    <w:rsid w:val="0078175F"/>
    <w:rsid w:val="00782337"/>
    <w:rsid w:val="00782942"/>
    <w:rsid w:val="0078323E"/>
    <w:rsid w:val="0078378D"/>
    <w:rsid w:val="00784B9C"/>
    <w:rsid w:val="007850D9"/>
    <w:rsid w:val="007851A0"/>
    <w:rsid w:val="0078641E"/>
    <w:rsid w:val="00787950"/>
    <w:rsid w:val="00790333"/>
    <w:rsid w:val="0079130B"/>
    <w:rsid w:val="007926B0"/>
    <w:rsid w:val="007932C1"/>
    <w:rsid w:val="00793D53"/>
    <w:rsid w:val="0079418C"/>
    <w:rsid w:val="00794376"/>
    <w:rsid w:val="00795430"/>
    <w:rsid w:val="007A0DC0"/>
    <w:rsid w:val="007A33A1"/>
    <w:rsid w:val="007A3990"/>
    <w:rsid w:val="007A3F14"/>
    <w:rsid w:val="007A3F1A"/>
    <w:rsid w:val="007A7881"/>
    <w:rsid w:val="007B1BB0"/>
    <w:rsid w:val="007B271F"/>
    <w:rsid w:val="007B2AB3"/>
    <w:rsid w:val="007B3992"/>
    <w:rsid w:val="007B46CC"/>
    <w:rsid w:val="007B4802"/>
    <w:rsid w:val="007B501C"/>
    <w:rsid w:val="007B643E"/>
    <w:rsid w:val="007B69CD"/>
    <w:rsid w:val="007C00EA"/>
    <w:rsid w:val="007C011D"/>
    <w:rsid w:val="007C03DF"/>
    <w:rsid w:val="007C085D"/>
    <w:rsid w:val="007C1FBC"/>
    <w:rsid w:val="007C33BA"/>
    <w:rsid w:val="007C395E"/>
    <w:rsid w:val="007C3B30"/>
    <w:rsid w:val="007C41E1"/>
    <w:rsid w:val="007C4A80"/>
    <w:rsid w:val="007C4AC3"/>
    <w:rsid w:val="007C6B45"/>
    <w:rsid w:val="007C7ADE"/>
    <w:rsid w:val="007D0A04"/>
    <w:rsid w:val="007D0C24"/>
    <w:rsid w:val="007D1163"/>
    <w:rsid w:val="007D1C9B"/>
    <w:rsid w:val="007D2B88"/>
    <w:rsid w:val="007D2E74"/>
    <w:rsid w:val="007D3676"/>
    <w:rsid w:val="007D3E63"/>
    <w:rsid w:val="007D4BAE"/>
    <w:rsid w:val="007D5E3A"/>
    <w:rsid w:val="007D642D"/>
    <w:rsid w:val="007D6C62"/>
    <w:rsid w:val="007D7671"/>
    <w:rsid w:val="007E0018"/>
    <w:rsid w:val="007E045A"/>
    <w:rsid w:val="007E09DA"/>
    <w:rsid w:val="007E1979"/>
    <w:rsid w:val="007E19EB"/>
    <w:rsid w:val="007E2456"/>
    <w:rsid w:val="007E4622"/>
    <w:rsid w:val="007E49D8"/>
    <w:rsid w:val="007E5904"/>
    <w:rsid w:val="007E6001"/>
    <w:rsid w:val="007E61C8"/>
    <w:rsid w:val="007F0AAD"/>
    <w:rsid w:val="007F0E49"/>
    <w:rsid w:val="007F1D16"/>
    <w:rsid w:val="007F1D4E"/>
    <w:rsid w:val="007F1FC1"/>
    <w:rsid w:val="007F3D08"/>
    <w:rsid w:val="007F548A"/>
    <w:rsid w:val="007F6A1D"/>
    <w:rsid w:val="00800540"/>
    <w:rsid w:val="0080114F"/>
    <w:rsid w:val="00803355"/>
    <w:rsid w:val="008037C8"/>
    <w:rsid w:val="008039B2"/>
    <w:rsid w:val="00804C57"/>
    <w:rsid w:val="00805175"/>
    <w:rsid w:val="0080581B"/>
    <w:rsid w:val="00806331"/>
    <w:rsid w:val="00810340"/>
    <w:rsid w:val="00810C6D"/>
    <w:rsid w:val="00810D11"/>
    <w:rsid w:val="008111C3"/>
    <w:rsid w:val="0081441D"/>
    <w:rsid w:val="00814867"/>
    <w:rsid w:val="00816E5A"/>
    <w:rsid w:val="0081787D"/>
    <w:rsid w:val="00817ED1"/>
    <w:rsid w:val="00817F96"/>
    <w:rsid w:val="008224FD"/>
    <w:rsid w:val="00822583"/>
    <w:rsid w:val="00823FF5"/>
    <w:rsid w:val="008249EE"/>
    <w:rsid w:val="00825E51"/>
    <w:rsid w:val="00827400"/>
    <w:rsid w:val="00827856"/>
    <w:rsid w:val="008301F3"/>
    <w:rsid w:val="008306A6"/>
    <w:rsid w:val="00831175"/>
    <w:rsid w:val="00831D1D"/>
    <w:rsid w:val="008329A5"/>
    <w:rsid w:val="0083381A"/>
    <w:rsid w:val="00836785"/>
    <w:rsid w:val="00836A2E"/>
    <w:rsid w:val="00837414"/>
    <w:rsid w:val="0083769C"/>
    <w:rsid w:val="00840216"/>
    <w:rsid w:val="00840E00"/>
    <w:rsid w:val="00840FEE"/>
    <w:rsid w:val="0084153B"/>
    <w:rsid w:val="00841C1E"/>
    <w:rsid w:val="008420C8"/>
    <w:rsid w:val="0084247C"/>
    <w:rsid w:val="008436CA"/>
    <w:rsid w:val="0084402F"/>
    <w:rsid w:val="00844632"/>
    <w:rsid w:val="00844E31"/>
    <w:rsid w:val="00845011"/>
    <w:rsid w:val="008456FA"/>
    <w:rsid w:val="00845713"/>
    <w:rsid w:val="00845832"/>
    <w:rsid w:val="00845897"/>
    <w:rsid w:val="00846C3B"/>
    <w:rsid w:val="00847265"/>
    <w:rsid w:val="008473DB"/>
    <w:rsid w:val="00847EFA"/>
    <w:rsid w:val="00852767"/>
    <w:rsid w:val="0085300D"/>
    <w:rsid w:val="00853502"/>
    <w:rsid w:val="0085368E"/>
    <w:rsid w:val="00853A6B"/>
    <w:rsid w:val="00854B5C"/>
    <w:rsid w:val="00854EE6"/>
    <w:rsid w:val="00855A9D"/>
    <w:rsid w:val="0085775F"/>
    <w:rsid w:val="00857829"/>
    <w:rsid w:val="00857DC1"/>
    <w:rsid w:val="00860150"/>
    <w:rsid w:val="0086071F"/>
    <w:rsid w:val="0086083E"/>
    <w:rsid w:val="00860A38"/>
    <w:rsid w:val="0086151D"/>
    <w:rsid w:val="00861E1D"/>
    <w:rsid w:val="00861FC8"/>
    <w:rsid w:val="008623B4"/>
    <w:rsid w:val="00862B91"/>
    <w:rsid w:val="00863B4A"/>
    <w:rsid w:val="00863E23"/>
    <w:rsid w:val="00864589"/>
    <w:rsid w:val="008648BA"/>
    <w:rsid w:val="008661F3"/>
    <w:rsid w:val="00866BE1"/>
    <w:rsid w:val="008671FE"/>
    <w:rsid w:val="008675DC"/>
    <w:rsid w:val="00872343"/>
    <w:rsid w:val="00873D87"/>
    <w:rsid w:val="00874ED2"/>
    <w:rsid w:val="00875E3C"/>
    <w:rsid w:val="00876767"/>
    <w:rsid w:val="0087679E"/>
    <w:rsid w:val="00876F83"/>
    <w:rsid w:val="008777A8"/>
    <w:rsid w:val="00880048"/>
    <w:rsid w:val="00880E07"/>
    <w:rsid w:val="00882373"/>
    <w:rsid w:val="00882635"/>
    <w:rsid w:val="00884168"/>
    <w:rsid w:val="008848C0"/>
    <w:rsid w:val="00884B37"/>
    <w:rsid w:val="008859F3"/>
    <w:rsid w:val="00886E02"/>
    <w:rsid w:val="00891949"/>
    <w:rsid w:val="00891C60"/>
    <w:rsid w:val="0089231E"/>
    <w:rsid w:val="00893FF9"/>
    <w:rsid w:val="00894C6F"/>
    <w:rsid w:val="008964FC"/>
    <w:rsid w:val="00896C17"/>
    <w:rsid w:val="008A02C2"/>
    <w:rsid w:val="008A1FDB"/>
    <w:rsid w:val="008A3859"/>
    <w:rsid w:val="008A5657"/>
    <w:rsid w:val="008A5670"/>
    <w:rsid w:val="008A6545"/>
    <w:rsid w:val="008A6D80"/>
    <w:rsid w:val="008B252E"/>
    <w:rsid w:val="008B2EFD"/>
    <w:rsid w:val="008B3D6C"/>
    <w:rsid w:val="008B3DBE"/>
    <w:rsid w:val="008B4B1E"/>
    <w:rsid w:val="008B620C"/>
    <w:rsid w:val="008B65FF"/>
    <w:rsid w:val="008B6B8F"/>
    <w:rsid w:val="008C1032"/>
    <w:rsid w:val="008C1225"/>
    <w:rsid w:val="008C147E"/>
    <w:rsid w:val="008C1D46"/>
    <w:rsid w:val="008C1E27"/>
    <w:rsid w:val="008C393A"/>
    <w:rsid w:val="008C411A"/>
    <w:rsid w:val="008C43E6"/>
    <w:rsid w:val="008C518A"/>
    <w:rsid w:val="008C5253"/>
    <w:rsid w:val="008C5333"/>
    <w:rsid w:val="008C55D4"/>
    <w:rsid w:val="008C6472"/>
    <w:rsid w:val="008C7ACF"/>
    <w:rsid w:val="008D10D0"/>
    <w:rsid w:val="008D1209"/>
    <w:rsid w:val="008D1D47"/>
    <w:rsid w:val="008D2483"/>
    <w:rsid w:val="008D3234"/>
    <w:rsid w:val="008D36ED"/>
    <w:rsid w:val="008D3A7B"/>
    <w:rsid w:val="008D3E81"/>
    <w:rsid w:val="008D520F"/>
    <w:rsid w:val="008D5275"/>
    <w:rsid w:val="008D57BB"/>
    <w:rsid w:val="008D6517"/>
    <w:rsid w:val="008D68B2"/>
    <w:rsid w:val="008D6B1E"/>
    <w:rsid w:val="008D7041"/>
    <w:rsid w:val="008E0579"/>
    <w:rsid w:val="008E0FBD"/>
    <w:rsid w:val="008E10DB"/>
    <w:rsid w:val="008E2A13"/>
    <w:rsid w:val="008E3788"/>
    <w:rsid w:val="008E3BF8"/>
    <w:rsid w:val="008E4991"/>
    <w:rsid w:val="008E5696"/>
    <w:rsid w:val="008F0246"/>
    <w:rsid w:val="008F384D"/>
    <w:rsid w:val="008F3C75"/>
    <w:rsid w:val="008F45F5"/>
    <w:rsid w:val="008F48EF"/>
    <w:rsid w:val="008F6210"/>
    <w:rsid w:val="008F64BA"/>
    <w:rsid w:val="008F68AD"/>
    <w:rsid w:val="008F6C26"/>
    <w:rsid w:val="009013C4"/>
    <w:rsid w:val="009015D8"/>
    <w:rsid w:val="00902E7B"/>
    <w:rsid w:val="00902FDF"/>
    <w:rsid w:val="009049D7"/>
    <w:rsid w:val="0090523F"/>
    <w:rsid w:val="00905731"/>
    <w:rsid w:val="00905EE1"/>
    <w:rsid w:val="00907054"/>
    <w:rsid w:val="00907749"/>
    <w:rsid w:val="00911014"/>
    <w:rsid w:val="00911EC4"/>
    <w:rsid w:val="00913E6F"/>
    <w:rsid w:val="00914C11"/>
    <w:rsid w:val="00914FE4"/>
    <w:rsid w:val="00915268"/>
    <w:rsid w:val="00915B84"/>
    <w:rsid w:val="00916A0E"/>
    <w:rsid w:val="009174EC"/>
    <w:rsid w:val="00917BA7"/>
    <w:rsid w:val="009201FA"/>
    <w:rsid w:val="00920A59"/>
    <w:rsid w:val="00921B57"/>
    <w:rsid w:val="00921C14"/>
    <w:rsid w:val="009249B9"/>
    <w:rsid w:val="00925A13"/>
    <w:rsid w:val="00925F55"/>
    <w:rsid w:val="009267C5"/>
    <w:rsid w:val="00927012"/>
    <w:rsid w:val="00927074"/>
    <w:rsid w:val="009271D7"/>
    <w:rsid w:val="00930AD5"/>
    <w:rsid w:val="009325A4"/>
    <w:rsid w:val="009327D0"/>
    <w:rsid w:val="0093321B"/>
    <w:rsid w:val="009366BE"/>
    <w:rsid w:val="00936C1D"/>
    <w:rsid w:val="00936CDB"/>
    <w:rsid w:val="0094086C"/>
    <w:rsid w:val="009417E2"/>
    <w:rsid w:val="00942F43"/>
    <w:rsid w:val="00943602"/>
    <w:rsid w:val="00945CC0"/>
    <w:rsid w:val="0094622C"/>
    <w:rsid w:val="009462D8"/>
    <w:rsid w:val="00946BA2"/>
    <w:rsid w:val="009472A2"/>
    <w:rsid w:val="00950585"/>
    <w:rsid w:val="00951073"/>
    <w:rsid w:val="009525B7"/>
    <w:rsid w:val="00952EFA"/>
    <w:rsid w:val="009530E6"/>
    <w:rsid w:val="0095379D"/>
    <w:rsid w:val="009552F1"/>
    <w:rsid w:val="0095549E"/>
    <w:rsid w:val="00955D37"/>
    <w:rsid w:val="0095781A"/>
    <w:rsid w:val="0096023A"/>
    <w:rsid w:val="00960A75"/>
    <w:rsid w:val="00960C6D"/>
    <w:rsid w:val="00962B25"/>
    <w:rsid w:val="00965754"/>
    <w:rsid w:val="00966530"/>
    <w:rsid w:val="00966760"/>
    <w:rsid w:val="009672E9"/>
    <w:rsid w:val="00971E84"/>
    <w:rsid w:val="00972495"/>
    <w:rsid w:val="0097315D"/>
    <w:rsid w:val="009740C6"/>
    <w:rsid w:val="009746A3"/>
    <w:rsid w:val="009755FA"/>
    <w:rsid w:val="009756AD"/>
    <w:rsid w:val="009757AF"/>
    <w:rsid w:val="0097593C"/>
    <w:rsid w:val="00976642"/>
    <w:rsid w:val="0097690A"/>
    <w:rsid w:val="00976F3F"/>
    <w:rsid w:val="00977CD0"/>
    <w:rsid w:val="00981CE8"/>
    <w:rsid w:val="00983753"/>
    <w:rsid w:val="00984DB1"/>
    <w:rsid w:val="00985CAC"/>
    <w:rsid w:val="00985E66"/>
    <w:rsid w:val="00986518"/>
    <w:rsid w:val="00987DC0"/>
    <w:rsid w:val="00992485"/>
    <w:rsid w:val="00992641"/>
    <w:rsid w:val="0099300A"/>
    <w:rsid w:val="00994CFF"/>
    <w:rsid w:val="00995EEC"/>
    <w:rsid w:val="00996A04"/>
    <w:rsid w:val="009976CB"/>
    <w:rsid w:val="009A00F0"/>
    <w:rsid w:val="009A02EC"/>
    <w:rsid w:val="009A0585"/>
    <w:rsid w:val="009A18A4"/>
    <w:rsid w:val="009A19F5"/>
    <w:rsid w:val="009A2E6C"/>
    <w:rsid w:val="009A3387"/>
    <w:rsid w:val="009A3F16"/>
    <w:rsid w:val="009A4C78"/>
    <w:rsid w:val="009A5D7D"/>
    <w:rsid w:val="009A613B"/>
    <w:rsid w:val="009A6174"/>
    <w:rsid w:val="009A66E3"/>
    <w:rsid w:val="009A66FB"/>
    <w:rsid w:val="009A6F6F"/>
    <w:rsid w:val="009A7477"/>
    <w:rsid w:val="009B0FEB"/>
    <w:rsid w:val="009B2DC7"/>
    <w:rsid w:val="009B43DB"/>
    <w:rsid w:val="009B4591"/>
    <w:rsid w:val="009B5221"/>
    <w:rsid w:val="009B5556"/>
    <w:rsid w:val="009B6CB9"/>
    <w:rsid w:val="009B6DC9"/>
    <w:rsid w:val="009B76BC"/>
    <w:rsid w:val="009B7750"/>
    <w:rsid w:val="009C0FD5"/>
    <w:rsid w:val="009C2827"/>
    <w:rsid w:val="009C29F8"/>
    <w:rsid w:val="009C2ED2"/>
    <w:rsid w:val="009C35B2"/>
    <w:rsid w:val="009C4102"/>
    <w:rsid w:val="009C4E73"/>
    <w:rsid w:val="009C517D"/>
    <w:rsid w:val="009C5612"/>
    <w:rsid w:val="009C7CED"/>
    <w:rsid w:val="009D0AFA"/>
    <w:rsid w:val="009D21E0"/>
    <w:rsid w:val="009D30FA"/>
    <w:rsid w:val="009D31FE"/>
    <w:rsid w:val="009D34E1"/>
    <w:rsid w:val="009D41D9"/>
    <w:rsid w:val="009D5826"/>
    <w:rsid w:val="009D5A10"/>
    <w:rsid w:val="009D5AF4"/>
    <w:rsid w:val="009D6162"/>
    <w:rsid w:val="009D6231"/>
    <w:rsid w:val="009E07E5"/>
    <w:rsid w:val="009E298B"/>
    <w:rsid w:val="009E3972"/>
    <w:rsid w:val="009E4091"/>
    <w:rsid w:val="009E4568"/>
    <w:rsid w:val="009E45EC"/>
    <w:rsid w:val="009E5605"/>
    <w:rsid w:val="009E774C"/>
    <w:rsid w:val="009F0EF4"/>
    <w:rsid w:val="009F1E1B"/>
    <w:rsid w:val="009F2A1C"/>
    <w:rsid w:val="009F2B4F"/>
    <w:rsid w:val="009F350A"/>
    <w:rsid w:val="009F3513"/>
    <w:rsid w:val="009F391F"/>
    <w:rsid w:val="009F4A77"/>
    <w:rsid w:val="009F50C5"/>
    <w:rsid w:val="009F5A9C"/>
    <w:rsid w:val="009F6619"/>
    <w:rsid w:val="009F7973"/>
    <w:rsid w:val="00A00C1C"/>
    <w:rsid w:val="00A00E66"/>
    <w:rsid w:val="00A01B9D"/>
    <w:rsid w:val="00A03A3E"/>
    <w:rsid w:val="00A050D0"/>
    <w:rsid w:val="00A0565D"/>
    <w:rsid w:val="00A05D57"/>
    <w:rsid w:val="00A06F3D"/>
    <w:rsid w:val="00A070D3"/>
    <w:rsid w:val="00A101BE"/>
    <w:rsid w:val="00A10F9F"/>
    <w:rsid w:val="00A11378"/>
    <w:rsid w:val="00A12880"/>
    <w:rsid w:val="00A12B48"/>
    <w:rsid w:val="00A15524"/>
    <w:rsid w:val="00A15754"/>
    <w:rsid w:val="00A1753F"/>
    <w:rsid w:val="00A1775D"/>
    <w:rsid w:val="00A206C1"/>
    <w:rsid w:val="00A20DA4"/>
    <w:rsid w:val="00A22F0F"/>
    <w:rsid w:val="00A23A15"/>
    <w:rsid w:val="00A2411C"/>
    <w:rsid w:val="00A2437B"/>
    <w:rsid w:val="00A2451E"/>
    <w:rsid w:val="00A25038"/>
    <w:rsid w:val="00A250D2"/>
    <w:rsid w:val="00A25B2A"/>
    <w:rsid w:val="00A2714B"/>
    <w:rsid w:val="00A31EE8"/>
    <w:rsid w:val="00A324F7"/>
    <w:rsid w:val="00A33504"/>
    <w:rsid w:val="00A33527"/>
    <w:rsid w:val="00A366A4"/>
    <w:rsid w:val="00A36FBC"/>
    <w:rsid w:val="00A37AAF"/>
    <w:rsid w:val="00A37D6F"/>
    <w:rsid w:val="00A37E63"/>
    <w:rsid w:val="00A4103E"/>
    <w:rsid w:val="00A41809"/>
    <w:rsid w:val="00A4291C"/>
    <w:rsid w:val="00A42FDE"/>
    <w:rsid w:val="00A4306A"/>
    <w:rsid w:val="00A4372B"/>
    <w:rsid w:val="00A44502"/>
    <w:rsid w:val="00A44FC4"/>
    <w:rsid w:val="00A4619E"/>
    <w:rsid w:val="00A46C85"/>
    <w:rsid w:val="00A50853"/>
    <w:rsid w:val="00A50A24"/>
    <w:rsid w:val="00A50E15"/>
    <w:rsid w:val="00A50E19"/>
    <w:rsid w:val="00A5188F"/>
    <w:rsid w:val="00A51E3D"/>
    <w:rsid w:val="00A541E0"/>
    <w:rsid w:val="00A5536A"/>
    <w:rsid w:val="00A5605F"/>
    <w:rsid w:val="00A5775B"/>
    <w:rsid w:val="00A5778C"/>
    <w:rsid w:val="00A57EAB"/>
    <w:rsid w:val="00A608BD"/>
    <w:rsid w:val="00A61597"/>
    <w:rsid w:val="00A61922"/>
    <w:rsid w:val="00A62354"/>
    <w:rsid w:val="00A649DF"/>
    <w:rsid w:val="00A65498"/>
    <w:rsid w:val="00A66BCD"/>
    <w:rsid w:val="00A6737D"/>
    <w:rsid w:val="00A73003"/>
    <w:rsid w:val="00A73102"/>
    <w:rsid w:val="00A73F5F"/>
    <w:rsid w:val="00A74038"/>
    <w:rsid w:val="00A74608"/>
    <w:rsid w:val="00A74A1C"/>
    <w:rsid w:val="00A754FC"/>
    <w:rsid w:val="00A75D48"/>
    <w:rsid w:val="00A76F8F"/>
    <w:rsid w:val="00A773B1"/>
    <w:rsid w:val="00A80A92"/>
    <w:rsid w:val="00A81341"/>
    <w:rsid w:val="00A813BF"/>
    <w:rsid w:val="00A81A6F"/>
    <w:rsid w:val="00A81DD7"/>
    <w:rsid w:val="00A8235A"/>
    <w:rsid w:val="00A8462E"/>
    <w:rsid w:val="00A84923"/>
    <w:rsid w:val="00A8539D"/>
    <w:rsid w:val="00A85C62"/>
    <w:rsid w:val="00A866B5"/>
    <w:rsid w:val="00A86740"/>
    <w:rsid w:val="00A86BAE"/>
    <w:rsid w:val="00A87323"/>
    <w:rsid w:val="00A9069B"/>
    <w:rsid w:val="00A90796"/>
    <w:rsid w:val="00A907F5"/>
    <w:rsid w:val="00A90C5B"/>
    <w:rsid w:val="00A912FF"/>
    <w:rsid w:val="00A91E04"/>
    <w:rsid w:val="00A926BF"/>
    <w:rsid w:val="00A92B77"/>
    <w:rsid w:val="00A92C5A"/>
    <w:rsid w:val="00A92F0B"/>
    <w:rsid w:val="00A93377"/>
    <w:rsid w:val="00A93E7C"/>
    <w:rsid w:val="00A94291"/>
    <w:rsid w:val="00A94B1E"/>
    <w:rsid w:val="00A95DDF"/>
    <w:rsid w:val="00A96868"/>
    <w:rsid w:val="00A979A1"/>
    <w:rsid w:val="00AA0366"/>
    <w:rsid w:val="00AA036C"/>
    <w:rsid w:val="00AA1D13"/>
    <w:rsid w:val="00AA2AD6"/>
    <w:rsid w:val="00AA4447"/>
    <w:rsid w:val="00AA5633"/>
    <w:rsid w:val="00AA603C"/>
    <w:rsid w:val="00AA70E1"/>
    <w:rsid w:val="00AA756A"/>
    <w:rsid w:val="00AB0542"/>
    <w:rsid w:val="00AB2645"/>
    <w:rsid w:val="00AB50EC"/>
    <w:rsid w:val="00AB63B4"/>
    <w:rsid w:val="00AB66FC"/>
    <w:rsid w:val="00AB6C43"/>
    <w:rsid w:val="00AB778D"/>
    <w:rsid w:val="00AC0A0E"/>
    <w:rsid w:val="00AC105A"/>
    <w:rsid w:val="00AC1604"/>
    <w:rsid w:val="00AC1FE3"/>
    <w:rsid w:val="00AC2F62"/>
    <w:rsid w:val="00AC3357"/>
    <w:rsid w:val="00AC372B"/>
    <w:rsid w:val="00AC4139"/>
    <w:rsid w:val="00AC544B"/>
    <w:rsid w:val="00AC546F"/>
    <w:rsid w:val="00AC5585"/>
    <w:rsid w:val="00AC64F3"/>
    <w:rsid w:val="00AC68C4"/>
    <w:rsid w:val="00AC6A1D"/>
    <w:rsid w:val="00AC7D96"/>
    <w:rsid w:val="00AD0B3B"/>
    <w:rsid w:val="00AD1671"/>
    <w:rsid w:val="00AD1DDE"/>
    <w:rsid w:val="00AD3F28"/>
    <w:rsid w:val="00AD4ADF"/>
    <w:rsid w:val="00AD5540"/>
    <w:rsid w:val="00AD7402"/>
    <w:rsid w:val="00AE0420"/>
    <w:rsid w:val="00AE0ACF"/>
    <w:rsid w:val="00AE0D70"/>
    <w:rsid w:val="00AE1157"/>
    <w:rsid w:val="00AE1EC7"/>
    <w:rsid w:val="00AE4C2C"/>
    <w:rsid w:val="00AE4D46"/>
    <w:rsid w:val="00AE580E"/>
    <w:rsid w:val="00AE6944"/>
    <w:rsid w:val="00AE710D"/>
    <w:rsid w:val="00AF00B9"/>
    <w:rsid w:val="00AF09C5"/>
    <w:rsid w:val="00AF2E32"/>
    <w:rsid w:val="00AF3067"/>
    <w:rsid w:val="00AF30FE"/>
    <w:rsid w:val="00AF3491"/>
    <w:rsid w:val="00AF3C57"/>
    <w:rsid w:val="00AF525A"/>
    <w:rsid w:val="00AF6C85"/>
    <w:rsid w:val="00B0001C"/>
    <w:rsid w:val="00B013D0"/>
    <w:rsid w:val="00B020A2"/>
    <w:rsid w:val="00B02DC9"/>
    <w:rsid w:val="00B0449F"/>
    <w:rsid w:val="00B044C1"/>
    <w:rsid w:val="00B046FB"/>
    <w:rsid w:val="00B04BAD"/>
    <w:rsid w:val="00B0568A"/>
    <w:rsid w:val="00B05FB6"/>
    <w:rsid w:val="00B06465"/>
    <w:rsid w:val="00B06A17"/>
    <w:rsid w:val="00B06BCF"/>
    <w:rsid w:val="00B06D81"/>
    <w:rsid w:val="00B077EB"/>
    <w:rsid w:val="00B079C1"/>
    <w:rsid w:val="00B10A53"/>
    <w:rsid w:val="00B12E39"/>
    <w:rsid w:val="00B13117"/>
    <w:rsid w:val="00B132FD"/>
    <w:rsid w:val="00B14629"/>
    <w:rsid w:val="00B1517B"/>
    <w:rsid w:val="00B15886"/>
    <w:rsid w:val="00B15CF2"/>
    <w:rsid w:val="00B166DC"/>
    <w:rsid w:val="00B17A95"/>
    <w:rsid w:val="00B21209"/>
    <w:rsid w:val="00B23D71"/>
    <w:rsid w:val="00B24D86"/>
    <w:rsid w:val="00B251B9"/>
    <w:rsid w:val="00B25489"/>
    <w:rsid w:val="00B25DFE"/>
    <w:rsid w:val="00B27A44"/>
    <w:rsid w:val="00B27CAB"/>
    <w:rsid w:val="00B30F23"/>
    <w:rsid w:val="00B317C7"/>
    <w:rsid w:val="00B32CEE"/>
    <w:rsid w:val="00B33AE4"/>
    <w:rsid w:val="00B34914"/>
    <w:rsid w:val="00B352A5"/>
    <w:rsid w:val="00B35795"/>
    <w:rsid w:val="00B3626B"/>
    <w:rsid w:val="00B370BB"/>
    <w:rsid w:val="00B37AB2"/>
    <w:rsid w:val="00B410B1"/>
    <w:rsid w:val="00B433D4"/>
    <w:rsid w:val="00B441A0"/>
    <w:rsid w:val="00B44789"/>
    <w:rsid w:val="00B45DB0"/>
    <w:rsid w:val="00B45F87"/>
    <w:rsid w:val="00B465A2"/>
    <w:rsid w:val="00B46D39"/>
    <w:rsid w:val="00B4742A"/>
    <w:rsid w:val="00B50D77"/>
    <w:rsid w:val="00B52155"/>
    <w:rsid w:val="00B52917"/>
    <w:rsid w:val="00B52D1D"/>
    <w:rsid w:val="00B537E9"/>
    <w:rsid w:val="00B552A7"/>
    <w:rsid w:val="00B5546A"/>
    <w:rsid w:val="00B55639"/>
    <w:rsid w:val="00B559E0"/>
    <w:rsid w:val="00B56BCF"/>
    <w:rsid w:val="00B56C50"/>
    <w:rsid w:val="00B56FFB"/>
    <w:rsid w:val="00B57EC8"/>
    <w:rsid w:val="00B57ECB"/>
    <w:rsid w:val="00B57F6B"/>
    <w:rsid w:val="00B60DE6"/>
    <w:rsid w:val="00B619CE"/>
    <w:rsid w:val="00B61C2D"/>
    <w:rsid w:val="00B61FAE"/>
    <w:rsid w:val="00B621BE"/>
    <w:rsid w:val="00B64F33"/>
    <w:rsid w:val="00B65812"/>
    <w:rsid w:val="00B66169"/>
    <w:rsid w:val="00B6645E"/>
    <w:rsid w:val="00B70210"/>
    <w:rsid w:val="00B71638"/>
    <w:rsid w:val="00B71654"/>
    <w:rsid w:val="00B71FF6"/>
    <w:rsid w:val="00B730A0"/>
    <w:rsid w:val="00B74D5D"/>
    <w:rsid w:val="00B75D12"/>
    <w:rsid w:val="00B76044"/>
    <w:rsid w:val="00B760FE"/>
    <w:rsid w:val="00B76366"/>
    <w:rsid w:val="00B76898"/>
    <w:rsid w:val="00B77ECB"/>
    <w:rsid w:val="00B80253"/>
    <w:rsid w:val="00B80EE1"/>
    <w:rsid w:val="00B8101C"/>
    <w:rsid w:val="00B810FA"/>
    <w:rsid w:val="00B81236"/>
    <w:rsid w:val="00B822A9"/>
    <w:rsid w:val="00B822D2"/>
    <w:rsid w:val="00B82AAB"/>
    <w:rsid w:val="00B82B7A"/>
    <w:rsid w:val="00B831AF"/>
    <w:rsid w:val="00B83714"/>
    <w:rsid w:val="00B8483C"/>
    <w:rsid w:val="00B849E1"/>
    <w:rsid w:val="00B84BD3"/>
    <w:rsid w:val="00B850AE"/>
    <w:rsid w:val="00B87043"/>
    <w:rsid w:val="00B871B2"/>
    <w:rsid w:val="00B87480"/>
    <w:rsid w:val="00B875CB"/>
    <w:rsid w:val="00B91E08"/>
    <w:rsid w:val="00B920E3"/>
    <w:rsid w:val="00B958DF"/>
    <w:rsid w:val="00B9742F"/>
    <w:rsid w:val="00B978F4"/>
    <w:rsid w:val="00BA0232"/>
    <w:rsid w:val="00BA0449"/>
    <w:rsid w:val="00BA0FB4"/>
    <w:rsid w:val="00BA1AEB"/>
    <w:rsid w:val="00BA1EFA"/>
    <w:rsid w:val="00BA2741"/>
    <w:rsid w:val="00BA28AD"/>
    <w:rsid w:val="00BA2D02"/>
    <w:rsid w:val="00BA3B46"/>
    <w:rsid w:val="00BA60D6"/>
    <w:rsid w:val="00BA6DF6"/>
    <w:rsid w:val="00BA7B7E"/>
    <w:rsid w:val="00BB08A0"/>
    <w:rsid w:val="00BB0BCA"/>
    <w:rsid w:val="00BB0C1F"/>
    <w:rsid w:val="00BB13B1"/>
    <w:rsid w:val="00BB1D5D"/>
    <w:rsid w:val="00BB3AAF"/>
    <w:rsid w:val="00BB3EF8"/>
    <w:rsid w:val="00BB4A03"/>
    <w:rsid w:val="00BB53B8"/>
    <w:rsid w:val="00BB6FE7"/>
    <w:rsid w:val="00BB70F5"/>
    <w:rsid w:val="00BC0611"/>
    <w:rsid w:val="00BC0669"/>
    <w:rsid w:val="00BC139A"/>
    <w:rsid w:val="00BC1838"/>
    <w:rsid w:val="00BC1DB1"/>
    <w:rsid w:val="00BC2F84"/>
    <w:rsid w:val="00BC47F6"/>
    <w:rsid w:val="00BC4B5E"/>
    <w:rsid w:val="00BC5147"/>
    <w:rsid w:val="00BC5194"/>
    <w:rsid w:val="00BC6231"/>
    <w:rsid w:val="00BC6599"/>
    <w:rsid w:val="00BD0B8F"/>
    <w:rsid w:val="00BD2DCB"/>
    <w:rsid w:val="00BD34D9"/>
    <w:rsid w:val="00BD3B73"/>
    <w:rsid w:val="00BD491F"/>
    <w:rsid w:val="00BD53D5"/>
    <w:rsid w:val="00BD5748"/>
    <w:rsid w:val="00BD5DCC"/>
    <w:rsid w:val="00BD66B4"/>
    <w:rsid w:val="00BD6A9F"/>
    <w:rsid w:val="00BE26C7"/>
    <w:rsid w:val="00BE4FB2"/>
    <w:rsid w:val="00BE628B"/>
    <w:rsid w:val="00BE70F6"/>
    <w:rsid w:val="00BE7C69"/>
    <w:rsid w:val="00BF0C62"/>
    <w:rsid w:val="00BF21AF"/>
    <w:rsid w:val="00BF2DCA"/>
    <w:rsid w:val="00BF4B3B"/>
    <w:rsid w:val="00BF60AE"/>
    <w:rsid w:val="00BF66A4"/>
    <w:rsid w:val="00BF7A47"/>
    <w:rsid w:val="00BF7F0D"/>
    <w:rsid w:val="00C0081F"/>
    <w:rsid w:val="00C01CC7"/>
    <w:rsid w:val="00C02723"/>
    <w:rsid w:val="00C0295F"/>
    <w:rsid w:val="00C0301D"/>
    <w:rsid w:val="00C05004"/>
    <w:rsid w:val="00C05A4C"/>
    <w:rsid w:val="00C060D2"/>
    <w:rsid w:val="00C061A8"/>
    <w:rsid w:val="00C06DAB"/>
    <w:rsid w:val="00C07F48"/>
    <w:rsid w:val="00C10FC6"/>
    <w:rsid w:val="00C114D9"/>
    <w:rsid w:val="00C14104"/>
    <w:rsid w:val="00C14FB0"/>
    <w:rsid w:val="00C16E28"/>
    <w:rsid w:val="00C174EC"/>
    <w:rsid w:val="00C1786B"/>
    <w:rsid w:val="00C17D45"/>
    <w:rsid w:val="00C21769"/>
    <w:rsid w:val="00C21BF5"/>
    <w:rsid w:val="00C22549"/>
    <w:rsid w:val="00C22736"/>
    <w:rsid w:val="00C23408"/>
    <w:rsid w:val="00C23ABC"/>
    <w:rsid w:val="00C23CB9"/>
    <w:rsid w:val="00C23D45"/>
    <w:rsid w:val="00C24322"/>
    <w:rsid w:val="00C245F7"/>
    <w:rsid w:val="00C249B5"/>
    <w:rsid w:val="00C25B59"/>
    <w:rsid w:val="00C268D2"/>
    <w:rsid w:val="00C31ECC"/>
    <w:rsid w:val="00C352BF"/>
    <w:rsid w:val="00C358A1"/>
    <w:rsid w:val="00C372F9"/>
    <w:rsid w:val="00C374ED"/>
    <w:rsid w:val="00C40B57"/>
    <w:rsid w:val="00C4172D"/>
    <w:rsid w:val="00C41C15"/>
    <w:rsid w:val="00C42549"/>
    <w:rsid w:val="00C4263D"/>
    <w:rsid w:val="00C4276F"/>
    <w:rsid w:val="00C42CE1"/>
    <w:rsid w:val="00C43EAA"/>
    <w:rsid w:val="00C4440E"/>
    <w:rsid w:val="00C45625"/>
    <w:rsid w:val="00C4668D"/>
    <w:rsid w:val="00C46C41"/>
    <w:rsid w:val="00C46C60"/>
    <w:rsid w:val="00C46D78"/>
    <w:rsid w:val="00C5003A"/>
    <w:rsid w:val="00C5018E"/>
    <w:rsid w:val="00C50248"/>
    <w:rsid w:val="00C51F9F"/>
    <w:rsid w:val="00C52A84"/>
    <w:rsid w:val="00C52E4C"/>
    <w:rsid w:val="00C54830"/>
    <w:rsid w:val="00C548B8"/>
    <w:rsid w:val="00C564C4"/>
    <w:rsid w:val="00C573D4"/>
    <w:rsid w:val="00C60075"/>
    <w:rsid w:val="00C62011"/>
    <w:rsid w:val="00C62A62"/>
    <w:rsid w:val="00C62BC5"/>
    <w:rsid w:val="00C64AB2"/>
    <w:rsid w:val="00C64F03"/>
    <w:rsid w:val="00C65D45"/>
    <w:rsid w:val="00C72072"/>
    <w:rsid w:val="00C729AF"/>
    <w:rsid w:val="00C74052"/>
    <w:rsid w:val="00C7597F"/>
    <w:rsid w:val="00C76031"/>
    <w:rsid w:val="00C76876"/>
    <w:rsid w:val="00C80E04"/>
    <w:rsid w:val="00C80EF1"/>
    <w:rsid w:val="00C81300"/>
    <w:rsid w:val="00C81981"/>
    <w:rsid w:val="00C82152"/>
    <w:rsid w:val="00C82331"/>
    <w:rsid w:val="00C82DD5"/>
    <w:rsid w:val="00C83780"/>
    <w:rsid w:val="00C8423A"/>
    <w:rsid w:val="00C84883"/>
    <w:rsid w:val="00C853A1"/>
    <w:rsid w:val="00C866DE"/>
    <w:rsid w:val="00C9012B"/>
    <w:rsid w:val="00C90B24"/>
    <w:rsid w:val="00C9138E"/>
    <w:rsid w:val="00C91D5E"/>
    <w:rsid w:val="00C932B5"/>
    <w:rsid w:val="00C93FF9"/>
    <w:rsid w:val="00C9794B"/>
    <w:rsid w:val="00CA0446"/>
    <w:rsid w:val="00CA0A56"/>
    <w:rsid w:val="00CA1F92"/>
    <w:rsid w:val="00CA4202"/>
    <w:rsid w:val="00CA4710"/>
    <w:rsid w:val="00CA502F"/>
    <w:rsid w:val="00CA5A9D"/>
    <w:rsid w:val="00CA61CB"/>
    <w:rsid w:val="00CB0462"/>
    <w:rsid w:val="00CB1480"/>
    <w:rsid w:val="00CB16E0"/>
    <w:rsid w:val="00CB3E64"/>
    <w:rsid w:val="00CB4312"/>
    <w:rsid w:val="00CB4857"/>
    <w:rsid w:val="00CB5F2E"/>
    <w:rsid w:val="00CB6868"/>
    <w:rsid w:val="00CB6909"/>
    <w:rsid w:val="00CB7041"/>
    <w:rsid w:val="00CC06E5"/>
    <w:rsid w:val="00CC0F6D"/>
    <w:rsid w:val="00CC1319"/>
    <w:rsid w:val="00CC160B"/>
    <w:rsid w:val="00CC2A2F"/>
    <w:rsid w:val="00CC3192"/>
    <w:rsid w:val="00CC6A6A"/>
    <w:rsid w:val="00CC787C"/>
    <w:rsid w:val="00CD1084"/>
    <w:rsid w:val="00CD12E9"/>
    <w:rsid w:val="00CD1599"/>
    <w:rsid w:val="00CD1E24"/>
    <w:rsid w:val="00CD2ECE"/>
    <w:rsid w:val="00CD4322"/>
    <w:rsid w:val="00CD5120"/>
    <w:rsid w:val="00CD6961"/>
    <w:rsid w:val="00CE08BD"/>
    <w:rsid w:val="00CE1DE5"/>
    <w:rsid w:val="00CE2136"/>
    <w:rsid w:val="00CE2FCE"/>
    <w:rsid w:val="00CE58BC"/>
    <w:rsid w:val="00CE5CCA"/>
    <w:rsid w:val="00CE7547"/>
    <w:rsid w:val="00CF091F"/>
    <w:rsid w:val="00CF0BFE"/>
    <w:rsid w:val="00CF1CB6"/>
    <w:rsid w:val="00CF20E3"/>
    <w:rsid w:val="00CF2112"/>
    <w:rsid w:val="00CF2990"/>
    <w:rsid w:val="00CF36A4"/>
    <w:rsid w:val="00CF3E2A"/>
    <w:rsid w:val="00CF431A"/>
    <w:rsid w:val="00CF4504"/>
    <w:rsid w:val="00CF52B1"/>
    <w:rsid w:val="00CF6A3B"/>
    <w:rsid w:val="00D00111"/>
    <w:rsid w:val="00D021C7"/>
    <w:rsid w:val="00D02A58"/>
    <w:rsid w:val="00D048A2"/>
    <w:rsid w:val="00D05704"/>
    <w:rsid w:val="00D062F2"/>
    <w:rsid w:val="00D0635C"/>
    <w:rsid w:val="00D07085"/>
    <w:rsid w:val="00D076BB"/>
    <w:rsid w:val="00D07E65"/>
    <w:rsid w:val="00D10D04"/>
    <w:rsid w:val="00D12821"/>
    <w:rsid w:val="00D13766"/>
    <w:rsid w:val="00D13953"/>
    <w:rsid w:val="00D13C68"/>
    <w:rsid w:val="00D14DAE"/>
    <w:rsid w:val="00D160C9"/>
    <w:rsid w:val="00D16531"/>
    <w:rsid w:val="00D1778A"/>
    <w:rsid w:val="00D218D7"/>
    <w:rsid w:val="00D21F32"/>
    <w:rsid w:val="00D22EF8"/>
    <w:rsid w:val="00D22EFE"/>
    <w:rsid w:val="00D23B66"/>
    <w:rsid w:val="00D2482E"/>
    <w:rsid w:val="00D25158"/>
    <w:rsid w:val="00D268E1"/>
    <w:rsid w:val="00D30003"/>
    <w:rsid w:val="00D3032F"/>
    <w:rsid w:val="00D320A2"/>
    <w:rsid w:val="00D326C8"/>
    <w:rsid w:val="00D32C17"/>
    <w:rsid w:val="00D35D2B"/>
    <w:rsid w:val="00D366C5"/>
    <w:rsid w:val="00D4100D"/>
    <w:rsid w:val="00D41060"/>
    <w:rsid w:val="00D416A0"/>
    <w:rsid w:val="00D417FA"/>
    <w:rsid w:val="00D42232"/>
    <w:rsid w:val="00D42827"/>
    <w:rsid w:val="00D43F2C"/>
    <w:rsid w:val="00D43FBB"/>
    <w:rsid w:val="00D4474D"/>
    <w:rsid w:val="00D44A72"/>
    <w:rsid w:val="00D4531E"/>
    <w:rsid w:val="00D4590D"/>
    <w:rsid w:val="00D45AC6"/>
    <w:rsid w:val="00D46488"/>
    <w:rsid w:val="00D47ADB"/>
    <w:rsid w:val="00D53E4B"/>
    <w:rsid w:val="00D54783"/>
    <w:rsid w:val="00D5481C"/>
    <w:rsid w:val="00D5529A"/>
    <w:rsid w:val="00D563D3"/>
    <w:rsid w:val="00D610E2"/>
    <w:rsid w:val="00D61CF4"/>
    <w:rsid w:val="00D61D09"/>
    <w:rsid w:val="00D637F9"/>
    <w:rsid w:val="00D6397A"/>
    <w:rsid w:val="00D64E3A"/>
    <w:rsid w:val="00D6580C"/>
    <w:rsid w:val="00D6587B"/>
    <w:rsid w:val="00D6633E"/>
    <w:rsid w:val="00D6713A"/>
    <w:rsid w:val="00D673BD"/>
    <w:rsid w:val="00D720D5"/>
    <w:rsid w:val="00D74D6C"/>
    <w:rsid w:val="00D7574C"/>
    <w:rsid w:val="00D75E40"/>
    <w:rsid w:val="00D7692F"/>
    <w:rsid w:val="00D772E2"/>
    <w:rsid w:val="00D81414"/>
    <w:rsid w:val="00D81561"/>
    <w:rsid w:val="00D8210B"/>
    <w:rsid w:val="00D828A2"/>
    <w:rsid w:val="00D82AFB"/>
    <w:rsid w:val="00D830D0"/>
    <w:rsid w:val="00D830FA"/>
    <w:rsid w:val="00D83225"/>
    <w:rsid w:val="00D83A82"/>
    <w:rsid w:val="00D846D7"/>
    <w:rsid w:val="00D87805"/>
    <w:rsid w:val="00D907B7"/>
    <w:rsid w:val="00D918F9"/>
    <w:rsid w:val="00D92A0B"/>
    <w:rsid w:val="00D93521"/>
    <w:rsid w:val="00D936FD"/>
    <w:rsid w:val="00D9654F"/>
    <w:rsid w:val="00D96C4A"/>
    <w:rsid w:val="00D96C58"/>
    <w:rsid w:val="00D96CF3"/>
    <w:rsid w:val="00DA135A"/>
    <w:rsid w:val="00DA1531"/>
    <w:rsid w:val="00DA1681"/>
    <w:rsid w:val="00DA1E4C"/>
    <w:rsid w:val="00DA32B1"/>
    <w:rsid w:val="00DA340D"/>
    <w:rsid w:val="00DA56B6"/>
    <w:rsid w:val="00DA60E4"/>
    <w:rsid w:val="00DA6421"/>
    <w:rsid w:val="00DA66DA"/>
    <w:rsid w:val="00DA67FF"/>
    <w:rsid w:val="00DA6B29"/>
    <w:rsid w:val="00DA6D03"/>
    <w:rsid w:val="00DA7690"/>
    <w:rsid w:val="00DB106F"/>
    <w:rsid w:val="00DB19BF"/>
    <w:rsid w:val="00DB24E5"/>
    <w:rsid w:val="00DB2A6B"/>
    <w:rsid w:val="00DB58B3"/>
    <w:rsid w:val="00DB61F1"/>
    <w:rsid w:val="00DB62A0"/>
    <w:rsid w:val="00DB7767"/>
    <w:rsid w:val="00DC1544"/>
    <w:rsid w:val="00DC1C9E"/>
    <w:rsid w:val="00DC2281"/>
    <w:rsid w:val="00DC2366"/>
    <w:rsid w:val="00DC2474"/>
    <w:rsid w:val="00DC3187"/>
    <w:rsid w:val="00DC5F35"/>
    <w:rsid w:val="00DC5F6F"/>
    <w:rsid w:val="00DC656D"/>
    <w:rsid w:val="00DD0E71"/>
    <w:rsid w:val="00DD12AD"/>
    <w:rsid w:val="00DD3065"/>
    <w:rsid w:val="00DD4514"/>
    <w:rsid w:val="00DD4842"/>
    <w:rsid w:val="00DD6982"/>
    <w:rsid w:val="00DD6EA9"/>
    <w:rsid w:val="00DD727C"/>
    <w:rsid w:val="00DD7582"/>
    <w:rsid w:val="00DD7D01"/>
    <w:rsid w:val="00DE060A"/>
    <w:rsid w:val="00DE0733"/>
    <w:rsid w:val="00DE08FB"/>
    <w:rsid w:val="00DE1DB7"/>
    <w:rsid w:val="00DE1FB3"/>
    <w:rsid w:val="00DE20AA"/>
    <w:rsid w:val="00DE32AE"/>
    <w:rsid w:val="00DE4FD7"/>
    <w:rsid w:val="00DE5731"/>
    <w:rsid w:val="00DE6AA5"/>
    <w:rsid w:val="00DE724F"/>
    <w:rsid w:val="00DF0054"/>
    <w:rsid w:val="00DF10F2"/>
    <w:rsid w:val="00DF1500"/>
    <w:rsid w:val="00DF1896"/>
    <w:rsid w:val="00DF2A51"/>
    <w:rsid w:val="00DF3ECA"/>
    <w:rsid w:val="00DF4960"/>
    <w:rsid w:val="00DF5497"/>
    <w:rsid w:val="00DF6EB9"/>
    <w:rsid w:val="00DF7251"/>
    <w:rsid w:val="00DF7D89"/>
    <w:rsid w:val="00E0025C"/>
    <w:rsid w:val="00E031CA"/>
    <w:rsid w:val="00E0383A"/>
    <w:rsid w:val="00E04F34"/>
    <w:rsid w:val="00E04F3B"/>
    <w:rsid w:val="00E068D9"/>
    <w:rsid w:val="00E07808"/>
    <w:rsid w:val="00E103B0"/>
    <w:rsid w:val="00E109F9"/>
    <w:rsid w:val="00E110A9"/>
    <w:rsid w:val="00E134F6"/>
    <w:rsid w:val="00E15FB8"/>
    <w:rsid w:val="00E16D6D"/>
    <w:rsid w:val="00E16E9E"/>
    <w:rsid w:val="00E17269"/>
    <w:rsid w:val="00E17628"/>
    <w:rsid w:val="00E17CE3"/>
    <w:rsid w:val="00E20DF2"/>
    <w:rsid w:val="00E20F8F"/>
    <w:rsid w:val="00E217BC"/>
    <w:rsid w:val="00E21C36"/>
    <w:rsid w:val="00E23CBC"/>
    <w:rsid w:val="00E26224"/>
    <w:rsid w:val="00E30370"/>
    <w:rsid w:val="00E304BA"/>
    <w:rsid w:val="00E33417"/>
    <w:rsid w:val="00E3366F"/>
    <w:rsid w:val="00E3401E"/>
    <w:rsid w:val="00E3568E"/>
    <w:rsid w:val="00E36659"/>
    <w:rsid w:val="00E36B92"/>
    <w:rsid w:val="00E37218"/>
    <w:rsid w:val="00E37E5A"/>
    <w:rsid w:val="00E4389A"/>
    <w:rsid w:val="00E4419C"/>
    <w:rsid w:val="00E46845"/>
    <w:rsid w:val="00E47203"/>
    <w:rsid w:val="00E50672"/>
    <w:rsid w:val="00E5119D"/>
    <w:rsid w:val="00E51252"/>
    <w:rsid w:val="00E51FDC"/>
    <w:rsid w:val="00E525C9"/>
    <w:rsid w:val="00E530E9"/>
    <w:rsid w:val="00E53E4D"/>
    <w:rsid w:val="00E54028"/>
    <w:rsid w:val="00E54150"/>
    <w:rsid w:val="00E54BD6"/>
    <w:rsid w:val="00E56903"/>
    <w:rsid w:val="00E569CD"/>
    <w:rsid w:val="00E62DA9"/>
    <w:rsid w:val="00E6338A"/>
    <w:rsid w:val="00E63E2D"/>
    <w:rsid w:val="00E66302"/>
    <w:rsid w:val="00E66A60"/>
    <w:rsid w:val="00E66C06"/>
    <w:rsid w:val="00E66CA0"/>
    <w:rsid w:val="00E67323"/>
    <w:rsid w:val="00E70131"/>
    <w:rsid w:val="00E7040E"/>
    <w:rsid w:val="00E7088F"/>
    <w:rsid w:val="00E70D39"/>
    <w:rsid w:val="00E72C72"/>
    <w:rsid w:val="00E73BAA"/>
    <w:rsid w:val="00E743E5"/>
    <w:rsid w:val="00E74401"/>
    <w:rsid w:val="00E74720"/>
    <w:rsid w:val="00E747EF"/>
    <w:rsid w:val="00E751CA"/>
    <w:rsid w:val="00E7553C"/>
    <w:rsid w:val="00E7576A"/>
    <w:rsid w:val="00E76E2A"/>
    <w:rsid w:val="00E76F52"/>
    <w:rsid w:val="00E805A4"/>
    <w:rsid w:val="00E808B1"/>
    <w:rsid w:val="00E808B3"/>
    <w:rsid w:val="00E8117E"/>
    <w:rsid w:val="00E81511"/>
    <w:rsid w:val="00E817A3"/>
    <w:rsid w:val="00E8270A"/>
    <w:rsid w:val="00E82F99"/>
    <w:rsid w:val="00E83FFB"/>
    <w:rsid w:val="00E84586"/>
    <w:rsid w:val="00E851EA"/>
    <w:rsid w:val="00E87C45"/>
    <w:rsid w:val="00E90A7E"/>
    <w:rsid w:val="00E91E5C"/>
    <w:rsid w:val="00E921D6"/>
    <w:rsid w:val="00E9282A"/>
    <w:rsid w:val="00E93CDA"/>
    <w:rsid w:val="00E940A4"/>
    <w:rsid w:val="00E94151"/>
    <w:rsid w:val="00E9742E"/>
    <w:rsid w:val="00E9759D"/>
    <w:rsid w:val="00EA047E"/>
    <w:rsid w:val="00EA07F8"/>
    <w:rsid w:val="00EA26C3"/>
    <w:rsid w:val="00EA282A"/>
    <w:rsid w:val="00EA2983"/>
    <w:rsid w:val="00EA2C72"/>
    <w:rsid w:val="00EA2E5B"/>
    <w:rsid w:val="00EA2F82"/>
    <w:rsid w:val="00EA46A0"/>
    <w:rsid w:val="00EA5627"/>
    <w:rsid w:val="00EA5DDA"/>
    <w:rsid w:val="00EA60A0"/>
    <w:rsid w:val="00EA694F"/>
    <w:rsid w:val="00EB25D5"/>
    <w:rsid w:val="00EB3334"/>
    <w:rsid w:val="00EB3371"/>
    <w:rsid w:val="00EB5EFD"/>
    <w:rsid w:val="00EB7653"/>
    <w:rsid w:val="00EB7802"/>
    <w:rsid w:val="00EC04BA"/>
    <w:rsid w:val="00EC0558"/>
    <w:rsid w:val="00EC075B"/>
    <w:rsid w:val="00EC2B03"/>
    <w:rsid w:val="00EC34BC"/>
    <w:rsid w:val="00EC3B4B"/>
    <w:rsid w:val="00EC3EC8"/>
    <w:rsid w:val="00EC4C18"/>
    <w:rsid w:val="00EC74EB"/>
    <w:rsid w:val="00EC757A"/>
    <w:rsid w:val="00ED0954"/>
    <w:rsid w:val="00ED0A12"/>
    <w:rsid w:val="00ED0C78"/>
    <w:rsid w:val="00ED34A8"/>
    <w:rsid w:val="00ED5B81"/>
    <w:rsid w:val="00ED5E3E"/>
    <w:rsid w:val="00ED6501"/>
    <w:rsid w:val="00ED78EA"/>
    <w:rsid w:val="00ED792A"/>
    <w:rsid w:val="00EE00AE"/>
    <w:rsid w:val="00EE043D"/>
    <w:rsid w:val="00EE0A3C"/>
    <w:rsid w:val="00EE0AA9"/>
    <w:rsid w:val="00EE1659"/>
    <w:rsid w:val="00EE19DA"/>
    <w:rsid w:val="00EE25E8"/>
    <w:rsid w:val="00EE29A5"/>
    <w:rsid w:val="00EE2FBC"/>
    <w:rsid w:val="00EE3DB5"/>
    <w:rsid w:val="00EE502C"/>
    <w:rsid w:val="00EE5F1E"/>
    <w:rsid w:val="00EE6163"/>
    <w:rsid w:val="00EE6A86"/>
    <w:rsid w:val="00EE77F1"/>
    <w:rsid w:val="00EF1EA8"/>
    <w:rsid w:val="00EF1EAB"/>
    <w:rsid w:val="00EF3CEC"/>
    <w:rsid w:val="00EF59D6"/>
    <w:rsid w:val="00EF6533"/>
    <w:rsid w:val="00F00FC0"/>
    <w:rsid w:val="00F0282C"/>
    <w:rsid w:val="00F02DD9"/>
    <w:rsid w:val="00F030D7"/>
    <w:rsid w:val="00F04A44"/>
    <w:rsid w:val="00F05820"/>
    <w:rsid w:val="00F06090"/>
    <w:rsid w:val="00F06224"/>
    <w:rsid w:val="00F06F6A"/>
    <w:rsid w:val="00F0764E"/>
    <w:rsid w:val="00F11A9F"/>
    <w:rsid w:val="00F12C49"/>
    <w:rsid w:val="00F139F0"/>
    <w:rsid w:val="00F152E6"/>
    <w:rsid w:val="00F15A34"/>
    <w:rsid w:val="00F166B0"/>
    <w:rsid w:val="00F16CA4"/>
    <w:rsid w:val="00F170F8"/>
    <w:rsid w:val="00F21144"/>
    <w:rsid w:val="00F225E3"/>
    <w:rsid w:val="00F23CD3"/>
    <w:rsid w:val="00F25A3E"/>
    <w:rsid w:val="00F2701A"/>
    <w:rsid w:val="00F270A1"/>
    <w:rsid w:val="00F270F4"/>
    <w:rsid w:val="00F27C4B"/>
    <w:rsid w:val="00F27C7D"/>
    <w:rsid w:val="00F305E5"/>
    <w:rsid w:val="00F31C37"/>
    <w:rsid w:val="00F31D39"/>
    <w:rsid w:val="00F32234"/>
    <w:rsid w:val="00F32931"/>
    <w:rsid w:val="00F32C7A"/>
    <w:rsid w:val="00F3365F"/>
    <w:rsid w:val="00F33A3D"/>
    <w:rsid w:val="00F34FE7"/>
    <w:rsid w:val="00F404BC"/>
    <w:rsid w:val="00F40A77"/>
    <w:rsid w:val="00F41593"/>
    <w:rsid w:val="00F44200"/>
    <w:rsid w:val="00F4452E"/>
    <w:rsid w:val="00F446D7"/>
    <w:rsid w:val="00F44C4B"/>
    <w:rsid w:val="00F45083"/>
    <w:rsid w:val="00F450D5"/>
    <w:rsid w:val="00F474FB"/>
    <w:rsid w:val="00F47892"/>
    <w:rsid w:val="00F5035E"/>
    <w:rsid w:val="00F50B75"/>
    <w:rsid w:val="00F5165B"/>
    <w:rsid w:val="00F52ECA"/>
    <w:rsid w:val="00F53DFD"/>
    <w:rsid w:val="00F54A33"/>
    <w:rsid w:val="00F5680C"/>
    <w:rsid w:val="00F60B69"/>
    <w:rsid w:val="00F618A2"/>
    <w:rsid w:val="00F621F8"/>
    <w:rsid w:val="00F65E2A"/>
    <w:rsid w:val="00F70727"/>
    <w:rsid w:val="00F71C9A"/>
    <w:rsid w:val="00F76453"/>
    <w:rsid w:val="00F821BE"/>
    <w:rsid w:val="00F82752"/>
    <w:rsid w:val="00F82842"/>
    <w:rsid w:val="00F8299F"/>
    <w:rsid w:val="00F84A04"/>
    <w:rsid w:val="00F85B4B"/>
    <w:rsid w:val="00F85C10"/>
    <w:rsid w:val="00F86ED5"/>
    <w:rsid w:val="00F8772E"/>
    <w:rsid w:val="00F87965"/>
    <w:rsid w:val="00F87D04"/>
    <w:rsid w:val="00F90129"/>
    <w:rsid w:val="00F9041A"/>
    <w:rsid w:val="00F92169"/>
    <w:rsid w:val="00F935F5"/>
    <w:rsid w:val="00F940E0"/>
    <w:rsid w:val="00F94F4E"/>
    <w:rsid w:val="00F95A43"/>
    <w:rsid w:val="00F97B65"/>
    <w:rsid w:val="00F97EB5"/>
    <w:rsid w:val="00FA2C34"/>
    <w:rsid w:val="00FA2D69"/>
    <w:rsid w:val="00FA35C7"/>
    <w:rsid w:val="00FA7483"/>
    <w:rsid w:val="00FB036B"/>
    <w:rsid w:val="00FB06E4"/>
    <w:rsid w:val="00FB0F03"/>
    <w:rsid w:val="00FB1121"/>
    <w:rsid w:val="00FB1A60"/>
    <w:rsid w:val="00FB23DB"/>
    <w:rsid w:val="00FB2D56"/>
    <w:rsid w:val="00FB38F3"/>
    <w:rsid w:val="00FB62CF"/>
    <w:rsid w:val="00FB76FE"/>
    <w:rsid w:val="00FB7A3A"/>
    <w:rsid w:val="00FC1BE7"/>
    <w:rsid w:val="00FC2C31"/>
    <w:rsid w:val="00FC3208"/>
    <w:rsid w:val="00FC4828"/>
    <w:rsid w:val="00FC5971"/>
    <w:rsid w:val="00FC599B"/>
    <w:rsid w:val="00FD0416"/>
    <w:rsid w:val="00FD0B04"/>
    <w:rsid w:val="00FD0CAD"/>
    <w:rsid w:val="00FD176F"/>
    <w:rsid w:val="00FD1F93"/>
    <w:rsid w:val="00FD2872"/>
    <w:rsid w:val="00FD3274"/>
    <w:rsid w:val="00FD34E8"/>
    <w:rsid w:val="00FD45B2"/>
    <w:rsid w:val="00FD4E2F"/>
    <w:rsid w:val="00FD54BE"/>
    <w:rsid w:val="00FD5681"/>
    <w:rsid w:val="00FD5AD6"/>
    <w:rsid w:val="00FD6EA3"/>
    <w:rsid w:val="00FD732F"/>
    <w:rsid w:val="00FD7867"/>
    <w:rsid w:val="00FE0B86"/>
    <w:rsid w:val="00FE1625"/>
    <w:rsid w:val="00FE1664"/>
    <w:rsid w:val="00FE2099"/>
    <w:rsid w:val="00FE27AF"/>
    <w:rsid w:val="00FE2A1B"/>
    <w:rsid w:val="00FE3D42"/>
    <w:rsid w:val="00FE5C16"/>
    <w:rsid w:val="00FE74CA"/>
    <w:rsid w:val="00FF05EF"/>
    <w:rsid w:val="00FF05F5"/>
    <w:rsid w:val="00FF0A59"/>
    <w:rsid w:val="00FF0E57"/>
    <w:rsid w:val="00FF203D"/>
    <w:rsid w:val="00FF20E5"/>
    <w:rsid w:val="00FF36EE"/>
    <w:rsid w:val="00FF606E"/>
    <w:rsid w:val="00FF64CA"/>
    <w:rsid w:val="00FF78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DE9045C1-91D6-42D1-876A-8DD1BF39E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758"/>
  </w:style>
  <w:style w:type="paragraph" w:styleId="Heading1">
    <w:name w:val="heading 1"/>
    <w:basedOn w:val="Normal"/>
    <w:next w:val="Normal"/>
    <w:link w:val="Heading1Char"/>
    <w:uiPriority w:val="99"/>
    <w:qFormat/>
    <w:rsid w:val="00073758"/>
    <w:pPr>
      <w:keepNext/>
      <w:ind w:right="4565"/>
      <w:jc w:val="both"/>
      <w:outlineLvl w:val="0"/>
    </w:pPr>
    <w:rPr>
      <w:rFonts w:ascii="CRO_Calligraph-Bold" w:hAnsi="CRO_Calligraph-Bold"/>
      <w:b/>
      <w:spacing w:val="60"/>
      <w:sz w:val="24"/>
    </w:rPr>
  </w:style>
  <w:style w:type="paragraph" w:styleId="Heading2">
    <w:name w:val="heading 2"/>
    <w:basedOn w:val="Normal"/>
    <w:next w:val="Normal"/>
    <w:link w:val="Heading2Char"/>
    <w:uiPriority w:val="99"/>
    <w:unhideWhenUsed/>
    <w:qFormat/>
    <w:rsid w:val="000E69D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31CDE"/>
    <w:pPr>
      <w:keepNext/>
      <w:keepLines/>
      <w:spacing w:before="40"/>
      <w:outlineLvl w:val="2"/>
    </w:pPr>
    <w:rPr>
      <w:rFonts w:ascii="Cambria" w:hAnsi="Cambria"/>
      <w:color w:val="243F60"/>
      <w:sz w:val="24"/>
      <w:szCs w:val="24"/>
      <w:lang w:val="en-US" w:eastAsia="en-US"/>
    </w:rPr>
  </w:style>
  <w:style w:type="paragraph" w:styleId="Heading4">
    <w:name w:val="heading 4"/>
    <w:basedOn w:val="Normal"/>
    <w:next w:val="Normal"/>
    <w:link w:val="Heading4Char"/>
    <w:uiPriority w:val="99"/>
    <w:unhideWhenUsed/>
    <w:qFormat/>
    <w:rsid w:val="00753029"/>
    <w:pPr>
      <w:keepNext/>
      <w:keepLines/>
      <w:spacing w:before="40"/>
      <w:outlineLvl w:val="3"/>
    </w:pPr>
    <w:rPr>
      <w:rFonts w:ascii="Cambria" w:hAnsi="Cambria"/>
      <w:i/>
      <w:iCs/>
      <w:color w:val="365F91"/>
    </w:rPr>
  </w:style>
  <w:style w:type="paragraph" w:styleId="Heading5">
    <w:name w:val="heading 5"/>
    <w:basedOn w:val="Normal"/>
    <w:next w:val="Normal"/>
    <w:link w:val="Heading5Char"/>
    <w:uiPriority w:val="99"/>
    <w:unhideWhenUsed/>
    <w:qFormat/>
    <w:rsid w:val="00753029"/>
    <w:pPr>
      <w:keepNext/>
      <w:keepLines/>
      <w:spacing w:before="40"/>
      <w:outlineLvl w:val="4"/>
    </w:pPr>
    <w:rPr>
      <w:rFonts w:ascii="Cambria" w:hAnsi="Cambria"/>
      <w:color w:val="365F91"/>
    </w:rPr>
  </w:style>
  <w:style w:type="paragraph" w:styleId="Heading6">
    <w:name w:val="heading 6"/>
    <w:basedOn w:val="Normal"/>
    <w:next w:val="Normal"/>
    <w:link w:val="Heading6Char"/>
    <w:uiPriority w:val="99"/>
    <w:qFormat/>
    <w:rsid w:val="000E69DA"/>
    <w:pPr>
      <w:keepNext/>
      <w:jc w:val="center"/>
      <w:outlineLvl w:val="5"/>
    </w:pPr>
    <w:rPr>
      <w:rFonts w:ascii="Calibri" w:eastAsia="SimSun" w:hAnsi="Calibri"/>
      <w:b/>
      <w:bCs/>
    </w:rPr>
  </w:style>
  <w:style w:type="paragraph" w:styleId="Heading7">
    <w:name w:val="heading 7"/>
    <w:basedOn w:val="Normal"/>
    <w:next w:val="Normal"/>
    <w:link w:val="Heading7Char"/>
    <w:uiPriority w:val="99"/>
    <w:qFormat/>
    <w:rsid w:val="00073758"/>
    <w:pPr>
      <w:keepNext/>
      <w:jc w:val="center"/>
      <w:outlineLvl w:val="6"/>
    </w:pPr>
    <w:rPr>
      <w:rFonts w:ascii="Arial" w:hAnsi="Arial"/>
      <w:b/>
      <w:spacing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Char"/>
    <w:basedOn w:val="Normal"/>
    <w:link w:val="HeaderChar"/>
    <w:rsid w:val="00073758"/>
    <w:pPr>
      <w:tabs>
        <w:tab w:val="center" w:pos="4320"/>
        <w:tab w:val="right" w:pos="8640"/>
      </w:tabs>
    </w:pPr>
    <w:rPr>
      <w:rFonts w:ascii="Arial" w:hAnsi="Arial"/>
      <w:sz w:val="24"/>
    </w:rPr>
  </w:style>
  <w:style w:type="paragraph" w:styleId="Footer">
    <w:name w:val="footer"/>
    <w:basedOn w:val="Normal"/>
    <w:link w:val="FooterChar"/>
    <w:uiPriority w:val="99"/>
    <w:rsid w:val="00073758"/>
    <w:pPr>
      <w:tabs>
        <w:tab w:val="center" w:pos="4153"/>
        <w:tab w:val="right" w:pos="8306"/>
      </w:tabs>
    </w:pPr>
  </w:style>
  <w:style w:type="character" w:styleId="Hyperlink">
    <w:name w:val="Hyperlink"/>
    <w:uiPriority w:val="99"/>
    <w:rsid w:val="00073758"/>
    <w:rPr>
      <w:color w:val="0000FF"/>
      <w:u w:val="single"/>
    </w:rPr>
  </w:style>
  <w:style w:type="character" w:styleId="FollowedHyperlink">
    <w:name w:val="FollowedHyperlink"/>
    <w:rsid w:val="00073758"/>
    <w:rPr>
      <w:color w:val="800080"/>
      <w:u w:val="single"/>
    </w:rPr>
  </w:style>
  <w:style w:type="paragraph" w:styleId="BalloonText">
    <w:name w:val="Balloon Text"/>
    <w:basedOn w:val="Normal"/>
    <w:link w:val="BalloonTextChar"/>
    <w:uiPriority w:val="99"/>
    <w:rsid w:val="006A4F83"/>
    <w:rPr>
      <w:rFonts w:ascii="Tahoma" w:hAnsi="Tahoma" w:cs="Tahoma"/>
      <w:sz w:val="16"/>
      <w:szCs w:val="16"/>
    </w:rPr>
  </w:style>
  <w:style w:type="character" w:customStyle="1" w:styleId="BalloonTextChar">
    <w:name w:val="Balloon Text Char"/>
    <w:link w:val="BalloonText"/>
    <w:uiPriority w:val="99"/>
    <w:rsid w:val="006A4F83"/>
    <w:rPr>
      <w:rFonts w:ascii="Tahoma" w:hAnsi="Tahoma" w:cs="Tahoma"/>
      <w:sz w:val="16"/>
      <w:szCs w:val="16"/>
    </w:rPr>
  </w:style>
  <w:style w:type="paragraph" w:styleId="ListParagraph">
    <w:name w:val="List Paragraph"/>
    <w:basedOn w:val="Normal"/>
    <w:uiPriority w:val="34"/>
    <w:qFormat/>
    <w:rsid w:val="00C93FF9"/>
    <w:pPr>
      <w:ind w:left="720"/>
      <w:contextualSpacing/>
    </w:pPr>
  </w:style>
  <w:style w:type="character" w:customStyle="1" w:styleId="HeaderChar">
    <w:name w:val="Header Char"/>
    <w:aliases w:val=" Char Char,Char Char"/>
    <w:link w:val="Header"/>
    <w:rsid w:val="0041548B"/>
    <w:rPr>
      <w:rFonts w:ascii="Arial" w:hAnsi="Arial"/>
      <w:sz w:val="24"/>
    </w:rPr>
  </w:style>
  <w:style w:type="paragraph" w:styleId="NormalWeb">
    <w:name w:val="Normal (Web)"/>
    <w:basedOn w:val="Normal"/>
    <w:uiPriority w:val="99"/>
    <w:semiHidden/>
    <w:unhideWhenUsed/>
    <w:rsid w:val="00753029"/>
    <w:pPr>
      <w:spacing w:before="100" w:beforeAutospacing="1" w:after="100" w:afterAutospacing="1"/>
    </w:pPr>
    <w:rPr>
      <w:rFonts w:eastAsia="Calibri"/>
      <w:sz w:val="21"/>
      <w:szCs w:val="21"/>
    </w:rPr>
  </w:style>
  <w:style w:type="paragraph" w:styleId="BodyText3">
    <w:name w:val="Body Text 3"/>
    <w:basedOn w:val="Normal"/>
    <w:link w:val="BodyText3Char"/>
    <w:unhideWhenUsed/>
    <w:rsid w:val="00753029"/>
    <w:pPr>
      <w:spacing w:after="120"/>
      <w:jc w:val="both"/>
    </w:pPr>
    <w:rPr>
      <w:rFonts w:ascii="Arial" w:eastAsia="Calibri" w:hAnsi="Arial" w:cs="Arial"/>
      <w:sz w:val="22"/>
      <w:szCs w:val="22"/>
    </w:rPr>
  </w:style>
  <w:style w:type="character" w:customStyle="1" w:styleId="BodyText3Char">
    <w:name w:val="Body Text 3 Char"/>
    <w:link w:val="BodyText3"/>
    <w:rsid w:val="00753029"/>
    <w:rPr>
      <w:rFonts w:ascii="Arial" w:eastAsia="Calibri" w:hAnsi="Arial" w:cs="Arial"/>
      <w:sz w:val="22"/>
      <w:szCs w:val="22"/>
    </w:rPr>
  </w:style>
  <w:style w:type="character" w:customStyle="1" w:styleId="Heading4Char">
    <w:name w:val="Heading 4 Char"/>
    <w:link w:val="Heading4"/>
    <w:uiPriority w:val="99"/>
    <w:rsid w:val="00753029"/>
    <w:rPr>
      <w:rFonts w:ascii="Cambria" w:eastAsia="Times New Roman" w:hAnsi="Cambria" w:cs="Times New Roman"/>
      <w:i/>
      <w:iCs/>
      <w:color w:val="365F91"/>
    </w:rPr>
  </w:style>
  <w:style w:type="character" w:customStyle="1" w:styleId="Heading5Char">
    <w:name w:val="Heading 5 Char"/>
    <w:link w:val="Heading5"/>
    <w:uiPriority w:val="99"/>
    <w:semiHidden/>
    <w:rsid w:val="00753029"/>
    <w:rPr>
      <w:rFonts w:ascii="Cambria" w:eastAsia="Times New Roman" w:hAnsi="Cambria" w:cs="Times New Roman"/>
      <w:color w:val="365F91"/>
    </w:rPr>
  </w:style>
  <w:style w:type="paragraph" w:styleId="BodyTextIndent">
    <w:name w:val="Body Text Indent"/>
    <w:basedOn w:val="Normal"/>
    <w:link w:val="BodyTextIndentChar"/>
    <w:uiPriority w:val="99"/>
    <w:unhideWhenUsed/>
    <w:rsid w:val="00431CDE"/>
    <w:pPr>
      <w:spacing w:after="120"/>
      <w:ind w:left="283"/>
    </w:pPr>
  </w:style>
  <w:style w:type="character" w:customStyle="1" w:styleId="BodyTextIndentChar">
    <w:name w:val="Body Text Indent Char"/>
    <w:basedOn w:val="DefaultParagraphFont"/>
    <w:link w:val="BodyTextIndent"/>
    <w:uiPriority w:val="99"/>
    <w:semiHidden/>
    <w:rsid w:val="00431CDE"/>
  </w:style>
  <w:style w:type="character" w:customStyle="1" w:styleId="Heading3Char">
    <w:name w:val="Heading 3 Char"/>
    <w:link w:val="Heading3"/>
    <w:uiPriority w:val="9"/>
    <w:semiHidden/>
    <w:rsid w:val="00431CDE"/>
    <w:rPr>
      <w:rFonts w:ascii="Cambria" w:eastAsia="Times New Roman" w:hAnsi="Cambria" w:cs="Times New Roman"/>
      <w:color w:val="243F60"/>
      <w:sz w:val="24"/>
      <w:szCs w:val="24"/>
      <w:lang w:val="en-US" w:eastAsia="en-US"/>
    </w:rPr>
  </w:style>
  <w:style w:type="character" w:customStyle="1" w:styleId="st">
    <w:name w:val="st"/>
    <w:basedOn w:val="DefaultParagraphFont"/>
    <w:rsid w:val="00431CDE"/>
  </w:style>
  <w:style w:type="paragraph" w:customStyle="1" w:styleId="default">
    <w:name w:val="default"/>
    <w:basedOn w:val="Normal"/>
    <w:rsid w:val="00606953"/>
    <w:pPr>
      <w:autoSpaceDE w:val="0"/>
      <w:autoSpaceDN w:val="0"/>
    </w:pPr>
    <w:rPr>
      <w:rFonts w:eastAsia="Calibri"/>
      <w:color w:val="000000"/>
      <w:sz w:val="24"/>
      <w:szCs w:val="24"/>
    </w:rPr>
  </w:style>
  <w:style w:type="character" w:customStyle="1" w:styleId="longtext">
    <w:name w:val="longtext"/>
    <w:basedOn w:val="DefaultParagraphFont"/>
    <w:rsid w:val="00606953"/>
  </w:style>
  <w:style w:type="paragraph" w:styleId="NoSpacing">
    <w:name w:val="No Spacing"/>
    <w:link w:val="NoSpacingChar"/>
    <w:uiPriority w:val="1"/>
    <w:qFormat/>
    <w:rsid w:val="00606953"/>
    <w:rPr>
      <w:rFonts w:ascii="Calibri" w:eastAsia="Calibri" w:hAnsi="Calibri"/>
      <w:sz w:val="22"/>
      <w:szCs w:val="22"/>
      <w:lang w:eastAsia="en-US"/>
    </w:rPr>
  </w:style>
  <w:style w:type="paragraph" w:styleId="BodyText">
    <w:name w:val="Body Text"/>
    <w:basedOn w:val="Normal"/>
    <w:link w:val="BodyTextChar"/>
    <w:uiPriority w:val="99"/>
    <w:unhideWhenUsed/>
    <w:rsid w:val="00180315"/>
    <w:pPr>
      <w:spacing w:after="120"/>
    </w:pPr>
  </w:style>
  <w:style w:type="character" w:customStyle="1" w:styleId="BodyTextChar">
    <w:name w:val="Body Text Char"/>
    <w:basedOn w:val="DefaultParagraphFont"/>
    <w:link w:val="BodyText"/>
    <w:uiPriority w:val="99"/>
    <w:rsid w:val="00180315"/>
  </w:style>
  <w:style w:type="paragraph" w:customStyle="1" w:styleId="Standard">
    <w:name w:val="Standard"/>
    <w:basedOn w:val="Normal"/>
    <w:rsid w:val="00180315"/>
    <w:pPr>
      <w:autoSpaceDN w:val="0"/>
      <w:spacing w:after="160"/>
    </w:pPr>
    <w:rPr>
      <w:rFonts w:ascii="Calibri" w:eastAsia="Calibri" w:hAnsi="Calibri" w:cs="Calibri"/>
      <w:sz w:val="22"/>
      <w:szCs w:val="22"/>
      <w:lang w:eastAsia="zh-CN"/>
    </w:rPr>
  </w:style>
  <w:style w:type="character" w:customStyle="1" w:styleId="Heading2Char">
    <w:name w:val="Heading 2 Char"/>
    <w:basedOn w:val="DefaultParagraphFont"/>
    <w:link w:val="Heading2"/>
    <w:uiPriority w:val="99"/>
    <w:rsid w:val="000E69DA"/>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uiPriority w:val="99"/>
    <w:unhideWhenUsed/>
    <w:rsid w:val="000E69DA"/>
    <w:pPr>
      <w:spacing w:after="120" w:line="480" w:lineRule="auto"/>
    </w:pPr>
  </w:style>
  <w:style w:type="character" w:customStyle="1" w:styleId="BodyText2Char">
    <w:name w:val="Body Text 2 Char"/>
    <w:basedOn w:val="DefaultParagraphFont"/>
    <w:link w:val="BodyText2"/>
    <w:uiPriority w:val="99"/>
    <w:rsid w:val="000E69DA"/>
  </w:style>
  <w:style w:type="character" w:customStyle="1" w:styleId="Heading6Char">
    <w:name w:val="Heading 6 Char"/>
    <w:basedOn w:val="DefaultParagraphFont"/>
    <w:link w:val="Heading6"/>
    <w:uiPriority w:val="99"/>
    <w:rsid w:val="000E69DA"/>
    <w:rPr>
      <w:rFonts w:ascii="Calibri" w:eastAsia="SimSun" w:hAnsi="Calibri"/>
      <w:b/>
      <w:bCs/>
    </w:rPr>
  </w:style>
  <w:style w:type="character" w:customStyle="1" w:styleId="Heading1Char">
    <w:name w:val="Heading 1 Char"/>
    <w:link w:val="Heading1"/>
    <w:uiPriority w:val="99"/>
    <w:locked/>
    <w:rsid w:val="000E69DA"/>
    <w:rPr>
      <w:rFonts w:ascii="CRO_Calligraph-Bold" w:hAnsi="CRO_Calligraph-Bold"/>
      <w:b/>
      <w:spacing w:val="60"/>
      <w:sz w:val="24"/>
    </w:rPr>
  </w:style>
  <w:style w:type="character" w:customStyle="1" w:styleId="Heading7Char">
    <w:name w:val="Heading 7 Char"/>
    <w:link w:val="Heading7"/>
    <w:uiPriority w:val="99"/>
    <w:locked/>
    <w:rsid w:val="000E69DA"/>
    <w:rPr>
      <w:rFonts w:ascii="Arial" w:hAnsi="Arial"/>
      <w:b/>
      <w:spacing w:val="20"/>
      <w:sz w:val="24"/>
    </w:rPr>
  </w:style>
  <w:style w:type="character" w:customStyle="1" w:styleId="FooterChar">
    <w:name w:val="Footer Char"/>
    <w:link w:val="Footer"/>
    <w:uiPriority w:val="99"/>
    <w:locked/>
    <w:rsid w:val="000E69DA"/>
  </w:style>
  <w:style w:type="paragraph" w:styleId="BodyTextIndent2">
    <w:name w:val="Body Text Indent 2"/>
    <w:basedOn w:val="Normal"/>
    <w:link w:val="BodyTextIndent2Char"/>
    <w:uiPriority w:val="99"/>
    <w:rsid w:val="000E69DA"/>
    <w:pPr>
      <w:ind w:left="360"/>
      <w:jc w:val="both"/>
    </w:pPr>
  </w:style>
  <w:style w:type="character" w:customStyle="1" w:styleId="BodyTextIndent2Char">
    <w:name w:val="Body Text Indent 2 Char"/>
    <w:basedOn w:val="DefaultParagraphFont"/>
    <w:link w:val="BodyTextIndent2"/>
    <w:uiPriority w:val="99"/>
    <w:rsid w:val="000E69DA"/>
  </w:style>
  <w:style w:type="character" w:styleId="PageNumber">
    <w:name w:val="page number"/>
    <w:uiPriority w:val="99"/>
    <w:rsid w:val="000E69DA"/>
    <w:rPr>
      <w:rFonts w:cs="Times New Roman"/>
    </w:rPr>
  </w:style>
  <w:style w:type="paragraph" w:styleId="DocumentMap">
    <w:name w:val="Document Map"/>
    <w:basedOn w:val="Normal"/>
    <w:link w:val="DocumentMapChar"/>
    <w:uiPriority w:val="99"/>
    <w:semiHidden/>
    <w:rsid w:val="000E69DA"/>
    <w:pPr>
      <w:shd w:val="clear" w:color="auto" w:fill="000080"/>
    </w:pPr>
    <w:rPr>
      <w:sz w:val="2"/>
    </w:rPr>
  </w:style>
  <w:style w:type="character" w:customStyle="1" w:styleId="DocumentMapChar">
    <w:name w:val="Document Map Char"/>
    <w:basedOn w:val="DefaultParagraphFont"/>
    <w:link w:val="DocumentMap"/>
    <w:uiPriority w:val="99"/>
    <w:semiHidden/>
    <w:rsid w:val="000E69DA"/>
    <w:rPr>
      <w:sz w:val="2"/>
      <w:shd w:val="clear" w:color="auto" w:fill="000080"/>
    </w:rPr>
  </w:style>
  <w:style w:type="paragraph" w:styleId="Date">
    <w:name w:val="Date"/>
    <w:basedOn w:val="Normal"/>
    <w:next w:val="Normal"/>
    <w:link w:val="DateChar"/>
    <w:uiPriority w:val="99"/>
    <w:rsid w:val="000E69DA"/>
  </w:style>
  <w:style w:type="character" w:customStyle="1" w:styleId="DateChar">
    <w:name w:val="Date Char"/>
    <w:basedOn w:val="DefaultParagraphFont"/>
    <w:link w:val="Date"/>
    <w:uiPriority w:val="99"/>
    <w:rsid w:val="000E69DA"/>
  </w:style>
  <w:style w:type="character" w:styleId="CommentReference">
    <w:name w:val="annotation reference"/>
    <w:uiPriority w:val="99"/>
    <w:rsid w:val="000E69DA"/>
    <w:rPr>
      <w:rFonts w:cs="Times New Roman"/>
      <w:sz w:val="16"/>
      <w:szCs w:val="16"/>
    </w:rPr>
  </w:style>
  <w:style w:type="paragraph" w:styleId="CommentText">
    <w:name w:val="annotation text"/>
    <w:basedOn w:val="Normal"/>
    <w:link w:val="CommentTextChar"/>
    <w:uiPriority w:val="99"/>
    <w:rsid w:val="000E69DA"/>
  </w:style>
  <w:style w:type="character" w:customStyle="1" w:styleId="CommentTextChar">
    <w:name w:val="Comment Text Char"/>
    <w:basedOn w:val="DefaultParagraphFont"/>
    <w:link w:val="CommentText"/>
    <w:uiPriority w:val="99"/>
    <w:rsid w:val="000E69DA"/>
  </w:style>
  <w:style w:type="character" w:customStyle="1" w:styleId="NoSpacingChar">
    <w:name w:val="No Spacing Char"/>
    <w:link w:val="NoSpacing"/>
    <w:uiPriority w:val="1"/>
    <w:rsid w:val="000E69DA"/>
    <w:rPr>
      <w:rFonts w:ascii="Calibri" w:eastAsia="Calibri" w:hAnsi="Calibri"/>
      <w:sz w:val="22"/>
      <w:szCs w:val="22"/>
      <w:lang w:eastAsia="en-US"/>
    </w:rPr>
  </w:style>
  <w:style w:type="character" w:styleId="Emphasis">
    <w:name w:val="Emphasis"/>
    <w:uiPriority w:val="20"/>
    <w:qFormat/>
    <w:rsid w:val="000E69DA"/>
    <w:rPr>
      <w:i/>
      <w:iCs/>
    </w:rPr>
  </w:style>
  <w:style w:type="paragraph" w:customStyle="1" w:styleId="Default0">
    <w:name w:val="Default"/>
    <w:rsid w:val="000E69DA"/>
    <w:pPr>
      <w:autoSpaceDE w:val="0"/>
      <w:autoSpaceDN w:val="0"/>
      <w:adjustRightInd w:val="0"/>
    </w:pPr>
    <w:rPr>
      <w:rFonts w:ascii="Arial" w:eastAsia="SimSun" w:hAnsi="Arial" w:cs="Arial"/>
      <w:color w:val="000000"/>
      <w:sz w:val="24"/>
      <w:szCs w:val="24"/>
      <w:lang w:eastAsia="zh-CN"/>
    </w:rPr>
  </w:style>
  <w:style w:type="character" w:customStyle="1" w:styleId="st1">
    <w:name w:val="st1"/>
    <w:basedOn w:val="DefaultParagraphFont"/>
    <w:rsid w:val="000E69DA"/>
  </w:style>
  <w:style w:type="paragraph" w:styleId="Title">
    <w:name w:val="Title"/>
    <w:basedOn w:val="Normal"/>
    <w:next w:val="Normal"/>
    <w:link w:val="TitleChar"/>
    <w:qFormat/>
    <w:rsid w:val="000E69D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0E69DA"/>
    <w:rPr>
      <w:rFonts w:ascii="Cambria" w:hAnsi="Cambria"/>
      <w:b/>
      <w:bCs/>
      <w:kern w:val="28"/>
      <w:sz w:val="32"/>
      <w:szCs w:val="32"/>
    </w:rPr>
  </w:style>
  <w:style w:type="paragraph" w:customStyle="1" w:styleId="m-7858061917681528467msolistparagraph">
    <w:name w:val="m_-7858061917681528467msolistparagraph"/>
    <w:basedOn w:val="Normal"/>
    <w:rsid w:val="000E69DA"/>
    <w:pPr>
      <w:spacing w:before="100" w:beforeAutospacing="1" w:after="100" w:afterAutospacing="1"/>
    </w:pPr>
    <w:rPr>
      <w:sz w:val="24"/>
      <w:szCs w:val="24"/>
    </w:rPr>
  </w:style>
  <w:style w:type="character" w:styleId="Strong">
    <w:name w:val="Strong"/>
    <w:uiPriority w:val="22"/>
    <w:qFormat/>
    <w:rsid w:val="000E69DA"/>
    <w:rPr>
      <w:b/>
      <w:bCs/>
    </w:rPr>
  </w:style>
  <w:style w:type="table" w:styleId="TableGrid">
    <w:name w:val="Table Grid"/>
    <w:basedOn w:val="TableNormal"/>
    <w:rsid w:val="000E69D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C853A1"/>
    <w:rPr>
      <w:b/>
      <w:bCs/>
    </w:rPr>
  </w:style>
  <w:style w:type="character" w:customStyle="1" w:styleId="CommentSubjectChar">
    <w:name w:val="Comment Subject Char"/>
    <w:basedOn w:val="CommentTextChar"/>
    <w:link w:val="CommentSubject"/>
    <w:semiHidden/>
    <w:rsid w:val="00C853A1"/>
    <w:rPr>
      <w:b/>
      <w:bCs/>
    </w:rPr>
  </w:style>
  <w:style w:type="paragraph" w:styleId="PlainText">
    <w:name w:val="Plain Text"/>
    <w:basedOn w:val="Normal"/>
    <w:link w:val="PlainTextChar"/>
    <w:uiPriority w:val="99"/>
    <w:semiHidden/>
    <w:unhideWhenUsed/>
    <w:rsid w:val="0027784F"/>
    <w:rPr>
      <w:rFonts w:ascii="Calibri" w:eastAsiaTheme="minorHAnsi" w:hAnsi="Calibri" w:cs="Calibri"/>
      <w:sz w:val="22"/>
      <w:szCs w:val="21"/>
      <w:lang w:eastAsia="en-US"/>
    </w:rPr>
  </w:style>
  <w:style w:type="character" w:customStyle="1" w:styleId="PlainTextChar">
    <w:name w:val="Plain Text Char"/>
    <w:basedOn w:val="DefaultParagraphFont"/>
    <w:link w:val="PlainText"/>
    <w:uiPriority w:val="99"/>
    <w:semiHidden/>
    <w:rsid w:val="0027784F"/>
    <w:rPr>
      <w:rFonts w:ascii="Calibri" w:eastAsiaTheme="minorHAnsi" w:hAnsi="Calibri" w:cs="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9856">
      <w:bodyDiv w:val="1"/>
      <w:marLeft w:val="0"/>
      <w:marRight w:val="0"/>
      <w:marTop w:val="0"/>
      <w:marBottom w:val="0"/>
      <w:divBdr>
        <w:top w:val="none" w:sz="0" w:space="0" w:color="auto"/>
        <w:left w:val="none" w:sz="0" w:space="0" w:color="auto"/>
        <w:bottom w:val="none" w:sz="0" w:space="0" w:color="auto"/>
        <w:right w:val="none" w:sz="0" w:space="0" w:color="auto"/>
      </w:divBdr>
    </w:div>
    <w:div w:id="50619861">
      <w:bodyDiv w:val="1"/>
      <w:marLeft w:val="0"/>
      <w:marRight w:val="0"/>
      <w:marTop w:val="0"/>
      <w:marBottom w:val="0"/>
      <w:divBdr>
        <w:top w:val="none" w:sz="0" w:space="0" w:color="auto"/>
        <w:left w:val="none" w:sz="0" w:space="0" w:color="auto"/>
        <w:bottom w:val="none" w:sz="0" w:space="0" w:color="auto"/>
        <w:right w:val="none" w:sz="0" w:space="0" w:color="auto"/>
      </w:divBdr>
    </w:div>
    <w:div w:id="52898596">
      <w:bodyDiv w:val="1"/>
      <w:marLeft w:val="0"/>
      <w:marRight w:val="0"/>
      <w:marTop w:val="0"/>
      <w:marBottom w:val="0"/>
      <w:divBdr>
        <w:top w:val="none" w:sz="0" w:space="0" w:color="auto"/>
        <w:left w:val="none" w:sz="0" w:space="0" w:color="auto"/>
        <w:bottom w:val="none" w:sz="0" w:space="0" w:color="auto"/>
        <w:right w:val="none" w:sz="0" w:space="0" w:color="auto"/>
      </w:divBdr>
    </w:div>
    <w:div w:id="97337329">
      <w:bodyDiv w:val="1"/>
      <w:marLeft w:val="0"/>
      <w:marRight w:val="0"/>
      <w:marTop w:val="0"/>
      <w:marBottom w:val="0"/>
      <w:divBdr>
        <w:top w:val="none" w:sz="0" w:space="0" w:color="auto"/>
        <w:left w:val="none" w:sz="0" w:space="0" w:color="auto"/>
        <w:bottom w:val="none" w:sz="0" w:space="0" w:color="auto"/>
        <w:right w:val="none" w:sz="0" w:space="0" w:color="auto"/>
      </w:divBdr>
      <w:divsChild>
        <w:div w:id="2092041183">
          <w:marLeft w:val="0"/>
          <w:marRight w:val="0"/>
          <w:marTop w:val="0"/>
          <w:marBottom w:val="0"/>
          <w:divBdr>
            <w:top w:val="none" w:sz="0" w:space="0" w:color="auto"/>
            <w:left w:val="none" w:sz="0" w:space="0" w:color="auto"/>
            <w:bottom w:val="none" w:sz="0" w:space="0" w:color="auto"/>
            <w:right w:val="none" w:sz="0" w:space="0" w:color="auto"/>
          </w:divBdr>
          <w:divsChild>
            <w:div w:id="2085837954">
              <w:marLeft w:val="0"/>
              <w:marRight w:val="0"/>
              <w:marTop w:val="0"/>
              <w:marBottom w:val="0"/>
              <w:divBdr>
                <w:top w:val="none" w:sz="0" w:space="0" w:color="auto"/>
                <w:left w:val="none" w:sz="0" w:space="0" w:color="auto"/>
                <w:bottom w:val="none" w:sz="0" w:space="0" w:color="auto"/>
                <w:right w:val="none" w:sz="0" w:space="0" w:color="auto"/>
              </w:divBdr>
              <w:divsChild>
                <w:div w:id="982660340">
                  <w:marLeft w:val="0"/>
                  <w:marRight w:val="0"/>
                  <w:marTop w:val="0"/>
                  <w:marBottom w:val="0"/>
                  <w:divBdr>
                    <w:top w:val="none" w:sz="0" w:space="0" w:color="auto"/>
                    <w:left w:val="none" w:sz="0" w:space="0" w:color="auto"/>
                    <w:bottom w:val="none" w:sz="0" w:space="0" w:color="auto"/>
                    <w:right w:val="none" w:sz="0" w:space="0" w:color="auto"/>
                  </w:divBdr>
                  <w:divsChild>
                    <w:div w:id="1324436290">
                      <w:marLeft w:val="0"/>
                      <w:marRight w:val="0"/>
                      <w:marTop w:val="0"/>
                      <w:marBottom w:val="0"/>
                      <w:divBdr>
                        <w:top w:val="none" w:sz="0" w:space="0" w:color="auto"/>
                        <w:left w:val="none" w:sz="0" w:space="0" w:color="auto"/>
                        <w:bottom w:val="none" w:sz="0" w:space="0" w:color="auto"/>
                        <w:right w:val="none" w:sz="0" w:space="0" w:color="auto"/>
                      </w:divBdr>
                      <w:divsChild>
                        <w:div w:id="867059579">
                          <w:marLeft w:val="0"/>
                          <w:marRight w:val="0"/>
                          <w:marTop w:val="0"/>
                          <w:marBottom w:val="0"/>
                          <w:divBdr>
                            <w:top w:val="none" w:sz="0" w:space="0" w:color="auto"/>
                            <w:left w:val="none" w:sz="0" w:space="0" w:color="auto"/>
                            <w:bottom w:val="none" w:sz="0" w:space="0" w:color="auto"/>
                            <w:right w:val="none" w:sz="0" w:space="0" w:color="auto"/>
                          </w:divBdr>
                          <w:divsChild>
                            <w:div w:id="138304700">
                              <w:marLeft w:val="0"/>
                              <w:marRight w:val="0"/>
                              <w:marTop w:val="0"/>
                              <w:marBottom w:val="0"/>
                              <w:divBdr>
                                <w:top w:val="none" w:sz="0" w:space="0" w:color="auto"/>
                                <w:left w:val="none" w:sz="0" w:space="0" w:color="auto"/>
                                <w:bottom w:val="none" w:sz="0" w:space="0" w:color="auto"/>
                                <w:right w:val="none" w:sz="0" w:space="0" w:color="auto"/>
                              </w:divBdr>
                              <w:divsChild>
                                <w:div w:id="1178731263">
                                  <w:marLeft w:val="0"/>
                                  <w:marRight w:val="0"/>
                                  <w:marTop w:val="0"/>
                                  <w:marBottom w:val="0"/>
                                  <w:divBdr>
                                    <w:top w:val="none" w:sz="0" w:space="0" w:color="auto"/>
                                    <w:left w:val="none" w:sz="0" w:space="0" w:color="auto"/>
                                    <w:bottom w:val="none" w:sz="0" w:space="0" w:color="auto"/>
                                    <w:right w:val="none" w:sz="0" w:space="0" w:color="auto"/>
                                  </w:divBdr>
                                  <w:divsChild>
                                    <w:div w:id="1971470562">
                                      <w:marLeft w:val="0"/>
                                      <w:marRight w:val="0"/>
                                      <w:marTop w:val="0"/>
                                      <w:marBottom w:val="0"/>
                                      <w:divBdr>
                                        <w:top w:val="none" w:sz="0" w:space="0" w:color="auto"/>
                                        <w:left w:val="none" w:sz="0" w:space="0" w:color="auto"/>
                                        <w:bottom w:val="none" w:sz="0" w:space="0" w:color="auto"/>
                                        <w:right w:val="none" w:sz="0" w:space="0" w:color="auto"/>
                                      </w:divBdr>
                                      <w:divsChild>
                                        <w:div w:id="1189679245">
                                          <w:marLeft w:val="0"/>
                                          <w:marRight w:val="0"/>
                                          <w:marTop w:val="0"/>
                                          <w:marBottom w:val="0"/>
                                          <w:divBdr>
                                            <w:top w:val="none" w:sz="0" w:space="0" w:color="auto"/>
                                            <w:left w:val="none" w:sz="0" w:space="0" w:color="auto"/>
                                            <w:bottom w:val="none" w:sz="0" w:space="0" w:color="auto"/>
                                            <w:right w:val="none" w:sz="0" w:space="0" w:color="auto"/>
                                          </w:divBdr>
                                          <w:divsChild>
                                            <w:div w:id="117727240">
                                              <w:marLeft w:val="0"/>
                                              <w:marRight w:val="0"/>
                                              <w:marTop w:val="0"/>
                                              <w:marBottom w:val="0"/>
                                              <w:divBdr>
                                                <w:top w:val="none" w:sz="0" w:space="0" w:color="auto"/>
                                                <w:left w:val="none" w:sz="0" w:space="0" w:color="auto"/>
                                                <w:bottom w:val="none" w:sz="0" w:space="0" w:color="auto"/>
                                                <w:right w:val="none" w:sz="0" w:space="0" w:color="auto"/>
                                              </w:divBdr>
                                              <w:divsChild>
                                                <w:div w:id="341516444">
                                                  <w:marLeft w:val="0"/>
                                                  <w:marRight w:val="0"/>
                                                  <w:marTop w:val="0"/>
                                                  <w:marBottom w:val="0"/>
                                                  <w:divBdr>
                                                    <w:top w:val="none" w:sz="0" w:space="0" w:color="auto"/>
                                                    <w:left w:val="none" w:sz="0" w:space="0" w:color="auto"/>
                                                    <w:bottom w:val="none" w:sz="0" w:space="0" w:color="auto"/>
                                                    <w:right w:val="none" w:sz="0" w:space="0" w:color="auto"/>
                                                  </w:divBdr>
                                                </w:div>
                                                <w:div w:id="501240098">
                                                  <w:marLeft w:val="0"/>
                                                  <w:marRight w:val="0"/>
                                                  <w:marTop w:val="0"/>
                                                  <w:marBottom w:val="0"/>
                                                  <w:divBdr>
                                                    <w:top w:val="none" w:sz="0" w:space="0" w:color="auto"/>
                                                    <w:left w:val="none" w:sz="0" w:space="0" w:color="auto"/>
                                                    <w:bottom w:val="none" w:sz="0" w:space="0" w:color="auto"/>
                                                    <w:right w:val="none" w:sz="0" w:space="0" w:color="auto"/>
                                                  </w:divBdr>
                                                </w:div>
                                                <w:div w:id="15446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018603">
      <w:bodyDiv w:val="1"/>
      <w:marLeft w:val="0"/>
      <w:marRight w:val="0"/>
      <w:marTop w:val="0"/>
      <w:marBottom w:val="0"/>
      <w:divBdr>
        <w:top w:val="none" w:sz="0" w:space="0" w:color="auto"/>
        <w:left w:val="none" w:sz="0" w:space="0" w:color="auto"/>
        <w:bottom w:val="none" w:sz="0" w:space="0" w:color="auto"/>
        <w:right w:val="none" w:sz="0" w:space="0" w:color="auto"/>
      </w:divBdr>
    </w:div>
    <w:div w:id="392387067">
      <w:bodyDiv w:val="1"/>
      <w:marLeft w:val="0"/>
      <w:marRight w:val="0"/>
      <w:marTop w:val="0"/>
      <w:marBottom w:val="0"/>
      <w:divBdr>
        <w:top w:val="none" w:sz="0" w:space="0" w:color="auto"/>
        <w:left w:val="none" w:sz="0" w:space="0" w:color="auto"/>
        <w:bottom w:val="none" w:sz="0" w:space="0" w:color="auto"/>
        <w:right w:val="none" w:sz="0" w:space="0" w:color="auto"/>
      </w:divBdr>
    </w:div>
    <w:div w:id="557131931">
      <w:bodyDiv w:val="1"/>
      <w:marLeft w:val="0"/>
      <w:marRight w:val="0"/>
      <w:marTop w:val="0"/>
      <w:marBottom w:val="0"/>
      <w:divBdr>
        <w:top w:val="none" w:sz="0" w:space="0" w:color="auto"/>
        <w:left w:val="none" w:sz="0" w:space="0" w:color="auto"/>
        <w:bottom w:val="none" w:sz="0" w:space="0" w:color="auto"/>
        <w:right w:val="none" w:sz="0" w:space="0" w:color="auto"/>
      </w:divBdr>
    </w:div>
    <w:div w:id="613484261">
      <w:bodyDiv w:val="1"/>
      <w:marLeft w:val="0"/>
      <w:marRight w:val="0"/>
      <w:marTop w:val="0"/>
      <w:marBottom w:val="0"/>
      <w:divBdr>
        <w:top w:val="none" w:sz="0" w:space="0" w:color="auto"/>
        <w:left w:val="none" w:sz="0" w:space="0" w:color="auto"/>
        <w:bottom w:val="none" w:sz="0" w:space="0" w:color="auto"/>
        <w:right w:val="none" w:sz="0" w:space="0" w:color="auto"/>
      </w:divBdr>
    </w:div>
    <w:div w:id="613555151">
      <w:bodyDiv w:val="1"/>
      <w:marLeft w:val="0"/>
      <w:marRight w:val="0"/>
      <w:marTop w:val="0"/>
      <w:marBottom w:val="0"/>
      <w:divBdr>
        <w:top w:val="none" w:sz="0" w:space="0" w:color="auto"/>
        <w:left w:val="none" w:sz="0" w:space="0" w:color="auto"/>
        <w:bottom w:val="none" w:sz="0" w:space="0" w:color="auto"/>
        <w:right w:val="none" w:sz="0" w:space="0" w:color="auto"/>
      </w:divBdr>
    </w:div>
    <w:div w:id="688140682">
      <w:bodyDiv w:val="1"/>
      <w:marLeft w:val="0"/>
      <w:marRight w:val="0"/>
      <w:marTop w:val="0"/>
      <w:marBottom w:val="0"/>
      <w:divBdr>
        <w:top w:val="none" w:sz="0" w:space="0" w:color="auto"/>
        <w:left w:val="none" w:sz="0" w:space="0" w:color="auto"/>
        <w:bottom w:val="none" w:sz="0" w:space="0" w:color="auto"/>
        <w:right w:val="none" w:sz="0" w:space="0" w:color="auto"/>
      </w:divBdr>
    </w:div>
    <w:div w:id="832570894">
      <w:bodyDiv w:val="1"/>
      <w:marLeft w:val="0"/>
      <w:marRight w:val="0"/>
      <w:marTop w:val="0"/>
      <w:marBottom w:val="0"/>
      <w:divBdr>
        <w:top w:val="none" w:sz="0" w:space="0" w:color="auto"/>
        <w:left w:val="none" w:sz="0" w:space="0" w:color="auto"/>
        <w:bottom w:val="none" w:sz="0" w:space="0" w:color="auto"/>
        <w:right w:val="none" w:sz="0" w:space="0" w:color="auto"/>
      </w:divBdr>
    </w:div>
    <w:div w:id="945426450">
      <w:bodyDiv w:val="1"/>
      <w:marLeft w:val="0"/>
      <w:marRight w:val="0"/>
      <w:marTop w:val="0"/>
      <w:marBottom w:val="0"/>
      <w:divBdr>
        <w:top w:val="none" w:sz="0" w:space="0" w:color="auto"/>
        <w:left w:val="none" w:sz="0" w:space="0" w:color="auto"/>
        <w:bottom w:val="none" w:sz="0" w:space="0" w:color="auto"/>
        <w:right w:val="none" w:sz="0" w:space="0" w:color="auto"/>
      </w:divBdr>
    </w:div>
    <w:div w:id="998339716">
      <w:bodyDiv w:val="1"/>
      <w:marLeft w:val="0"/>
      <w:marRight w:val="0"/>
      <w:marTop w:val="0"/>
      <w:marBottom w:val="0"/>
      <w:divBdr>
        <w:top w:val="none" w:sz="0" w:space="0" w:color="auto"/>
        <w:left w:val="none" w:sz="0" w:space="0" w:color="auto"/>
        <w:bottom w:val="none" w:sz="0" w:space="0" w:color="auto"/>
        <w:right w:val="none" w:sz="0" w:space="0" w:color="auto"/>
      </w:divBdr>
    </w:div>
    <w:div w:id="1003242520">
      <w:bodyDiv w:val="1"/>
      <w:marLeft w:val="0"/>
      <w:marRight w:val="0"/>
      <w:marTop w:val="0"/>
      <w:marBottom w:val="0"/>
      <w:divBdr>
        <w:top w:val="none" w:sz="0" w:space="0" w:color="auto"/>
        <w:left w:val="none" w:sz="0" w:space="0" w:color="auto"/>
        <w:bottom w:val="none" w:sz="0" w:space="0" w:color="auto"/>
        <w:right w:val="none" w:sz="0" w:space="0" w:color="auto"/>
      </w:divBdr>
    </w:div>
    <w:div w:id="1312910393">
      <w:bodyDiv w:val="1"/>
      <w:marLeft w:val="0"/>
      <w:marRight w:val="0"/>
      <w:marTop w:val="0"/>
      <w:marBottom w:val="0"/>
      <w:divBdr>
        <w:top w:val="none" w:sz="0" w:space="0" w:color="auto"/>
        <w:left w:val="none" w:sz="0" w:space="0" w:color="auto"/>
        <w:bottom w:val="none" w:sz="0" w:space="0" w:color="auto"/>
        <w:right w:val="none" w:sz="0" w:space="0" w:color="auto"/>
      </w:divBdr>
    </w:div>
    <w:div w:id="1370759655">
      <w:bodyDiv w:val="1"/>
      <w:marLeft w:val="0"/>
      <w:marRight w:val="0"/>
      <w:marTop w:val="0"/>
      <w:marBottom w:val="0"/>
      <w:divBdr>
        <w:top w:val="none" w:sz="0" w:space="0" w:color="auto"/>
        <w:left w:val="none" w:sz="0" w:space="0" w:color="auto"/>
        <w:bottom w:val="none" w:sz="0" w:space="0" w:color="auto"/>
        <w:right w:val="none" w:sz="0" w:space="0" w:color="auto"/>
      </w:divBdr>
    </w:div>
    <w:div w:id="1371221942">
      <w:bodyDiv w:val="1"/>
      <w:marLeft w:val="0"/>
      <w:marRight w:val="0"/>
      <w:marTop w:val="0"/>
      <w:marBottom w:val="0"/>
      <w:divBdr>
        <w:top w:val="none" w:sz="0" w:space="0" w:color="auto"/>
        <w:left w:val="none" w:sz="0" w:space="0" w:color="auto"/>
        <w:bottom w:val="none" w:sz="0" w:space="0" w:color="auto"/>
        <w:right w:val="none" w:sz="0" w:space="0" w:color="auto"/>
      </w:divBdr>
    </w:div>
    <w:div w:id="1406296993">
      <w:bodyDiv w:val="1"/>
      <w:marLeft w:val="0"/>
      <w:marRight w:val="0"/>
      <w:marTop w:val="0"/>
      <w:marBottom w:val="0"/>
      <w:divBdr>
        <w:top w:val="none" w:sz="0" w:space="0" w:color="auto"/>
        <w:left w:val="none" w:sz="0" w:space="0" w:color="auto"/>
        <w:bottom w:val="none" w:sz="0" w:space="0" w:color="auto"/>
        <w:right w:val="none" w:sz="0" w:space="0" w:color="auto"/>
      </w:divBdr>
    </w:div>
    <w:div w:id="1526794286">
      <w:bodyDiv w:val="1"/>
      <w:marLeft w:val="0"/>
      <w:marRight w:val="0"/>
      <w:marTop w:val="0"/>
      <w:marBottom w:val="0"/>
      <w:divBdr>
        <w:top w:val="none" w:sz="0" w:space="0" w:color="auto"/>
        <w:left w:val="none" w:sz="0" w:space="0" w:color="auto"/>
        <w:bottom w:val="none" w:sz="0" w:space="0" w:color="auto"/>
        <w:right w:val="none" w:sz="0" w:space="0" w:color="auto"/>
      </w:divBdr>
    </w:div>
    <w:div w:id="1557621114">
      <w:bodyDiv w:val="1"/>
      <w:marLeft w:val="0"/>
      <w:marRight w:val="0"/>
      <w:marTop w:val="0"/>
      <w:marBottom w:val="0"/>
      <w:divBdr>
        <w:top w:val="none" w:sz="0" w:space="0" w:color="auto"/>
        <w:left w:val="none" w:sz="0" w:space="0" w:color="auto"/>
        <w:bottom w:val="none" w:sz="0" w:space="0" w:color="auto"/>
        <w:right w:val="none" w:sz="0" w:space="0" w:color="auto"/>
      </w:divBdr>
    </w:div>
    <w:div w:id="1806969081">
      <w:bodyDiv w:val="1"/>
      <w:marLeft w:val="0"/>
      <w:marRight w:val="0"/>
      <w:marTop w:val="0"/>
      <w:marBottom w:val="0"/>
      <w:divBdr>
        <w:top w:val="none" w:sz="0" w:space="0" w:color="auto"/>
        <w:left w:val="none" w:sz="0" w:space="0" w:color="auto"/>
        <w:bottom w:val="none" w:sz="0" w:space="0" w:color="auto"/>
        <w:right w:val="none" w:sz="0" w:space="0" w:color="auto"/>
      </w:divBdr>
    </w:div>
    <w:div w:id="1841310926">
      <w:bodyDiv w:val="1"/>
      <w:marLeft w:val="0"/>
      <w:marRight w:val="0"/>
      <w:marTop w:val="0"/>
      <w:marBottom w:val="0"/>
      <w:divBdr>
        <w:top w:val="none" w:sz="0" w:space="0" w:color="auto"/>
        <w:left w:val="none" w:sz="0" w:space="0" w:color="auto"/>
        <w:bottom w:val="none" w:sz="0" w:space="0" w:color="auto"/>
        <w:right w:val="none" w:sz="0" w:space="0" w:color="auto"/>
      </w:divBdr>
    </w:div>
    <w:div w:id="1882087474">
      <w:bodyDiv w:val="1"/>
      <w:marLeft w:val="0"/>
      <w:marRight w:val="0"/>
      <w:marTop w:val="0"/>
      <w:marBottom w:val="0"/>
      <w:divBdr>
        <w:top w:val="none" w:sz="0" w:space="0" w:color="auto"/>
        <w:left w:val="none" w:sz="0" w:space="0" w:color="auto"/>
        <w:bottom w:val="none" w:sz="0" w:space="0" w:color="auto"/>
        <w:right w:val="none" w:sz="0" w:space="0" w:color="auto"/>
      </w:divBdr>
    </w:div>
    <w:div w:id="1920747379">
      <w:bodyDiv w:val="1"/>
      <w:marLeft w:val="0"/>
      <w:marRight w:val="0"/>
      <w:marTop w:val="0"/>
      <w:marBottom w:val="0"/>
      <w:divBdr>
        <w:top w:val="none" w:sz="0" w:space="0" w:color="auto"/>
        <w:left w:val="none" w:sz="0" w:space="0" w:color="auto"/>
        <w:bottom w:val="none" w:sz="0" w:space="0" w:color="auto"/>
        <w:right w:val="none" w:sz="0" w:space="0" w:color="auto"/>
      </w:divBdr>
    </w:div>
    <w:div w:id="1921062707">
      <w:bodyDiv w:val="1"/>
      <w:marLeft w:val="0"/>
      <w:marRight w:val="0"/>
      <w:marTop w:val="0"/>
      <w:marBottom w:val="0"/>
      <w:divBdr>
        <w:top w:val="none" w:sz="0" w:space="0" w:color="auto"/>
        <w:left w:val="none" w:sz="0" w:space="0" w:color="auto"/>
        <w:bottom w:val="none" w:sz="0" w:space="0" w:color="auto"/>
        <w:right w:val="none" w:sz="0" w:space="0" w:color="auto"/>
      </w:divBdr>
    </w:div>
    <w:div w:id="1928004379">
      <w:bodyDiv w:val="1"/>
      <w:marLeft w:val="0"/>
      <w:marRight w:val="0"/>
      <w:marTop w:val="0"/>
      <w:marBottom w:val="0"/>
      <w:divBdr>
        <w:top w:val="none" w:sz="0" w:space="0" w:color="auto"/>
        <w:left w:val="none" w:sz="0" w:space="0" w:color="auto"/>
        <w:bottom w:val="none" w:sz="0" w:space="0" w:color="auto"/>
        <w:right w:val="none" w:sz="0" w:space="0" w:color="auto"/>
      </w:divBdr>
    </w:div>
    <w:div w:id="1956980336">
      <w:bodyDiv w:val="1"/>
      <w:marLeft w:val="0"/>
      <w:marRight w:val="0"/>
      <w:marTop w:val="0"/>
      <w:marBottom w:val="0"/>
      <w:divBdr>
        <w:top w:val="none" w:sz="0" w:space="0" w:color="auto"/>
        <w:left w:val="none" w:sz="0" w:space="0" w:color="auto"/>
        <w:bottom w:val="none" w:sz="0" w:space="0" w:color="auto"/>
        <w:right w:val="none" w:sz="0" w:space="0" w:color="auto"/>
      </w:divBdr>
    </w:div>
    <w:div w:id="21119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Microsoft_Excel_97-2003_Worksheet1.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cid:image002.jpg@01D5E280.E7544AD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en-kufner\Documents\Custom%20Office%20Templates\Memorandum%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B05B2-B7EB-470A-85FB-6F883EF39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2019.</Template>
  <TotalTime>1195</TotalTime>
  <Pages>27</Pages>
  <Words>12053</Words>
  <Characters>68707</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grad rijeka</Company>
  <LinksUpToDate>false</LinksUpToDate>
  <CharactersWithSpaces>80599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Sesar</dc:creator>
  <cp:keywords/>
  <cp:lastModifiedBy>Kukuljan Ljiljana</cp:lastModifiedBy>
  <cp:revision>336</cp:revision>
  <cp:lastPrinted>2023-02-15T08:00:00Z</cp:lastPrinted>
  <dcterms:created xsi:type="dcterms:W3CDTF">2023-02-10T11:29:00Z</dcterms:created>
  <dcterms:modified xsi:type="dcterms:W3CDTF">2023-02-16T08:46:00Z</dcterms:modified>
</cp:coreProperties>
</file>