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E9C" w:rsidRPr="003E5ED2" w:rsidRDefault="00233104">
      <w:pPr>
        <w:rPr>
          <w:b/>
        </w:rPr>
      </w:pPr>
      <w:r w:rsidRPr="003E5ED2">
        <w:rPr>
          <w:b/>
        </w:rPr>
        <w:t xml:space="preserve">                           </w:t>
      </w:r>
      <w:r w:rsidR="00221098" w:rsidRPr="003E5ED2">
        <w:rPr>
          <w:b/>
        </w:rPr>
        <w:t xml:space="preserve"> </w:t>
      </w:r>
      <w:r w:rsidRPr="003E5ED2">
        <w:rPr>
          <w:b/>
        </w:rPr>
        <w:t xml:space="preserve"> </w:t>
      </w:r>
      <w:r w:rsidR="00221098" w:rsidRPr="003E5ED2">
        <w:rPr>
          <w:b/>
        </w:rPr>
        <w:t xml:space="preserve">  </w:t>
      </w:r>
      <w:r w:rsidR="00073E9C" w:rsidRPr="003E5ED2">
        <w:rPr>
          <w:b/>
          <w:noProof/>
        </w:rPr>
        <w:drawing>
          <wp:inline distT="0" distB="0" distL="0" distR="0" wp14:anchorId="0E56CF39" wp14:editId="33586A5E">
            <wp:extent cx="464653" cy="568960"/>
            <wp:effectExtent l="0" t="0" r="0" b="2540"/>
            <wp:docPr id="1" name="Picture 1" descr="gr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741" cy="577639"/>
                    </a:xfrm>
                    <a:prstGeom prst="rect">
                      <a:avLst/>
                    </a:prstGeom>
                    <a:noFill/>
                    <a:ln>
                      <a:noFill/>
                    </a:ln>
                  </pic:spPr>
                </pic:pic>
              </a:graphicData>
            </a:graphic>
          </wp:inline>
        </w:drawing>
      </w:r>
      <w:r w:rsidR="00221098" w:rsidRPr="003E5ED2">
        <w:rPr>
          <w:b/>
        </w:rPr>
        <w:t xml:space="preserve">  </w:t>
      </w:r>
    </w:p>
    <w:p w:rsidR="00233104" w:rsidRPr="003E5ED2" w:rsidRDefault="00233104">
      <w:pPr>
        <w:rPr>
          <w:b/>
          <w:sz w:val="16"/>
          <w:szCs w:val="16"/>
        </w:rPr>
      </w:pPr>
    </w:p>
    <w:p w:rsidR="00221098" w:rsidRPr="003E5ED2" w:rsidRDefault="00175D32">
      <w:pPr>
        <w:pStyle w:val="Heading1"/>
        <w:spacing w:line="240" w:lineRule="exact"/>
        <w:rPr>
          <w:rFonts w:ascii="Times New Roman" w:hAnsi="Times New Roman"/>
          <w:sz w:val="22"/>
          <w:szCs w:val="22"/>
        </w:rPr>
      </w:pPr>
      <w:r w:rsidRPr="003E5ED2">
        <w:rPr>
          <w:rFonts w:ascii="Times New Roman" w:hAnsi="Times New Roman"/>
          <w:sz w:val="22"/>
          <w:szCs w:val="22"/>
        </w:rPr>
        <w:t xml:space="preserve"> REPUBLIKA </w:t>
      </w:r>
      <w:r w:rsidR="00221098" w:rsidRPr="003E5ED2">
        <w:rPr>
          <w:rFonts w:ascii="Times New Roman" w:hAnsi="Times New Roman"/>
          <w:sz w:val="22"/>
          <w:szCs w:val="22"/>
        </w:rPr>
        <w:t>HRVATSKA</w:t>
      </w:r>
    </w:p>
    <w:p w:rsidR="00221098" w:rsidRPr="003E5ED2" w:rsidRDefault="00221098">
      <w:pPr>
        <w:spacing w:line="240" w:lineRule="exact"/>
        <w:ind w:right="4835"/>
        <w:jc w:val="both"/>
        <w:rPr>
          <w:b/>
          <w:sz w:val="22"/>
          <w:szCs w:val="22"/>
        </w:rPr>
      </w:pPr>
      <w:r w:rsidRPr="003E5ED2">
        <w:rPr>
          <w:b/>
          <w:sz w:val="22"/>
          <w:szCs w:val="22"/>
        </w:rPr>
        <w:t>PRIMORSKO - GORANSKA ŽUPANIJA</w:t>
      </w:r>
    </w:p>
    <w:p w:rsidR="00221098" w:rsidRPr="003E5ED2" w:rsidRDefault="00221098">
      <w:pPr>
        <w:ind w:left="-454" w:right="4564"/>
        <w:rPr>
          <w:b/>
        </w:rPr>
      </w:pPr>
      <w:r w:rsidRPr="003E5ED2">
        <w:rPr>
          <w:b/>
        </w:rPr>
        <w:t xml:space="preserve">        </w:t>
      </w:r>
      <w:r w:rsidR="00407BF7" w:rsidRPr="003E5ED2">
        <w:rPr>
          <w:b/>
        </w:rPr>
        <w:t xml:space="preserve">  </w:t>
      </w:r>
      <w:r w:rsidR="00407BF7" w:rsidRPr="003E5ED2">
        <w:rPr>
          <w:color w:val="1F497D"/>
        </w:rPr>
        <w:t xml:space="preserve"> </w:t>
      </w:r>
      <w:r w:rsidR="00407BF7" w:rsidRPr="003E5ED2">
        <w:rPr>
          <w:noProof/>
          <w:color w:val="1F497D"/>
        </w:rPr>
        <w:drawing>
          <wp:inline distT="0" distB="0" distL="0" distR="0" wp14:anchorId="61F55583" wp14:editId="1BDE79BA">
            <wp:extent cx="2042160" cy="515952"/>
            <wp:effectExtent l="0" t="0" r="0" b="0"/>
            <wp:docPr id="15" name="Picture 15"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07981" cy="532582"/>
                    </a:xfrm>
                    <a:prstGeom prst="rect">
                      <a:avLst/>
                    </a:prstGeom>
                    <a:noFill/>
                    <a:ln>
                      <a:noFill/>
                    </a:ln>
                  </pic:spPr>
                </pic:pic>
              </a:graphicData>
            </a:graphic>
          </wp:inline>
        </w:drawing>
      </w:r>
      <w:r w:rsidR="00407BF7" w:rsidRPr="003E5ED2">
        <w:rPr>
          <w:color w:val="1F497D"/>
        </w:rPr>
        <w:t xml:space="preserve">  </w:t>
      </w:r>
    </w:p>
    <w:p w:rsidR="007E61C8" w:rsidRPr="003E5ED2" w:rsidRDefault="007E61C8" w:rsidP="007E61C8"/>
    <w:p w:rsidR="007E61C8" w:rsidRPr="003E5ED2" w:rsidRDefault="007E61C8" w:rsidP="007E61C8">
      <w:pPr>
        <w:keepNext/>
        <w:ind w:left="72"/>
        <w:jc w:val="both"/>
        <w:outlineLvl w:val="3"/>
        <w:rPr>
          <w:rFonts w:ascii="Arial" w:hAnsi="Arial"/>
          <w:b/>
          <w:sz w:val="22"/>
          <w:szCs w:val="22"/>
        </w:rPr>
      </w:pPr>
      <w:r w:rsidRPr="003E5ED2">
        <w:rPr>
          <w:rFonts w:ascii="Arial" w:hAnsi="Arial"/>
          <w:b/>
          <w:bCs/>
          <w:sz w:val="26"/>
          <w:szCs w:val="26"/>
        </w:rPr>
        <w:tab/>
      </w:r>
      <w:r w:rsidRPr="003E5ED2">
        <w:rPr>
          <w:rFonts w:ascii="Arial" w:hAnsi="Arial"/>
          <w:b/>
          <w:bCs/>
          <w:sz w:val="26"/>
          <w:szCs w:val="26"/>
        </w:rPr>
        <w:tab/>
      </w:r>
      <w:r w:rsidRPr="003E5ED2">
        <w:rPr>
          <w:rFonts w:ascii="Arial" w:hAnsi="Arial"/>
          <w:b/>
          <w:bCs/>
          <w:sz w:val="26"/>
          <w:szCs w:val="26"/>
        </w:rPr>
        <w:tab/>
      </w:r>
      <w:r w:rsidRPr="003E5ED2">
        <w:rPr>
          <w:rFonts w:ascii="Arial" w:hAnsi="Arial"/>
          <w:b/>
          <w:bCs/>
          <w:sz w:val="26"/>
          <w:szCs w:val="26"/>
        </w:rPr>
        <w:tab/>
      </w:r>
      <w:r w:rsidRPr="003E5ED2">
        <w:rPr>
          <w:rFonts w:ascii="Arial" w:hAnsi="Arial"/>
          <w:b/>
          <w:bCs/>
          <w:sz w:val="26"/>
          <w:szCs w:val="26"/>
        </w:rPr>
        <w:tab/>
      </w:r>
      <w:r w:rsidRPr="003E5ED2">
        <w:rPr>
          <w:rFonts w:ascii="Arial" w:hAnsi="Arial"/>
          <w:b/>
          <w:bCs/>
          <w:sz w:val="26"/>
          <w:szCs w:val="26"/>
        </w:rPr>
        <w:tab/>
      </w:r>
      <w:r w:rsidRPr="003E5ED2">
        <w:rPr>
          <w:rFonts w:ascii="Arial" w:hAnsi="Arial"/>
          <w:b/>
          <w:bCs/>
          <w:sz w:val="26"/>
          <w:szCs w:val="26"/>
        </w:rPr>
        <w:tab/>
      </w:r>
      <w:r w:rsidRPr="003E5ED2">
        <w:rPr>
          <w:rFonts w:ascii="Arial" w:hAnsi="Arial"/>
          <w:b/>
          <w:bCs/>
          <w:sz w:val="26"/>
          <w:szCs w:val="26"/>
        </w:rPr>
        <w:tab/>
      </w:r>
      <w:r w:rsidRPr="003E5ED2">
        <w:rPr>
          <w:rFonts w:ascii="Arial" w:hAnsi="Arial"/>
          <w:b/>
          <w:sz w:val="22"/>
          <w:szCs w:val="22"/>
        </w:rPr>
        <w:t>Razina</w:t>
      </w:r>
      <w:r w:rsidRPr="003E5ED2">
        <w:rPr>
          <w:rFonts w:ascii="Arial" w:hAnsi="Arial"/>
          <w:b/>
          <w:sz w:val="22"/>
          <w:szCs w:val="22"/>
        </w:rPr>
        <w:tab/>
      </w:r>
      <w:r w:rsidRPr="003E5ED2">
        <w:rPr>
          <w:rFonts w:ascii="Arial" w:hAnsi="Arial"/>
          <w:b/>
          <w:sz w:val="22"/>
          <w:szCs w:val="22"/>
        </w:rPr>
        <w:tab/>
      </w:r>
      <w:r w:rsidRPr="003E5ED2">
        <w:rPr>
          <w:rFonts w:ascii="Arial" w:hAnsi="Arial"/>
          <w:b/>
          <w:sz w:val="22"/>
          <w:szCs w:val="22"/>
        </w:rPr>
        <w:tab/>
      </w:r>
      <w:r w:rsidRPr="003E5ED2">
        <w:rPr>
          <w:rFonts w:ascii="Arial" w:hAnsi="Arial"/>
          <w:b/>
          <w:sz w:val="22"/>
          <w:szCs w:val="22"/>
        </w:rPr>
        <w:tab/>
        <w:t xml:space="preserve"> </w:t>
      </w:r>
      <w:r w:rsidR="001776E5" w:rsidRPr="003E5ED2">
        <w:rPr>
          <w:rFonts w:ascii="Arial" w:hAnsi="Arial"/>
          <w:b/>
          <w:sz w:val="22"/>
          <w:szCs w:val="22"/>
        </w:rPr>
        <w:t xml:space="preserve">   </w:t>
      </w:r>
      <w:r w:rsidRPr="003E5ED2">
        <w:rPr>
          <w:rFonts w:ascii="Arial" w:hAnsi="Arial"/>
          <w:b/>
          <w:sz w:val="22"/>
          <w:szCs w:val="22"/>
        </w:rPr>
        <w:t>22</w:t>
      </w:r>
    </w:p>
    <w:p w:rsidR="007E61C8" w:rsidRPr="003E5ED2" w:rsidRDefault="007E61C8" w:rsidP="007E61C8">
      <w:pPr>
        <w:keepNext/>
        <w:ind w:left="72"/>
        <w:jc w:val="both"/>
        <w:outlineLvl w:val="3"/>
        <w:rPr>
          <w:rFonts w:ascii="Arial" w:hAnsi="Arial"/>
          <w:b/>
          <w:bCs/>
          <w:sz w:val="22"/>
          <w:szCs w:val="22"/>
        </w:rPr>
      </w:pPr>
      <w:r w:rsidRPr="003E5ED2">
        <w:rPr>
          <w:rFonts w:ascii="Arial" w:hAnsi="Arial"/>
          <w:b/>
          <w:sz w:val="22"/>
          <w:szCs w:val="22"/>
        </w:rPr>
        <w:tab/>
      </w:r>
      <w:r w:rsidRPr="003E5ED2">
        <w:rPr>
          <w:rFonts w:ascii="Arial" w:hAnsi="Arial"/>
          <w:b/>
          <w:sz w:val="22"/>
          <w:szCs w:val="22"/>
        </w:rPr>
        <w:tab/>
      </w:r>
      <w:r w:rsidRPr="003E5ED2">
        <w:rPr>
          <w:rFonts w:ascii="Arial" w:hAnsi="Arial"/>
          <w:b/>
          <w:sz w:val="22"/>
          <w:szCs w:val="22"/>
        </w:rPr>
        <w:tab/>
      </w:r>
      <w:r w:rsidRPr="003E5ED2">
        <w:rPr>
          <w:rFonts w:ascii="Arial" w:hAnsi="Arial"/>
          <w:b/>
          <w:sz w:val="22"/>
          <w:szCs w:val="22"/>
        </w:rPr>
        <w:tab/>
      </w:r>
      <w:r w:rsidRPr="003E5ED2">
        <w:rPr>
          <w:rFonts w:ascii="Arial" w:hAnsi="Arial"/>
          <w:b/>
          <w:sz w:val="22"/>
          <w:szCs w:val="22"/>
        </w:rPr>
        <w:tab/>
      </w:r>
      <w:r w:rsidRPr="003E5ED2">
        <w:rPr>
          <w:rFonts w:ascii="Arial" w:hAnsi="Arial"/>
          <w:b/>
          <w:sz w:val="22"/>
          <w:szCs w:val="22"/>
        </w:rPr>
        <w:tab/>
      </w:r>
      <w:r w:rsidRPr="003E5ED2">
        <w:rPr>
          <w:rFonts w:ascii="Arial" w:hAnsi="Arial"/>
          <w:b/>
          <w:sz w:val="22"/>
          <w:szCs w:val="22"/>
        </w:rPr>
        <w:tab/>
      </w:r>
      <w:r w:rsidRPr="003E5ED2">
        <w:rPr>
          <w:rFonts w:ascii="Arial" w:hAnsi="Arial"/>
          <w:b/>
          <w:sz w:val="22"/>
          <w:szCs w:val="22"/>
        </w:rPr>
        <w:tab/>
        <w:t>Matični broj</w:t>
      </w:r>
      <w:r w:rsidRPr="003E5ED2">
        <w:rPr>
          <w:rFonts w:ascii="Arial" w:hAnsi="Arial"/>
          <w:b/>
          <w:sz w:val="22"/>
          <w:szCs w:val="22"/>
        </w:rPr>
        <w:tab/>
      </w:r>
      <w:r w:rsidRPr="003E5ED2">
        <w:rPr>
          <w:rFonts w:ascii="Arial" w:hAnsi="Arial"/>
          <w:b/>
          <w:sz w:val="22"/>
          <w:szCs w:val="22"/>
        </w:rPr>
        <w:tab/>
        <w:t xml:space="preserve">   </w:t>
      </w:r>
      <w:r w:rsidR="001776E5" w:rsidRPr="003E5ED2">
        <w:rPr>
          <w:rFonts w:ascii="Arial" w:hAnsi="Arial"/>
          <w:b/>
          <w:sz w:val="22"/>
          <w:szCs w:val="22"/>
        </w:rPr>
        <w:t xml:space="preserve"> </w:t>
      </w:r>
      <w:r w:rsidRPr="003E5ED2">
        <w:rPr>
          <w:rFonts w:ascii="Arial" w:hAnsi="Arial"/>
          <w:b/>
          <w:sz w:val="22"/>
          <w:szCs w:val="22"/>
        </w:rPr>
        <w:t>02664763</w:t>
      </w:r>
    </w:p>
    <w:p w:rsidR="007E61C8" w:rsidRPr="003E5ED2" w:rsidRDefault="007E61C8" w:rsidP="007E61C8">
      <w:pPr>
        <w:keepNext/>
        <w:ind w:firstLine="720"/>
        <w:jc w:val="both"/>
        <w:outlineLvl w:val="3"/>
        <w:rPr>
          <w:rFonts w:ascii="Arial" w:hAnsi="Arial"/>
          <w:b/>
          <w:sz w:val="22"/>
          <w:szCs w:val="22"/>
        </w:rPr>
      </w:pPr>
      <w:r w:rsidRPr="003E5ED2">
        <w:rPr>
          <w:rFonts w:ascii="Arial" w:hAnsi="Arial"/>
          <w:b/>
          <w:bCs/>
          <w:sz w:val="22"/>
          <w:szCs w:val="22"/>
        </w:rPr>
        <w:tab/>
      </w:r>
      <w:r w:rsidRPr="003E5ED2">
        <w:rPr>
          <w:rFonts w:ascii="Arial" w:hAnsi="Arial"/>
          <w:b/>
          <w:bCs/>
          <w:sz w:val="22"/>
          <w:szCs w:val="22"/>
        </w:rPr>
        <w:tab/>
      </w:r>
      <w:r w:rsidRPr="003E5ED2">
        <w:rPr>
          <w:rFonts w:ascii="Arial" w:hAnsi="Arial"/>
          <w:b/>
          <w:bCs/>
          <w:sz w:val="22"/>
          <w:szCs w:val="22"/>
        </w:rPr>
        <w:tab/>
      </w:r>
      <w:r w:rsidRPr="003E5ED2">
        <w:rPr>
          <w:rFonts w:ascii="Arial" w:hAnsi="Arial"/>
          <w:b/>
          <w:bCs/>
          <w:sz w:val="22"/>
          <w:szCs w:val="22"/>
        </w:rPr>
        <w:tab/>
      </w:r>
      <w:r w:rsidRPr="003E5ED2">
        <w:rPr>
          <w:rFonts w:ascii="Arial" w:hAnsi="Arial"/>
          <w:b/>
          <w:bCs/>
          <w:sz w:val="22"/>
          <w:szCs w:val="22"/>
        </w:rPr>
        <w:tab/>
      </w:r>
      <w:r w:rsidRPr="003E5ED2">
        <w:rPr>
          <w:rFonts w:ascii="Arial" w:hAnsi="Arial"/>
          <w:b/>
          <w:bCs/>
          <w:sz w:val="22"/>
          <w:szCs w:val="22"/>
        </w:rPr>
        <w:tab/>
      </w:r>
      <w:r w:rsidRPr="003E5ED2">
        <w:rPr>
          <w:rFonts w:ascii="Arial" w:hAnsi="Arial"/>
          <w:b/>
          <w:bCs/>
          <w:sz w:val="22"/>
          <w:szCs w:val="22"/>
        </w:rPr>
        <w:tab/>
      </w:r>
      <w:r w:rsidRPr="003E5ED2">
        <w:rPr>
          <w:rFonts w:ascii="Arial" w:hAnsi="Arial"/>
          <w:b/>
          <w:sz w:val="22"/>
          <w:szCs w:val="22"/>
        </w:rPr>
        <w:t>RKP</w:t>
      </w:r>
      <w:r w:rsidRPr="003E5ED2">
        <w:rPr>
          <w:rFonts w:ascii="Arial" w:hAnsi="Arial"/>
          <w:b/>
          <w:sz w:val="22"/>
          <w:szCs w:val="22"/>
        </w:rPr>
        <w:tab/>
      </w:r>
      <w:r w:rsidRPr="003E5ED2">
        <w:rPr>
          <w:rFonts w:ascii="Arial" w:hAnsi="Arial"/>
          <w:b/>
          <w:sz w:val="22"/>
          <w:szCs w:val="22"/>
        </w:rPr>
        <w:tab/>
      </w:r>
      <w:r w:rsidRPr="003E5ED2">
        <w:rPr>
          <w:rFonts w:ascii="Arial" w:hAnsi="Arial"/>
          <w:b/>
          <w:sz w:val="22"/>
          <w:szCs w:val="22"/>
        </w:rPr>
        <w:tab/>
        <w:t xml:space="preserve">         </w:t>
      </w:r>
      <w:r w:rsidR="001776E5" w:rsidRPr="003E5ED2">
        <w:rPr>
          <w:rFonts w:ascii="Arial" w:hAnsi="Arial"/>
          <w:b/>
          <w:sz w:val="22"/>
          <w:szCs w:val="22"/>
        </w:rPr>
        <w:t xml:space="preserve"> </w:t>
      </w:r>
      <w:r w:rsidRPr="003E5ED2">
        <w:rPr>
          <w:rFonts w:ascii="Arial" w:hAnsi="Arial"/>
          <w:b/>
          <w:sz w:val="22"/>
          <w:szCs w:val="22"/>
        </w:rPr>
        <w:t>31059</w:t>
      </w:r>
    </w:p>
    <w:p w:rsidR="007E61C8" w:rsidRPr="003E5ED2" w:rsidRDefault="007E61C8" w:rsidP="007E61C8">
      <w:pPr>
        <w:keepNext/>
        <w:jc w:val="both"/>
        <w:outlineLvl w:val="3"/>
        <w:rPr>
          <w:rFonts w:ascii="Arial" w:hAnsi="Arial"/>
          <w:b/>
          <w:bCs/>
          <w:sz w:val="22"/>
          <w:szCs w:val="22"/>
        </w:rPr>
      </w:pPr>
      <w:r w:rsidRPr="003E5ED2">
        <w:rPr>
          <w:rFonts w:ascii="Arial" w:hAnsi="Arial"/>
          <w:b/>
          <w:bCs/>
          <w:sz w:val="22"/>
          <w:szCs w:val="22"/>
        </w:rPr>
        <w:tab/>
      </w:r>
      <w:r w:rsidRPr="003E5ED2">
        <w:rPr>
          <w:rFonts w:ascii="Arial" w:hAnsi="Arial"/>
          <w:b/>
          <w:bCs/>
          <w:sz w:val="22"/>
          <w:szCs w:val="22"/>
        </w:rPr>
        <w:tab/>
      </w:r>
      <w:r w:rsidRPr="003E5ED2">
        <w:rPr>
          <w:rFonts w:ascii="Arial" w:hAnsi="Arial"/>
          <w:b/>
          <w:bCs/>
          <w:sz w:val="22"/>
          <w:szCs w:val="22"/>
        </w:rPr>
        <w:tab/>
      </w:r>
      <w:r w:rsidRPr="003E5ED2">
        <w:rPr>
          <w:rFonts w:ascii="Arial" w:hAnsi="Arial"/>
          <w:b/>
          <w:bCs/>
          <w:sz w:val="22"/>
          <w:szCs w:val="22"/>
        </w:rPr>
        <w:tab/>
      </w:r>
      <w:r w:rsidRPr="003E5ED2">
        <w:rPr>
          <w:rFonts w:ascii="Arial" w:hAnsi="Arial"/>
          <w:b/>
          <w:bCs/>
          <w:sz w:val="22"/>
          <w:szCs w:val="22"/>
        </w:rPr>
        <w:tab/>
      </w:r>
      <w:r w:rsidRPr="003E5ED2">
        <w:rPr>
          <w:rFonts w:ascii="Arial" w:hAnsi="Arial"/>
          <w:b/>
          <w:bCs/>
          <w:sz w:val="22"/>
          <w:szCs w:val="22"/>
        </w:rPr>
        <w:tab/>
      </w:r>
      <w:r w:rsidRPr="003E5ED2">
        <w:rPr>
          <w:rFonts w:ascii="Arial" w:hAnsi="Arial"/>
          <w:b/>
          <w:bCs/>
          <w:sz w:val="22"/>
          <w:szCs w:val="22"/>
        </w:rPr>
        <w:tab/>
      </w:r>
      <w:r w:rsidRPr="003E5ED2">
        <w:rPr>
          <w:rFonts w:ascii="Arial" w:hAnsi="Arial"/>
          <w:b/>
          <w:bCs/>
          <w:sz w:val="22"/>
          <w:szCs w:val="22"/>
        </w:rPr>
        <w:tab/>
        <w:t>Šifra djelatnosti</w:t>
      </w:r>
      <w:r w:rsidRPr="003E5ED2">
        <w:rPr>
          <w:rFonts w:ascii="Arial" w:hAnsi="Arial"/>
          <w:b/>
          <w:bCs/>
          <w:sz w:val="22"/>
          <w:szCs w:val="22"/>
        </w:rPr>
        <w:tab/>
        <w:t xml:space="preserve">           </w:t>
      </w:r>
      <w:r w:rsidR="001776E5" w:rsidRPr="003E5ED2">
        <w:rPr>
          <w:rFonts w:ascii="Arial" w:hAnsi="Arial"/>
          <w:b/>
          <w:bCs/>
          <w:sz w:val="22"/>
          <w:szCs w:val="22"/>
        </w:rPr>
        <w:t xml:space="preserve"> </w:t>
      </w:r>
      <w:r w:rsidRPr="003E5ED2">
        <w:rPr>
          <w:rFonts w:ascii="Arial" w:hAnsi="Arial"/>
          <w:b/>
          <w:bCs/>
          <w:sz w:val="22"/>
          <w:szCs w:val="22"/>
        </w:rPr>
        <w:t>8411</w:t>
      </w:r>
    </w:p>
    <w:p w:rsidR="007E61C8" w:rsidRPr="003E5ED2" w:rsidRDefault="007E61C8" w:rsidP="007E61C8">
      <w:pPr>
        <w:rPr>
          <w:rFonts w:ascii="Arial" w:hAnsi="Arial"/>
          <w:b/>
          <w:sz w:val="22"/>
          <w:szCs w:val="22"/>
        </w:rPr>
      </w:pPr>
      <w:r w:rsidRPr="003E5ED2">
        <w:rPr>
          <w:rFonts w:ascii="Arial" w:hAnsi="Arial"/>
          <w:b/>
          <w:sz w:val="22"/>
          <w:szCs w:val="22"/>
        </w:rPr>
        <w:tab/>
      </w:r>
      <w:r w:rsidRPr="003E5ED2">
        <w:rPr>
          <w:rFonts w:ascii="Arial" w:hAnsi="Arial"/>
          <w:b/>
          <w:sz w:val="22"/>
          <w:szCs w:val="22"/>
        </w:rPr>
        <w:tab/>
      </w:r>
      <w:r w:rsidRPr="003E5ED2">
        <w:rPr>
          <w:rFonts w:ascii="Arial" w:hAnsi="Arial"/>
          <w:b/>
          <w:sz w:val="22"/>
          <w:szCs w:val="22"/>
        </w:rPr>
        <w:tab/>
      </w:r>
      <w:r w:rsidRPr="003E5ED2">
        <w:rPr>
          <w:rFonts w:ascii="Arial" w:hAnsi="Arial"/>
          <w:b/>
          <w:sz w:val="22"/>
          <w:szCs w:val="22"/>
        </w:rPr>
        <w:tab/>
      </w:r>
      <w:r w:rsidRPr="003E5ED2">
        <w:rPr>
          <w:rFonts w:ascii="Arial" w:hAnsi="Arial"/>
          <w:b/>
          <w:sz w:val="22"/>
          <w:szCs w:val="22"/>
        </w:rPr>
        <w:tab/>
      </w:r>
      <w:r w:rsidRPr="003E5ED2">
        <w:rPr>
          <w:rFonts w:ascii="Arial" w:hAnsi="Arial"/>
          <w:b/>
          <w:sz w:val="22"/>
          <w:szCs w:val="22"/>
        </w:rPr>
        <w:tab/>
      </w:r>
      <w:r w:rsidRPr="003E5ED2">
        <w:rPr>
          <w:rFonts w:ascii="Arial" w:hAnsi="Arial"/>
          <w:b/>
          <w:sz w:val="22"/>
          <w:szCs w:val="22"/>
        </w:rPr>
        <w:tab/>
      </w:r>
      <w:r w:rsidRPr="003E5ED2">
        <w:rPr>
          <w:rFonts w:ascii="Arial" w:hAnsi="Arial"/>
          <w:b/>
          <w:sz w:val="22"/>
          <w:szCs w:val="22"/>
        </w:rPr>
        <w:tab/>
        <w:t xml:space="preserve">OIB </w:t>
      </w:r>
      <w:r w:rsidRPr="003E5ED2">
        <w:rPr>
          <w:rFonts w:ascii="Arial" w:hAnsi="Arial"/>
          <w:b/>
          <w:sz w:val="22"/>
          <w:szCs w:val="22"/>
        </w:rPr>
        <w:tab/>
      </w:r>
      <w:r w:rsidRPr="003E5ED2">
        <w:rPr>
          <w:rFonts w:ascii="Arial" w:hAnsi="Arial"/>
          <w:b/>
          <w:sz w:val="22"/>
          <w:szCs w:val="22"/>
        </w:rPr>
        <w:tab/>
        <w:t xml:space="preserve">          54382731928</w:t>
      </w:r>
    </w:p>
    <w:p w:rsidR="007E61C8" w:rsidRPr="003E5ED2" w:rsidRDefault="007E61C8" w:rsidP="007E61C8">
      <w:pPr>
        <w:rPr>
          <w:rFonts w:ascii="Arial" w:hAnsi="Arial"/>
          <w:b/>
          <w:sz w:val="22"/>
          <w:szCs w:val="22"/>
        </w:rPr>
      </w:pPr>
    </w:p>
    <w:p w:rsidR="00845713" w:rsidRPr="003E5ED2" w:rsidRDefault="00845713" w:rsidP="000E69DA">
      <w:pPr>
        <w:rPr>
          <w:rFonts w:ascii="Arial" w:hAnsi="Arial"/>
          <w:b/>
        </w:rPr>
      </w:pPr>
    </w:p>
    <w:p w:rsidR="000E69DA" w:rsidRPr="003E5ED2" w:rsidRDefault="000E69DA" w:rsidP="000E69DA">
      <w:pPr>
        <w:rPr>
          <w:rFonts w:ascii="Arial" w:hAnsi="Arial"/>
          <w:b/>
        </w:rPr>
      </w:pPr>
    </w:p>
    <w:p w:rsidR="000E69DA" w:rsidRPr="003E5ED2" w:rsidRDefault="000E69DA" w:rsidP="000E69DA">
      <w:pPr>
        <w:spacing w:before="240" w:after="60"/>
        <w:jc w:val="center"/>
        <w:outlineLvl w:val="0"/>
        <w:rPr>
          <w:rFonts w:ascii="Arial" w:hAnsi="Arial" w:cs="Arial"/>
          <w:b/>
          <w:bCs/>
          <w:kern w:val="28"/>
          <w:sz w:val="24"/>
          <w:szCs w:val="24"/>
        </w:rPr>
      </w:pPr>
      <w:r w:rsidRPr="003E5ED2">
        <w:rPr>
          <w:rFonts w:ascii="Arial" w:hAnsi="Arial" w:cs="Arial"/>
          <w:b/>
          <w:bCs/>
          <w:kern w:val="28"/>
          <w:sz w:val="24"/>
          <w:szCs w:val="24"/>
        </w:rPr>
        <w:t>BILJEŠKE UZ FINANCIJSKI IZVJEŠTAJ</w:t>
      </w:r>
    </w:p>
    <w:p w:rsidR="000E69DA" w:rsidRPr="003E5ED2" w:rsidRDefault="000E69DA" w:rsidP="000E69DA">
      <w:pPr>
        <w:keepNext/>
        <w:jc w:val="center"/>
        <w:outlineLvl w:val="4"/>
        <w:rPr>
          <w:rFonts w:ascii="Calibri" w:eastAsia="SimSun" w:hAnsi="Calibri"/>
          <w:b/>
          <w:bCs/>
          <w:i/>
          <w:iCs/>
          <w:sz w:val="16"/>
          <w:szCs w:val="16"/>
        </w:rPr>
      </w:pPr>
    </w:p>
    <w:p w:rsidR="000E69DA" w:rsidRPr="003E5ED2" w:rsidRDefault="000E69DA" w:rsidP="000E69DA">
      <w:pPr>
        <w:jc w:val="center"/>
        <w:rPr>
          <w:rFonts w:ascii="Arial" w:hAnsi="Arial"/>
          <w:b/>
          <w:sz w:val="24"/>
          <w:szCs w:val="24"/>
        </w:rPr>
      </w:pPr>
      <w:r w:rsidRPr="003E5ED2">
        <w:rPr>
          <w:rFonts w:ascii="Arial" w:hAnsi="Arial"/>
          <w:b/>
          <w:sz w:val="24"/>
          <w:szCs w:val="24"/>
        </w:rPr>
        <w:t xml:space="preserve">za razdoblje od </w:t>
      </w:r>
      <w:r w:rsidR="006F3D46" w:rsidRPr="003E5ED2">
        <w:rPr>
          <w:rFonts w:ascii="Arial" w:hAnsi="Arial"/>
          <w:b/>
          <w:sz w:val="24"/>
          <w:szCs w:val="24"/>
        </w:rPr>
        <w:t>1. siječnja do 31. prosinca 2024</w:t>
      </w:r>
      <w:r w:rsidRPr="003E5ED2">
        <w:rPr>
          <w:rFonts w:ascii="Arial" w:hAnsi="Arial"/>
          <w:b/>
          <w:sz w:val="24"/>
          <w:szCs w:val="24"/>
        </w:rPr>
        <w:t>. god.</w:t>
      </w:r>
    </w:p>
    <w:p w:rsidR="000E69DA" w:rsidRPr="003E5ED2" w:rsidRDefault="000E69DA" w:rsidP="000E69DA">
      <w:pPr>
        <w:rPr>
          <w:rFonts w:ascii="Arial" w:hAnsi="Arial"/>
        </w:rPr>
      </w:pPr>
    </w:p>
    <w:p w:rsidR="000E69DA" w:rsidRPr="003E5ED2" w:rsidRDefault="000E69DA" w:rsidP="000E69DA">
      <w:pPr>
        <w:keepNext/>
        <w:outlineLvl w:val="0"/>
        <w:rPr>
          <w:rFonts w:ascii="Arial" w:hAnsi="Arial"/>
          <w:b/>
          <w:color w:val="1F3864" w:themeColor="accent5" w:themeShade="80"/>
          <w:sz w:val="24"/>
          <w:szCs w:val="24"/>
        </w:rPr>
      </w:pPr>
    </w:p>
    <w:p w:rsidR="000E69DA" w:rsidRPr="003E5ED2" w:rsidRDefault="000E69DA" w:rsidP="000E69DA">
      <w:pPr>
        <w:jc w:val="both"/>
        <w:rPr>
          <w:rFonts w:ascii="Arial" w:hAnsi="Arial" w:cs="Arial"/>
          <w:sz w:val="22"/>
          <w:szCs w:val="22"/>
        </w:rPr>
      </w:pPr>
      <w:r w:rsidRPr="003E5ED2">
        <w:rPr>
          <w:rFonts w:ascii="Arial" w:hAnsi="Arial" w:cs="Arial"/>
          <w:sz w:val="22"/>
          <w:szCs w:val="22"/>
        </w:rPr>
        <w:t xml:space="preserve">Obveza sastavljanja financijskih izvještaja u sustavu proračuna propisana je </w:t>
      </w:r>
      <w:r w:rsidR="00726AFE" w:rsidRPr="003E5ED2">
        <w:rPr>
          <w:rFonts w:ascii="Arial" w:hAnsi="Arial" w:cs="Arial"/>
          <w:sz w:val="22"/>
          <w:szCs w:val="22"/>
        </w:rPr>
        <w:t xml:space="preserve">člankom 139. </w:t>
      </w:r>
      <w:r w:rsidRPr="003E5ED2">
        <w:rPr>
          <w:rFonts w:ascii="Arial" w:hAnsi="Arial" w:cs="Arial"/>
          <w:sz w:val="22"/>
          <w:szCs w:val="22"/>
        </w:rPr>
        <w:t>Zakon</w:t>
      </w:r>
      <w:r w:rsidR="00726AFE" w:rsidRPr="003E5ED2">
        <w:rPr>
          <w:rFonts w:ascii="Arial" w:hAnsi="Arial" w:cs="Arial"/>
          <w:sz w:val="22"/>
          <w:szCs w:val="22"/>
        </w:rPr>
        <w:t>a</w:t>
      </w:r>
      <w:r w:rsidRPr="003E5ED2">
        <w:rPr>
          <w:rFonts w:ascii="Arial" w:hAnsi="Arial" w:cs="Arial"/>
          <w:sz w:val="22"/>
          <w:szCs w:val="22"/>
        </w:rPr>
        <w:t xml:space="preserve"> o proračunu (Narod</w:t>
      </w:r>
      <w:r w:rsidR="006F0BE7" w:rsidRPr="003E5ED2">
        <w:rPr>
          <w:rFonts w:ascii="Arial" w:hAnsi="Arial" w:cs="Arial"/>
          <w:sz w:val="22"/>
          <w:szCs w:val="22"/>
        </w:rPr>
        <w:t xml:space="preserve">ne novine, broj </w:t>
      </w:r>
      <w:r w:rsidR="00C82152" w:rsidRPr="003E5ED2">
        <w:rPr>
          <w:rFonts w:ascii="Arial" w:hAnsi="Arial" w:cs="Arial"/>
          <w:sz w:val="22"/>
          <w:szCs w:val="22"/>
        </w:rPr>
        <w:t>144/21</w:t>
      </w:r>
      <w:r w:rsidRPr="003E5ED2">
        <w:rPr>
          <w:rFonts w:ascii="Arial" w:hAnsi="Arial" w:cs="Arial"/>
          <w:sz w:val="22"/>
          <w:szCs w:val="22"/>
        </w:rPr>
        <w:t>)</w:t>
      </w:r>
      <w:r w:rsidR="00726AFE" w:rsidRPr="003E5ED2">
        <w:rPr>
          <w:rFonts w:ascii="Arial" w:hAnsi="Arial" w:cs="Arial"/>
          <w:sz w:val="22"/>
          <w:szCs w:val="22"/>
        </w:rPr>
        <w:t xml:space="preserve"> dok su oblik, sadržaj, razdoblja za koja se sastavljaju te rokovi njihovog podnošenja propisani </w:t>
      </w:r>
      <w:r w:rsidRPr="003E5ED2">
        <w:rPr>
          <w:rFonts w:ascii="Arial" w:hAnsi="Arial" w:cs="Arial"/>
          <w:sz w:val="22"/>
          <w:szCs w:val="22"/>
        </w:rPr>
        <w:t>Pravilnik</w:t>
      </w:r>
      <w:r w:rsidR="00726AFE" w:rsidRPr="003E5ED2">
        <w:rPr>
          <w:rFonts w:ascii="Arial" w:hAnsi="Arial" w:cs="Arial"/>
          <w:sz w:val="22"/>
          <w:szCs w:val="22"/>
        </w:rPr>
        <w:t>om</w:t>
      </w:r>
      <w:r w:rsidRPr="003E5ED2">
        <w:rPr>
          <w:rFonts w:ascii="Arial" w:hAnsi="Arial" w:cs="Arial"/>
          <w:sz w:val="22"/>
          <w:szCs w:val="22"/>
        </w:rPr>
        <w:t xml:space="preserve"> o financijskom izvještavanju u proračunskom računovodstvu (Narodne Novine, br</w:t>
      </w:r>
      <w:r w:rsidR="00C82152" w:rsidRPr="003E5ED2">
        <w:rPr>
          <w:rFonts w:ascii="Arial" w:hAnsi="Arial" w:cs="Arial"/>
          <w:sz w:val="22"/>
          <w:szCs w:val="22"/>
        </w:rPr>
        <w:t>oj</w:t>
      </w:r>
      <w:r w:rsidRPr="003E5ED2">
        <w:rPr>
          <w:rFonts w:ascii="Arial" w:hAnsi="Arial" w:cs="Arial"/>
          <w:sz w:val="22"/>
          <w:szCs w:val="22"/>
        </w:rPr>
        <w:t xml:space="preserve"> </w:t>
      </w:r>
      <w:r w:rsidR="000E375E" w:rsidRPr="003E5ED2">
        <w:rPr>
          <w:rFonts w:ascii="Arial" w:hAnsi="Arial" w:cs="Arial"/>
          <w:sz w:val="22"/>
          <w:szCs w:val="22"/>
        </w:rPr>
        <w:t>37/22</w:t>
      </w:r>
      <w:r w:rsidRPr="003E5ED2">
        <w:rPr>
          <w:rFonts w:ascii="Arial" w:hAnsi="Arial" w:cs="Arial"/>
          <w:sz w:val="22"/>
          <w:szCs w:val="22"/>
        </w:rPr>
        <w:t>)</w:t>
      </w:r>
      <w:r w:rsidR="00726AFE" w:rsidRPr="003E5ED2">
        <w:rPr>
          <w:rFonts w:ascii="Arial" w:hAnsi="Arial" w:cs="Arial"/>
          <w:sz w:val="22"/>
          <w:szCs w:val="22"/>
        </w:rPr>
        <w:t>.</w:t>
      </w:r>
      <w:r w:rsidRPr="003E5ED2">
        <w:rPr>
          <w:rFonts w:ascii="Arial" w:hAnsi="Arial" w:cs="Arial"/>
          <w:sz w:val="22"/>
          <w:szCs w:val="22"/>
        </w:rPr>
        <w:t xml:space="preserve"> </w:t>
      </w:r>
      <w:r w:rsidR="00726AFE" w:rsidRPr="003E5ED2">
        <w:rPr>
          <w:rFonts w:ascii="Arial" w:hAnsi="Arial" w:cs="Arial"/>
          <w:sz w:val="22"/>
          <w:szCs w:val="22"/>
        </w:rPr>
        <w:t xml:space="preserve">U skladu s odredbama navedenog Pravilnika </w:t>
      </w:r>
      <w:r w:rsidRPr="003E5ED2">
        <w:rPr>
          <w:rFonts w:ascii="Arial" w:hAnsi="Arial" w:cs="Arial"/>
          <w:sz w:val="22"/>
          <w:szCs w:val="22"/>
        </w:rPr>
        <w:t xml:space="preserve">i Okružnice o predaji i konsolidaciji financijskih izvještaja proračuna, proračunskih i izvanproračunskih korisnika državnog proračuna te proračunskih i izvanproračunskih korisnika proračuna jedinica lokalne i područne (regionalne) samouprave za razdoblje </w:t>
      </w:r>
      <w:r w:rsidR="00DD593C" w:rsidRPr="003E5ED2">
        <w:rPr>
          <w:rFonts w:ascii="Arial" w:hAnsi="Arial" w:cs="Arial"/>
          <w:sz w:val="22"/>
          <w:szCs w:val="22"/>
        </w:rPr>
        <w:t>1. siječnja do 31</w:t>
      </w:r>
      <w:r w:rsidR="006F3D46" w:rsidRPr="003E5ED2">
        <w:rPr>
          <w:rFonts w:ascii="Arial" w:hAnsi="Arial" w:cs="Arial"/>
          <w:sz w:val="22"/>
          <w:szCs w:val="22"/>
        </w:rPr>
        <w:t>. prosinca 2024</w:t>
      </w:r>
      <w:r w:rsidRPr="003E5ED2">
        <w:rPr>
          <w:rFonts w:ascii="Arial" w:hAnsi="Arial" w:cs="Arial"/>
          <w:sz w:val="22"/>
          <w:szCs w:val="22"/>
        </w:rPr>
        <w:t>. godine, Ministar</w:t>
      </w:r>
      <w:r w:rsidR="00FC1BE7" w:rsidRPr="003E5ED2">
        <w:rPr>
          <w:rFonts w:ascii="Arial" w:hAnsi="Arial" w:cs="Arial"/>
          <w:sz w:val="22"/>
          <w:szCs w:val="22"/>
        </w:rPr>
        <w:t>stva financija, Klasa: 40</w:t>
      </w:r>
      <w:r w:rsidR="006F3D46" w:rsidRPr="003E5ED2">
        <w:rPr>
          <w:rFonts w:ascii="Arial" w:hAnsi="Arial" w:cs="Arial"/>
          <w:sz w:val="22"/>
          <w:szCs w:val="22"/>
        </w:rPr>
        <w:t>0-02/24-01/19</w:t>
      </w:r>
      <w:r w:rsidRPr="003E5ED2">
        <w:rPr>
          <w:rFonts w:ascii="Arial" w:hAnsi="Arial" w:cs="Arial"/>
          <w:sz w:val="22"/>
          <w:szCs w:val="22"/>
        </w:rPr>
        <w:t xml:space="preserve">; </w:t>
      </w:r>
      <w:proofErr w:type="spellStart"/>
      <w:r w:rsidRPr="003E5ED2">
        <w:rPr>
          <w:rFonts w:ascii="Arial" w:hAnsi="Arial" w:cs="Arial"/>
          <w:sz w:val="22"/>
          <w:szCs w:val="22"/>
        </w:rPr>
        <w:t>Urbroj</w:t>
      </w:r>
      <w:proofErr w:type="spellEnd"/>
      <w:r w:rsidRPr="003E5ED2">
        <w:rPr>
          <w:rFonts w:ascii="Arial" w:hAnsi="Arial" w:cs="Arial"/>
          <w:sz w:val="22"/>
          <w:szCs w:val="22"/>
        </w:rPr>
        <w:t>: 513-05-</w:t>
      </w:r>
      <w:r w:rsidR="006F3D46" w:rsidRPr="003E5ED2">
        <w:rPr>
          <w:rFonts w:ascii="Arial" w:hAnsi="Arial" w:cs="Arial"/>
          <w:sz w:val="22"/>
          <w:szCs w:val="22"/>
        </w:rPr>
        <w:t>03-25-4 od 14</w:t>
      </w:r>
      <w:r w:rsidR="00EA2F82" w:rsidRPr="003E5ED2">
        <w:rPr>
          <w:rFonts w:ascii="Arial" w:hAnsi="Arial" w:cs="Arial"/>
          <w:sz w:val="22"/>
          <w:szCs w:val="22"/>
        </w:rPr>
        <w:t>.</w:t>
      </w:r>
      <w:r w:rsidR="00B34914" w:rsidRPr="003E5ED2">
        <w:rPr>
          <w:rFonts w:ascii="Arial" w:hAnsi="Arial" w:cs="Arial"/>
          <w:sz w:val="22"/>
          <w:szCs w:val="22"/>
        </w:rPr>
        <w:t xml:space="preserve"> </w:t>
      </w:r>
      <w:r w:rsidR="006F3D46" w:rsidRPr="003E5ED2">
        <w:rPr>
          <w:rFonts w:ascii="Arial" w:hAnsi="Arial" w:cs="Arial"/>
          <w:sz w:val="22"/>
          <w:szCs w:val="22"/>
        </w:rPr>
        <w:t>siječnja 2025</w:t>
      </w:r>
      <w:r w:rsidRPr="003E5ED2">
        <w:rPr>
          <w:rFonts w:ascii="Arial" w:hAnsi="Arial" w:cs="Arial"/>
          <w:sz w:val="22"/>
          <w:szCs w:val="22"/>
        </w:rPr>
        <w:t>. godine, sastavljen je Financijski izvještaj Grada Rijeke za ra</w:t>
      </w:r>
      <w:r w:rsidR="007E0018" w:rsidRPr="003E5ED2">
        <w:rPr>
          <w:rFonts w:ascii="Arial" w:hAnsi="Arial" w:cs="Arial"/>
          <w:sz w:val="22"/>
          <w:szCs w:val="22"/>
        </w:rPr>
        <w:t>zdoblje siječanj – prosinac 202</w:t>
      </w:r>
      <w:r w:rsidR="006F3D46" w:rsidRPr="003E5ED2">
        <w:rPr>
          <w:rFonts w:ascii="Arial" w:hAnsi="Arial" w:cs="Arial"/>
          <w:sz w:val="22"/>
          <w:szCs w:val="22"/>
        </w:rPr>
        <w:t>4</w:t>
      </w:r>
      <w:r w:rsidRPr="003E5ED2">
        <w:rPr>
          <w:rFonts w:ascii="Arial" w:hAnsi="Arial" w:cs="Arial"/>
          <w:sz w:val="22"/>
          <w:szCs w:val="22"/>
        </w:rPr>
        <w:t xml:space="preserve">. godine koji se sastoji od: Bilance (Obrazac BIL), Izvještaja o prihodima i rashodima, primicima i izdacima (Obrazac PR-RAS), Izvještaja o rashodima prema funkcijskoj klasifikaciji (Obrazac RAS-funkcijski), Izvještaja o promjenama u vrijednosti i obujmu imovine i obveza (Obrazac P-VRIO), Izvještaja o obvezama (Obrazac OBVEZE) i ovih Bilješki. </w:t>
      </w:r>
    </w:p>
    <w:p w:rsidR="000E69DA" w:rsidRPr="003E5ED2" w:rsidRDefault="000E69DA" w:rsidP="000E69DA">
      <w:pPr>
        <w:jc w:val="both"/>
        <w:rPr>
          <w:rFonts w:ascii="Arial" w:hAnsi="Arial" w:cs="Arial"/>
          <w:sz w:val="22"/>
          <w:szCs w:val="22"/>
        </w:rPr>
      </w:pPr>
    </w:p>
    <w:p w:rsidR="00364CBB" w:rsidRPr="003E5ED2" w:rsidRDefault="000E69DA" w:rsidP="000E69DA">
      <w:pPr>
        <w:jc w:val="both"/>
        <w:rPr>
          <w:rFonts w:ascii="Arial" w:hAnsi="Arial" w:cs="Arial"/>
          <w:sz w:val="22"/>
          <w:szCs w:val="22"/>
        </w:rPr>
      </w:pPr>
      <w:r w:rsidRPr="003E5ED2">
        <w:rPr>
          <w:rFonts w:ascii="Arial" w:hAnsi="Arial" w:cs="Arial"/>
          <w:b/>
          <w:sz w:val="22"/>
          <w:szCs w:val="22"/>
        </w:rPr>
        <w:t>Bilješka broj 1</w:t>
      </w:r>
      <w:r w:rsidRPr="003E5ED2">
        <w:rPr>
          <w:rFonts w:ascii="Arial" w:hAnsi="Arial" w:cs="Arial"/>
          <w:sz w:val="22"/>
          <w:szCs w:val="22"/>
        </w:rPr>
        <w:t xml:space="preserve"> – Grad Rijeka primjenjuje proračunsko računovodstvo u skladu sa Zakonom o proračunu i Pravilnikom o proračunskom računovodstvu i računskom planu (Narodne novine,</w:t>
      </w:r>
      <w:r w:rsidR="008050B9" w:rsidRPr="003E5ED2">
        <w:rPr>
          <w:rFonts w:ascii="Arial" w:hAnsi="Arial" w:cs="Arial"/>
          <w:sz w:val="22"/>
          <w:szCs w:val="22"/>
        </w:rPr>
        <w:t xml:space="preserve"> broj</w:t>
      </w:r>
      <w:r w:rsidRPr="003E5ED2">
        <w:rPr>
          <w:rFonts w:ascii="Arial" w:hAnsi="Arial" w:cs="Arial"/>
          <w:sz w:val="22"/>
          <w:szCs w:val="22"/>
        </w:rPr>
        <w:t xml:space="preserve"> </w:t>
      </w:r>
      <w:r w:rsidR="009E5D0B" w:rsidRPr="003E5ED2">
        <w:rPr>
          <w:rFonts w:ascii="Arial" w:hAnsi="Arial" w:cs="Arial"/>
          <w:sz w:val="22"/>
          <w:szCs w:val="22"/>
        </w:rPr>
        <w:t>158/23</w:t>
      </w:r>
      <w:r w:rsidR="00842B3E" w:rsidRPr="003E5ED2">
        <w:rPr>
          <w:rFonts w:ascii="Arial" w:hAnsi="Arial" w:cs="Arial"/>
          <w:sz w:val="22"/>
          <w:szCs w:val="22"/>
        </w:rPr>
        <w:t xml:space="preserve"> i</w:t>
      </w:r>
      <w:r w:rsidR="006137D6" w:rsidRPr="003E5ED2">
        <w:rPr>
          <w:rFonts w:ascii="Arial" w:hAnsi="Arial" w:cs="Arial"/>
          <w:sz w:val="22"/>
          <w:szCs w:val="22"/>
        </w:rPr>
        <w:t xml:space="preserve"> 154/24</w:t>
      </w:r>
      <w:r w:rsidRPr="003E5ED2">
        <w:rPr>
          <w:rFonts w:ascii="Arial" w:hAnsi="Arial" w:cs="Arial"/>
          <w:sz w:val="22"/>
          <w:szCs w:val="22"/>
        </w:rPr>
        <w:t>). Grad Rijeka u svojim knjigovodstvenim evidencijama osigurava pojedinačne podatke o vrstama prihoda i primitaka, rashoda i izdataka, stanju imovine, obveza i vlastitih izvora. Knjigovodstvo se vodi po načelu dvojnog knjigovodstva prema propisanom računskom planu, vode se poslovne knjige: dnevnik, glavna knjiga i pomoćne knjige. Prihodi i primici te rashodi i izdaci iskazuju se prema modificiranom računovodstvenom načelu nastanka događaja. Prihodi i primici priznaju se u izvještajnom razdoblju u kojem su postali raspoloživi i pod uvjetom da su mjerljivi. Rashodi se priznaju na temelju nastanka događaja (obveza) i u izvještajnom razdoblju na koje se odnose neovisno o plaćanju. Imovina i obveze iskazuju se po računovodstvenom načelu nastanka događaja uz primjenu metode povijesnog troška.</w:t>
      </w:r>
    </w:p>
    <w:p w:rsidR="000E69DA" w:rsidRPr="003E5ED2" w:rsidRDefault="000E69DA" w:rsidP="000E69DA">
      <w:pPr>
        <w:jc w:val="both"/>
        <w:rPr>
          <w:rFonts w:ascii="Arial" w:hAnsi="Arial" w:cs="Arial"/>
          <w:sz w:val="22"/>
          <w:szCs w:val="22"/>
        </w:rPr>
      </w:pPr>
      <w:r w:rsidRPr="003E5ED2">
        <w:rPr>
          <w:rFonts w:ascii="Arial" w:hAnsi="Arial" w:cs="Arial"/>
          <w:sz w:val="22"/>
          <w:szCs w:val="22"/>
        </w:rPr>
        <w:t xml:space="preserve"> </w:t>
      </w:r>
    </w:p>
    <w:p w:rsidR="000E69DA" w:rsidRPr="003E5ED2" w:rsidRDefault="000E69DA" w:rsidP="000E69DA">
      <w:pPr>
        <w:autoSpaceDE w:val="0"/>
        <w:autoSpaceDN w:val="0"/>
        <w:adjustRightInd w:val="0"/>
        <w:jc w:val="both"/>
        <w:rPr>
          <w:rFonts w:ascii="Arial" w:eastAsia="SimSun" w:hAnsi="Arial" w:cs="Arial"/>
          <w:iCs/>
          <w:sz w:val="22"/>
          <w:szCs w:val="22"/>
          <w:lang w:eastAsia="zh-CN"/>
        </w:rPr>
      </w:pPr>
      <w:r w:rsidRPr="003E5ED2">
        <w:rPr>
          <w:rFonts w:ascii="Arial" w:eastAsia="SimSun" w:hAnsi="Arial" w:cs="Arial"/>
          <w:iCs/>
          <w:sz w:val="22"/>
          <w:szCs w:val="22"/>
          <w:lang w:eastAsia="zh-CN"/>
        </w:rPr>
        <w:t>Grad Rijeka je od 1. siječnja 2014. godine obveznik poreza na dodanu vrijednost s osnova obavljanja gospodarske djelatnosti iskorištavanja materijalne imovine (najam, zakup poslovnih prostora)</w:t>
      </w:r>
      <w:r w:rsidR="003E5ED2">
        <w:rPr>
          <w:rFonts w:ascii="Arial" w:eastAsia="SimSun" w:hAnsi="Arial" w:cs="Arial"/>
          <w:iCs/>
          <w:sz w:val="22"/>
          <w:szCs w:val="22"/>
          <w:lang w:eastAsia="zh-CN"/>
        </w:rPr>
        <w:t>,</w:t>
      </w:r>
      <w:r w:rsidR="003E5ED2" w:rsidRPr="003E5ED2">
        <w:rPr>
          <w:rFonts w:ascii="Arial" w:eastAsia="SimSun" w:hAnsi="Arial" w:cs="Arial"/>
          <w:bCs/>
          <w:color w:val="000000"/>
          <w:sz w:val="22"/>
          <w:szCs w:val="22"/>
          <w:lang w:eastAsia="zh-CN"/>
        </w:rPr>
        <w:t xml:space="preserve"> </w:t>
      </w:r>
      <w:r w:rsidR="003E5ED2">
        <w:rPr>
          <w:rFonts w:ascii="Arial" w:eastAsia="SimSun" w:hAnsi="Arial" w:cs="Arial"/>
          <w:bCs/>
          <w:color w:val="000000"/>
          <w:sz w:val="22"/>
          <w:szCs w:val="22"/>
          <w:lang w:eastAsia="zh-CN"/>
        </w:rPr>
        <w:t>u</w:t>
      </w:r>
      <w:r w:rsidR="003E5ED2" w:rsidRPr="003E5ED2">
        <w:rPr>
          <w:rFonts w:ascii="Arial" w:eastAsia="SimSun" w:hAnsi="Arial" w:cs="Arial"/>
          <w:bCs/>
          <w:color w:val="000000"/>
          <w:sz w:val="22"/>
          <w:szCs w:val="22"/>
          <w:lang w:eastAsia="zh-CN"/>
        </w:rPr>
        <w:t xml:space="preserve"> skladu s odredbama Zakona o porezu na dodanu vrijednost (Narodne novine, </w:t>
      </w:r>
      <w:r w:rsidR="003E5ED2" w:rsidRPr="003E5ED2">
        <w:rPr>
          <w:rFonts w:ascii="Arial" w:eastAsia="SimSun" w:hAnsi="Arial" w:cs="Arial"/>
          <w:iCs/>
          <w:sz w:val="22"/>
          <w:szCs w:val="22"/>
          <w:lang w:eastAsia="zh-CN"/>
        </w:rPr>
        <w:t>broj 73/13, 99/13, 148/13, 153/13, 143/14, 115/16, 106/18, 121/19, 138/20, 39/22, 113/22, 33/23, 114/23, 35/24 i 152/24)</w:t>
      </w:r>
      <w:r w:rsidRPr="003E5ED2">
        <w:rPr>
          <w:rFonts w:ascii="Arial" w:eastAsia="SimSun" w:hAnsi="Arial" w:cs="Arial"/>
          <w:iCs/>
          <w:sz w:val="22"/>
          <w:szCs w:val="22"/>
          <w:lang w:eastAsia="zh-CN"/>
        </w:rPr>
        <w:t xml:space="preserve">. </w:t>
      </w:r>
    </w:p>
    <w:p w:rsidR="000E69DA" w:rsidRPr="003E5ED2" w:rsidRDefault="000E69DA" w:rsidP="000E69DA">
      <w:pPr>
        <w:autoSpaceDE w:val="0"/>
        <w:autoSpaceDN w:val="0"/>
        <w:adjustRightInd w:val="0"/>
        <w:jc w:val="both"/>
        <w:rPr>
          <w:rFonts w:ascii="Arial" w:eastAsia="SimSun" w:hAnsi="Arial" w:cs="Arial"/>
          <w:iCs/>
          <w:sz w:val="22"/>
          <w:szCs w:val="22"/>
          <w:lang w:eastAsia="zh-CN"/>
        </w:rPr>
      </w:pPr>
    </w:p>
    <w:p w:rsidR="007F0E49" w:rsidRPr="003E5ED2" w:rsidRDefault="000E69DA" w:rsidP="00E93CDA">
      <w:pPr>
        <w:autoSpaceDE w:val="0"/>
        <w:autoSpaceDN w:val="0"/>
        <w:adjustRightInd w:val="0"/>
        <w:jc w:val="both"/>
        <w:rPr>
          <w:rFonts w:ascii="Arial" w:eastAsia="SimSun" w:hAnsi="Arial" w:cs="Arial"/>
          <w:color w:val="000000"/>
          <w:sz w:val="22"/>
          <w:szCs w:val="22"/>
          <w:lang w:eastAsia="zh-CN"/>
        </w:rPr>
      </w:pPr>
      <w:r w:rsidRPr="003E5ED2">
        <w:rPr>
          <w:rFonts w:ascii="Arial" w:eastAsia="SimSun" w:hAnsi="Arial" w:cs="Arial"/>
          <w:color w:val="000000"/>
          <w:sz w:val="22"/>
          <w:szCs w:val="22"/>
          <w:lang w:eastAsia="zh-CN"/>
        </w:rPr>
        <w:t xml:space="preserve">Nastavno se u Bilješkama obrazlažu numerički podaci </w:t>
      </w:r>
      <w:r w:rsidR="00A66BCD" w:rsidRPr="003E5ED2">
        <w:rPr>
          <w:rFonts w:ascii="Arial" w:eastAsia="SimSun" w:hAnsi="Arial" w:cs="Arial"/>
          <w:color w:val="000000"/>
          <w:sz w:val="22"/>
          <w:szCs w:val="22"/>
          <w:lang w:eastAsia="zh-CN"/>
        </w:rPr>
        <w:t xml:space="preserve">i </w:t>
      </w:r>
      <w:r w:rsidRPr="003E5ED2">
        <w:rPr>
          <w:rFonts w:ascii="Arial" w:eastAsia="SimSun" w:hAnsi="Arial" w:cs="Arial"/>
          <w:color w:val="000000"/>
          <w:sz w:val="22"/>
          <w:szCs w:val="22"/>
          <w:lang w:eastAsia="zh-CN"/>
        </w:rPr>
        <w:t>veća odstupanja iskazana u obrascima Financijskog izvještaja</w:t>
      </w:r>
      <w:r w:rsidR="00E93CDA" w:rsidRPr="003E5ED2">
        <w:rPr>
          <w:rFonts w:ascii="Arial" w:eastAsia="SimSun" w:hAnsi="Arial" w:cs="Arial"/>
          <w:color w:val="000000"/>
          <w:sz w:val="22"/>
          <w:szCs w:val="22"/>
          <w:lang w:eastAsia="zh-CN"/>
        </w:rPr>
        <w:t>.</w:t>
      </w:r>
    </w:p>
    <w:p w:rsidR="000E69DA" w:rsidRPr="003E5ED2" w:rsidRDefault="000E69DA" w:rsidP="00D907B7">
      <w:pPr>
        <w:keepNext/>
        <w:numPr>
          <w:ilvl w:val="0"/>
          <w:numId w:val="2"/>
        </w:numPr>
        <w:tabs>
          <w:tab w:val="num" w:pos="567"/>
        </w:tabs>
        <w:ind w:hanging="720"/>
        <w:jc w:val="both"/>
        <w:outlineLvl w:val="1"/>
        <w:rPr>
          <w:rFonts w:ascii="Arial" w:hAnsi="Arial"/>
          <w:b/>
          <w:color w:val="1F3864" w:themeColor="accent5" w:themeShade="80"/>
          <w:sz w:val="24"/>
          <w:szCs w:val="24"/>
        </w:rPr>
      </w:pPr>
      <w:r w:rsidRPr="003E5ED2">
        <w:rPr>
          <w:rFonts w:ascii="Arial" w:hAnsi="Arial"/>
          <w:b/>
          <w:color w:val="1F3864" w:themeColor="accent5" w:themeShade="80"/>
          <w:sz w:val="24"/>
          <w:szCs w:val="24"/>
        </w:rPr>
        <w:t>BILANCA</w:t>
      </w:r>
      <w:r w:rsidR="00C74052" w:rsidRPr="003E5ED2">
        <w:rPr>
          <w:rFonts w:ascii="Arial" w:hAnsi="Arial"/>
          <w:b/>
          <w:color w:val="1F3864" w:themeColor="accent5" w:themeShade="80"/>
          <w:sz w:val="24"/>
          <w:szCs w:val="24"/>
        </w:rPr>
        <w:t xml:space="preserve"> </w:t>
      </w:r>
    </w:p>
    <w:p w:rsidR="000E69DA" w:rsidRPr="003E5ED2" w:rsidRDefault="000E69DA" w:rsidP="000E69DA">
      <w:pPr>
        <w:jc w:val="both"/>
        <w:rPr>
          <w:rFonts w:ascii="Arial" w:hAnsi="Arial"/>
          <w:highlight w:val="green"/>
        </w:rPr>
      </w:pPr>
    </w:p>
    <w:p w:rsidR="00A101BE" w:rsidRPr="003E5ED2" w:rsidRDefault="00A101BE" w:rsidP="000E69DA">
      <w:pPr>
        <w:jc w:val="both"/>
        <w:rPr>
          <w:rFonts w:ascii="Arial" w:hAnsi="Arial"/>
          <w:highlight w:val="green"/>
        </w:rPr>
      </w:pPr>
    </w:p>
    <w:p w:rsidR="00022206" w:rsidRPr="003E5ED2" w:rsidRDefault="000E69DA" w:rsidP="000E69DA">
      <w:pPr>
        <w:jc w:val="both"/>
        <w:rPr>
          <w:rFonts w:ascii="Arial" w:hAnsi="Arial" w:cs="Arial"/>
          <w:sz w:val="22"/>
          <w:szCs w:val="22"/>
        </w:rPr>
      </w:pPr>
      <w:r w:rsidRPr="003E5ED2">
        <w:rPr>
          <w:rFonts w:ascii="Arial" w:hAnsi="Arial" w:cs="Arial"/>
          <w:sz w:val="22"/>
          <w:szCs w:val="22"/>
        </w:rPr>
        <w:t>Vrijednost aktive – ukupne imovine Grada (</w:t>
      </w:r>
      <w:r w:rsidR="00975355" w:rsidRPr="003E5ED2">
        <w:rPr>
          <w:rFonts w:ascii="Arial" w:hAnsi="Arial" w:cs="Arial"/>
          <w:sz w:val="22"/>
          <w:szCs w:val="22"/>
        </w:rPr>
        <w:t>B001) na dan 31. prosinca 2024</w:t>
      </w:r>
      <w:r w:rsidR="004E6C6E" w:rsidRPr="003E5ED2">
        <w:rPr>
          <w:rFonts w:ascii="Arial" w:hAnsi="Arial" w:cs="Arial"/>
          <w:sz w:val="22"/>
          <w:szCs w:val="22"/>
        </w:rPr>
        <w:t xml:space="preserve">. godine iznosi </w:t>
      </w:r>
      <w:r w:rsidR="00D12941" w:rsidRPr="003E5ED2">
        <w:rPr>
          <w:rFonts w:ascii="Arial" w:hAnsi="Arial" w:cs="Arial"/>
          <w:sz w:val="22"/>
          <w:szCs w:val="22"/>
        </w:rPr>
        <w:t>1.207.725.062,65</w:t>
      </w:r>
      <w:r w:rsidR="006A1424" w:rsidRPr="003E5ED2">
        <w:rPr>
          <w:rFonts w:ascii="Arial" w:hAnsi="Arial" w:cs="Arial"/>
          <w:sz w:val="22"/>
          <w:szCs w:val="22"/>
        </w:rPr>
        <w:t xml:space="preserve"> eura</w:t>
      </w:r>
      <w:r w:rsidRPr="003E5ED2">
        <w:rPr>
          <w:rFonts w:ascii="Arial" w:hAnsi="Arial" w:cs="Arial"/>
          <w:sz w:val="22"/>
          <w:szCs w:val="22"/>
        </w:rPr>
        <w:t xml:space="preserve"> i u odnosu na</w:t>
      </w:r>
      <w:r w:rsidR="00975355" w:rsidRPr="003E5ED2">
        <w:rPr>
          <w:rFonts w:ascii="Arial" w:hAnsi="Arial" w:cs="Arial"/>
          <w:sz w:val="22"/>
          <w:szCs w:val="22"/>
        </w:rPr>
        <w:t xml:space="preserve"> stanje imovine 1. siječnja 2024</w:t>
      </w:r>
      <w:r w:rsidR="000A6C21" w:rsidRPr="003E5ED2">
        <w:rPr>
          <w:rFonts w:ascii="Arial" w:hAnsi="Arial" w:cs="Arial"/>
          <w:sz w:val="22"/>
          <w:szCs w:val="22"/>
        </w:rPr>
        <w:t>. godine zabilježeno je povećanje</w:t>
      </w:r>
    </w:p>
    <w:p w:rsidR="000E69DA" w:rsidRPr="003E5ED2" w:rsidRDefault="000E69DA" w:rsidP="000E69DA">
      <w:pPr>
        <w:jc w:val="both"/>
        <w:rPr>
          <w:rFonts w:ascii="Arial" w:hAnsi="Arial" w:cs="Arial"/>
          <w:sz w:val="22"/>
          <w:szCs w:val="22"/>
        </w:rPr>
      </w:pPr>
      <w:r w:rsidRPr="003E5ED2">
        <w:rPr>
          <w:rFonts w:ascii="Arial" w:hAnsi="Arial" w:cs="Arial"/>
          <w:sz w:val="22"/>
          <w:szCs w:val="22"/>
        </w:rPr>
        <w:t xml:space="preserve">vrijednosti gradske imovine za </w:t>
      </w:r>
      <w:r w:rsidR="00D12941" w:rsidRPr="003E5ED2">
        <w:rPr>
          <w:rFonts w:ascii="Arial" w:hAnsi="Arial" w:cs="Arial"/>
          <w:sz w:val="22"/>
          <w:szCs w:val="22"/>
        </w:rPr>
        <w:t>16.828.487,24</w:t>
      </w:r>
      <w:r w:rsidR="006A1424" w:rsidRPr="003E5ED2">
        <w:rPr>
          <w:rFonts w:ascii="Arial" w:hAnsi="Arial" w:cs="Arial"/>
          <w:sz w:val="22"/>
          <w:szCs w:val="22"/>
        </w:rPr>
        <w:t xml:space="preserve"> eura</w:t>
      </w:r>
      <w:r w:rsidRPr="003E5ED2">
        <w:rPr>
          <w:rFonts w:ascii="Arial" w:hAnsi="Arial" w:cs="Arial"/>
          <w:sz w:val="22"/>
          <w:szCs w:val="22"/>
        </w:rPr>
        <w:t>. Ud</w:t>
      </w:r>
      <w:r w:rsidR="00384F6F" w:rsidRPr="003E5ED2">
        <w:rPr>
          <w:rFonts w:ascii="Arial" w:hAnsi="Arial" w:cs="Arial"/>
          <w:sz w:val="22"/>
          <w:szCs w:val="22"/>
        </w:rPr>
        <w:t>jel</w:t>
      </w:r>
      <w:r w:rsidRPr="003E5ED2">
        <w:rPr>
          <w:rFonts w:ascii="Arial" w:hAnsi="Arial" w:cs="Arial"/>
          <w:sz w:val="22"/>
          <w:szCs w:val="22"/>
        </w:rPr>
        <w:t xml:space="preserve"> nefinancijske imovine u ukupnoj aktivi </w:t>
      </w:r>
      <w:r w:rsidR="004D6F50" w:rsidRPr="003E5ED2">
        <w:rPr>
          <w:rFonts w:ascii="Arial" w:hAnsi="Arial" w:cs="Arial"/>
          <w:sz w:val="22"/>
          <w:szCs w:val="22"/>
        </w:rPr>
        <w:t xml:space="preserve">Grada </w:t>
      </w:r>
      <w:r w:rsidRPr="003E5ED2">
        <w:rPr>
          <w:rFonts w:ascii="Arial" w:hAnsi="Arial" w:cs="Arial"/>
          <w:sz w:val="22"/>
          <w:szCs w:val="22"/>
        </w:rPr>
        <w:t>iz</w:t>
      </w:r>
      <w:r w:rsidR="003324D4" w:rsidRPr="003E5ED2">
        <w:rPr>
          <w:rFonts w:ascii="Arial" w:hAnsi="Arial" w:cs="Arial"/>
          <w:sz w:val="22"/>
          <w:szCs w:val="22"/>
        </w:rPr>
        <w:t xml:space="preserve">nosi </w:t>
      </w:r>
      <w:r w:rsidR="00296B9C" w:rsidRPr="003E5ED2">
        <w:rPr>
          <w:rFonts w:ascii="Arial" w:hAnsi="Arial" w:cs="Arial"/>
          <w:sz w:val="22"/>
          <w:szCs w:val="22"/>
        </w:rPr>
        <w:t>82,7</w:t>
      </w:r>
      <w:r w:rsidRPr="003E5ED2">
        <w:rPr>
          <w:rFonts w:ascii="Arial" w:hAnsi="Arial" w:cs="Arial"/>
          <w:sz w:val="22"/>
          <w:szCs w:val="22"/>
        </w:rPr>
        <w:t>%</w:t>
      </w:r>
      <w:r w:rsidR="004D6F50" w:rsidRPr="003E5ED2">
        <w:rPr>
          <w:rFonts w:ascii="Arial" w:hAnsi="Arial" w:cs="Arial"/>
          <w:sz w:val="22"/>
          <w:szCs w:val="22"/>
        </w:rPr>
        <w:t>, a</w:t>
      </w:r>
      <w:r w:rsidRPr="003E5ED2">
        <w:rPr>
          <w:rFonts w:ascii="Arial" w:hAnsi="Arial" w:cs="Arial"/>
          <w:sz w:val="22"/>
          <w:szCs w:val="22"/>
        </w:rPr>
        <w:t xml:space="preserve"> financijsk</w:t>
      </w:r>
      <w:r w:rsidR="000B5AEE" w:rsidRPr="003E5ED2">
        <w:rPr>
          <w:rFonts w:ascii="Arial" w:hAnsi="Arial" w:cs="Arial"/>
          <w:sz w:val="22"/>
          <w:szCs w:val="22"/>
        </w:rPr>
        <w:t>e</w:t>
      </w:r>
      <w:r w:rsidRPr="003E5ED2">
        <w:rPr>
          <w:rFonts w:ascii="Arial" w:hAnsi="Arial" w:cs="Arial"/>
          <w:sz w:val="22"/>
          <w:szCs w:val="22"/>
        </w:rPr>
        <w:t xml:space="preserve"> imovin</w:t>
      </w:r>
      <w:r w:rsidR="000B5AEE" w:rsidRPr="003E5ED2">
        <w:rPr>
          <w:rFonts w:ascii="Arial" w:hAnsi="Arial" w:cs="Arial"/>
          <w:sz w:val="22"/>
          <w:szCs w:val="22"/>
        </w:rPr>
        <w:t>e</w:t>
      </w:r>
      <w:r w:rsidRPr="003E5ED2">
        <w:rPr>
          <w:rFonts w:ascii="Arial" w:hAnsi="Arial" w:cs="Arial"/>
          <w:sz w:val="22"/>
          <w:szCs w:val="22"/>
        </w:rPr>
        <w:t xml:space="preserve"> </w:t>
      </w:r>
      <w:r w:rsidR="00296B9C" w:rsidRPr="003E5ED2">
        <w:rPr>
          <w:rFonts w:ascii="Arial" w:hAnsi="Arial" w:cs="Arial"/>
          <w:sz w:val="22"/>
          <w:szCs w:val="22"/>
        </w:rPr>
        <w:t>17,3</w:t>
      </w:r>
      <w:r w:rsidRPr="003E5ED2">
        <w:rPr>
          <w:rFonts w:ascii="Arial" w:hAnsi="Arial" w:cs="Arial"/>
          <w:sz w:val="22"/>
          <w:szCs w:val="22"/>
        </w:rPr>
        <w:t xml:space="preserve">%. </w:t>
      </w:r>
    </w:p>
    <w:p w:rsidR="00631056" w:rsidRPr="003E5ED2" w:rsidRDefault="00631056" w:rsidP="000E69DA">
      <w:pPr>
        <w:jc w:val="both"/>
        <w:rPr>
          <w:rFonts w:ascii="Arial" w:hAnsi="Arial" w:cs="Arial"/>
          <w:b/>
          <w:sz w:val="22"/>
          <w:szCs w:val="22"/>
        </w:rPr>
      </w:pPr>
    </w:p>
    <w:p w:rsidR="00B61AAE" w:rsidRPr="003E5ED2" w:rsidRDefault="00B61AAE" w:rsidP="000E69DA">
      <w:pPr>
        <w:jc w:val="both"/>
        <w:rPr>
          <w:rFonts w:ascii="Arial" w:hAnsi="Arial" w:cs="Arial"/>
          <w:b/>
          <w:sz w:val="22"/>
          <w:szCs w:val="22"/>
        </w:rPr>
      </w:pPr>
    </w:p>
    <w:p w:rsidR="000E69DA" w:rsidRPr="003E5ED2" w:rsidRDefault="000E69DA" w:rsidP="000E69DA">
      <w:pPr>
        <w:jc w:val="both"/>
        <w:rPr>
          <w:rFonts w:ascii="Arial" w:hAnsi="Arial" w:cs="Arial"/>
          <w:b/>
          <w:color w:val="FF0000"/>
          <w:sz w:val="22"/>
          <w:szCs w:val="22"/>
          <w:highlight w:val="yellow"/>
        </w:rPr>
      </w:pPr>
      <w:r w:rsidRPr="003E5ED2">
        <w:rPr>
          <w:rFonts w:ascii="Arial" w:hAnsi="Arial" w:cs="Arial"/>
          <w:b/>
          <w:sz w:val="22"/>
          <w:szCs w:val="22"/>
        </w:rPr>
        <w:t xml:space="preserve">Bilješka broj 2 – </w:t>
      </w:r>
      <w:r w:rsidR="00321D91" w:rsidRPr="003E5ED2">
        <w:rPr>
          <w:rFonts w:ascii="Arial" w:hAnsi="Arial" w:cs="Arial"/>
          <w:b/>
          <w:sz w:val="22"/>
          <w:szCs w:val="22"/>
        </w:rPr>
        <w:t>B002</w:t>
      </w:r>
      <w:r w:rsidRPr="003E5ED2">
        <w:rPr>
          <w:rFonts w:ascii="Arial" w:hAnsi="Arial" w:cs="Arial"/>
          <w:b/>
          <w:sz w:val="22"/>
          <w:szCs w:val="22"/>
        </w:rPr>
        <w:t xml:space="preserve">  NEFINANCIJSKA IMOVINA </w:t>
      </w:r>
    </w:p>
    <w:p w:rsidR="00D46488" w:rsidRPr="003E5ED2" w:rsidRDefault="00D46488" w:rsidP="000E69DA">
      <w:pPr>
        <w:jc w:val="both"/>
        <w:rPr>
          <w:rFonts w:ascii="Arial" w:hAnsi="Arial" w:cs="Arial"/>
          <w:sz w:val="22"/>
          <w:szCs w:val="22"/>
          <w:highlight w:val="yellow"/>
        </w:rPr>
      </w:pPr>
    </w:p>
    <w:p w:rsidR="004E5EC2" w:rsidRPr="003E5ED2" w:rsidRDefault="000E69DA" w:rsidP="009A02EC">
      <w:pPr>
        <w:jc w:val="both"/>
        <w:rPr>
          <w:rFonts w:ascii="Arial" w:hAnsi="Arial" w:cs="Arial"/>
          <w:sz w:val="22"/>
          <w:szCs w:val="22"/>
        </w:rPr>
      </w:pPr>
      <w:r w:rsidRPr="003E5ED2">
        <w:rPr>
          <w:rFonts w:ascii="Arial" w:hAnsi="Arial" w:cs="Arial"/>
          <w:sz w:val="22"/>
          <w:szCs w:val="22"/>
        </w:rPr>
        <w:t xml:space="preserve">Ukupna vrijednost </w:t>
      </w:r>
      <w:r w:rsidRPr="003E5ED2">
        <w:rPr>
          <w:rFonts w:ascii="Arial" w:hAnsi="Arial" w:cs="Arial"/>
          <w:b/>
          <w:sz w:val="22"/>
          <w:szCs w:val="22"/>
        </w:rPr>
        <w:t>nefi</w:t>
      </w:r>
      <w:r w:rsidR="00321D91" w:rsidRPr="003E5ED2">
        <w:rPr>
          <w:rFonts w:ascii="Arial" w:hAnsi="Arial" w:cs="Arial"/>
          <w:b/>
          <w:sz w:val="22"/>
          <w:szCs w:val="22"/>
        </w:rPr>
        <w:t>nancijske imovine Grada (B002</w:t>
      </w:r>
      <w:r w:rsidRPr="003E5ED2">
        <w:rPr>
          <w:rFonts w:ascii="Arial" w:hAnsi="Arial" w:cs="Arial"/>
          <w:b/>
          <w:sz w:val="22"/>
          <w:szCs w:val="22"/>
        </w:rPr>
        <w:t>)</w:t>
      </w:r>
      <w:r w:rsidRPr="003E5ED2">
        <w:rPr>
          <w:rFonts w:ascii="Arial" w:hAnsi="Arial" w:cs="Arial"/>
          <w:sz w:val="22"/>
          <w:szCs w:val="22"/>
        </w:rPr>
        <w:t xml:space="preserve"> na dan bilance iznosi </w:t>
      </w:r>
      <w:r w:rsidR="004F6664" w:rsidRPr="003E5ED2">
        <w:rPr>
          <w:rFonts w:ascii="Arial" w:hAnsi="Arial" w:cs="Arial"/>
          <w:sz w:val="22"/>
          <w:szCs w:val="22"/>
        </w:rPr>
        <w:t>998.917.772,26</w:t>
      </w:r>
      <w:r w:rsidR="00296B9C" w:rsidRPr="003E5ED2">
        <w:rPr>
          <w:rFonts w:ascii="Arial" w:hAnsi="Arial" w:cs="Arial"/>
          <w:sz w:val="22"/>
          <w:szCs w:val="22"/>
        </w:rPr>
        <w:t xml:space="preserve"> eura </w:t>
      </w:r>
      <w:r w:rsidR="00FF36EE" w:rsidRPr="003E5ED2">
        <w:rPr>
          <w:rFonts w:ascii="Arial" w:hAnsi="Arial" w:cs="Arial"/>
          <w:sz w:val="22"/>
          <w:szCs w:val="22"/>
        </w:rPr>
        <w:t>što</w:t>
      </w:r>
      <w:r w:rsidR="00CF1CB6" w:rsidRPr="003E5ED2">
        <w:rPr>
          <w:rFonts w:ascii="Arial" w:hAnsi="Arial" w:cs="Arial"/>
          <w:sz w:val="22"/>
          <w:szCs w:val="22"/>
        </w:rPr>
        <w:t xml:space="preserve">, </w:t>
      </w:r>
      <w:r w:rsidRPr="003E5ED2">
        <w:rPr>
          <w:rFonts w:ascii="Arial" w:hAnsi="Arial" w:cs="Arial"/>
          <w:sz w:val="22"/>
          <w:szCs w:val="22"/>
        </w:rPr>
        <w:t xml:space="preserve">u odnosu na </w:t>
      </w:r>
      <w:r w:rsidR="00FF36EE" w:rsidRPr="003E5ED2">
        <w:rPr>
          <w:rFonts w:ascii="Arial" w:hAnsi="Arial" w:cs="Arial"/>
          <w:sz w:val="22"/>
          <w:szCs w:val="22"/>
        </w:rPr>
        <w:t xml:space="preserve">njenu </w:t>
      </w:r>
      <w:r w:rsidR="00294A40" w:rsidRPr="003E5ED2">
        <w:rPr>
          <w:rFonts w:ascii="Arial" w:hAnsi="Arial" w:cs="Arial"/>
          <w:sz w:val="22"/>
          <w:szCs w:val="22"/>
        </w:rPr>
        <w:t>vrijednost kraj</w:t>
      </w:r>
      <w:r w:rsidR="00FF36EE" w:rsidRPr="003E5ED2">
        <w:rPr>
          <w:rFonts w:ascii="Arial" w:hAnsi="Arial" w:cs="Arial"/>
          <w:sz w:val="22"/>
          <w:szCs w:val="22"/>
        </w:rPr>
        <w:t>em</w:t>
      </w:r>
      <w:r w:rsidR="00294A40" w:rsidRPr="003E5ED2">
        <w:rPr>
          <w:rFonts w:ascii="Arial" w:hAnsi="Arial" w:cs="Arial"/>
          <w:sz w:val="22"/>
          <w:szCs w:val="22"/>
        </w:rPr>
        <w:t xml:space="preserve"> </w:t>
      </w:r>
      <w:r w:rsidRPr="003E5ED2">
        <w:rPr>
          <w:rFonts w:ascii="Arial" w:hAnsi="Arial" w:cs="Arial"/>
          <w:sz w:val="22"/>
          <w:szCs w:val="22"/>
        </w:rPr>
        <w:t>prethodn</w:t>
      </w:r>
      <w:r w:rsidR="00294A40" w:rsidRPr="003E5ED2">
        <w:rPr>
          <w:rFonts w:ascii="Arial" w:hAnsi="Arial" w:cs="Arial"/>
          <w:sz w:val="22"/>
          <w:szCs w:val="22"/>
        </w:rPr>
        <w:t>e</w:t>
      </w:r>
      <w:r w:rsidRPr="003E5ED2">
        <w:rPr>
          <w:rFonts w:ascii="Arial" w:hAnsi="Arial" w:cs="Arial"/>
          <w:sz w:val="22"/>
          <w:szCs w:val="22"/>
        </w:rPr>
        <w:t xml:space="preserve"> godin</w:t>
      </w:r>
      <w:r w:rsidR="00294A40" w:rsidRPr="003E5ED2">
        <w:rPr>
          <w:rFonts w:ascii="Arial" w:hAnsi="Arial" w:cs="Arial"/>
          <w:sz w:val="22"/>
          <w:szCs w:val="22"/>
        </w:rPr>
        <w:t>e</w:t>
      </w:r>
      <w:r w:rsidR="00CF1CB6" w:rsidRPr="003E5ED2">
        <w:rPr>
          <w:rFonts w:ascii="Arial" w:hAnsi="Arial" w:cs="Arial"/>
          <w:sz w:val="22"/>
          <w:szCs w:val="22"/>
        </w:rPr>
        <w:t>,</w:t>
      </w:r>
      <w:r w:rsidRPr="003E5ED2">
        <w:rPr>
          <w:rFonts w:ascii="Arial" w:hAnsi="Arial" w:cs="Arial"/>
          <w:sz w:val="22"/>
          <w:szCs w:val="22"/>
        </w:rPr>
        <w:t xml:space="preserve"> </w:t>
      </w:r>
      <w:r w:rsidR="00FF36EE" w:rsidRPr="003E5ED2">
        <w:rPr>
          <w:rFonts w:ascii="Arial" w:hAnsi="Arial" w:cs="Arial"/>
          <w:sz w:val="22"/>
          <w:szCs w:val="22"/>
        </w:rPr>
        <w:t xml:space="preserve">predstavlja </w:t>
      </w:r>
      <w:r w:rsidR="00CF1CB6" w:rsidRPr="003E5ED2">
        <w:rPr>
          <w:rFonts w:ascii="Arial" w:hAnsi="Arial" w:cs="Arial"/>
          <w:sz w:val="22"/>
          <w:szCs w:val="22"/>
        </w:rPr>
        <w:t>povećanje</w:t>
      </w:r>
      <w:r w:rsidRPr="003E5ED2">
        <w:rPr>
          <w:rFonts w:ascii="Arial" w:hAnsi="Arial" w:cs="Arial"/>
          <w:sz w:val="22"/>
          <w:szCs w:val="22"/>
        </w:rPr>
        <w:t xml:space="preserve"> za </w:t>
      </w:r>
      <w:r w:rsidR="00704D06" w:rsidRPr="003E5ED2">
        <w:rPr>
          <w:rFonts w:ascii="Arial" w:hAnsi="Arial" w:cs="Arial"/>
          <w:sz w:val="22"/>
          <w:szCs w:val="22"/>
        </w:rPr>
        <w:t>14.957.857,47</w:t>
      </w:r>
      <w:r w:rsidR="00296B9C" w:rsidRPr="003E5ED2">
        <w:rPr>
          <w:rFonts w:ascii="Arial" w:hAnsi="Arial" w:cs="Arial"/>
          <w:sz w:val="22"/>
          <w:szCs w:val="22"/>
        </w:rPr>
        <w:t xml:space="preserve"> eura.</w:t>
      </w:r>
    </w:p>
    <w:p w:rsidR="00B80EE1" w:rsidRPr="003E5ED2" w:rsidRDefault="000E69DA" w:rsidP="00B80EE1">
      <w:pPr>
        <w:jc w:val="both"/>
        <w:rPr>
          <w:rFonts w:ascii="Arial" w:hAnsi="Arial" w:cs="Arial"/>
          <w:sz w:val="22"/>
          <w:szCs w:val="22"/>
        </w:rPr>
      </w:pPr>
      <w:r w:rsidRPr="003E5ED2">
        <w:rPr>
          <w:rFonts w:ascii="Arial" w:hAnsi="Arial" w:cs="Arial"/>
          <w:sz w:val="22"/>
          <w:szCs w:val="22"/>
        </w:rPr>
        <w:t>U strukturi ukupne nefinancijske imovine vrijednosno najveći ud</w:t>
      </w:r>
      <w:r w:rsidR="00F31C37" w:rsidRPr="003E5ED2">
        <w:rPr>
          <w:rFonts w:ascii="Arial" w:hAnsi="Arial" w:cs="Arial"/>
          <w:sz w:val="22"/>
          <w:szCs w:val="22"/>
        </w:rPr>
        <w:t>jel</w:t>
      </w:r>
      <w:r w:rsidRPr="003E5ED2">
        <w:rPr>
          <w:rFonts w:ascii="Arial" w:hAnsi="Arial" w:cs="Arial"/>
          <w:sz w:val="22"/>
          <w:szCs w:val="22"/>
        </w:rPr>
        <w:t xml:space="preserve"> zauzima </w:t>
      </w:r>
      <w:proofErr w:type="spellStart"/>
      <w:r w:rsidRPr="003E5ED2">
        <w:rPr>
          <w:rFonts w:ascii="Arial" w:hAnsi="Arial" w:cs="Arial"/>
          <w:b/>
          <w:sz w:val="22"/>
          <w:szCs w:val="22"/>
        </w:rPr>
        <w:t>neproizve</w:t>
      </w:r>
      <w:r w:rsidR="00321D91" w:rsidRPr="003E5ED2">
        <w:rPr>
          <w:rFonts w:ascii="Arial" w:hAnsi="Arial" w:cs="Arial"/>
          <w:b/>
          <w:sz w:val="22"/>
          <w:szCs w:val="22"/>
        </w:rPr>
        <w:t>dena</w:t>
      </w:r>
      <w:proofErr w:type="spellEnd"/>
      <w:r w:rsidR="00321D91" w:rsidRPr="003E5ED2">
        <w:rPr>
          <w:rFonts w:ascii="Arial" w:hAnsi="Arial" w:cs="Arial"/>
          <w:b/>
          <w:sz w:val="22"/>
          <w:szCs w:val="22"/>
        </w:rPr>
        <w:t xml:space="preserve"> dugotrajna imovina (01</w:t>
      </w:r>
      <w:r w:rsidRPr="003E5ED2">
        <w:rPr>
          <w:rFonts w:ascii="Arial" w:hAnsi="Arial" w:cs="Arial"/>
          <w:b/>
          <w:sz w:val="22"/>
          <w:szCs w:val="22"/>
        </w:rPr>
        <w:t>)</w:t>
      </w:r>
      <w:r w:rsidR="00FF36EE" w:rsidRPr="003E5ED2">
        <w:rPr>
          <w:rFonts w:ascii="Arial" w:hAnsi="Arial" w:cs="Arial"/>
          <w:b/>
          <w:sz w:val="22"/>
          <w:szCs w:val="22"/>
        </w:rPr>
        <w:t>.</w:t>
      </w:r>
      <w:r w:rsidR="00FF36EE" w:rsidRPr="003E5ED2">
        <w:rPr>
          <w:rFonts w:ascii="Arial" w:hAnsi="Arial" w:cs="Arial"/>
          <w:sz w:val="22"/>
          <w:szCs w:val="22"/>
        </w:rPr>
        <w:t xml:space="preserve"> </w:t>
      </w:r>
      <w:r w:rsidR="00B80EE1" w:rsidRPr="003E5ED2">
        <w:rPr>
          <w:rFonts w:ascii="Arial" w:hAnsi="Arial" w:cs="Arial"/>
          <w:sz w:val="22"/>
          <w:szCs w:val="22"/>
        </w:rPr>
        <w:t xml:space="preserve">Grad Rijeka vlasnik je, odnosno suvlasnik sveukupno </w:t>
      </w:r>
      <w:r w:rsidR="004E5EC2" w:rsidRPr="003E5ED2">
        <w:rPr>
          <w:rFonts w:ascii="Arial" w:hAnsi="Arial" w:cs="Arial"/>
          <w:sz w:val="22"/>
          <w:szCs w:val="22"/>
        </w:rPr>
        <w:t>11.879</w:t>
      </w:r>
      <w:r w:rsidR="00B80EE1" w:rsidRPr="003E5ED2">
        <w:rPr>
          <w:rFonts w:ascii="Arial" w:hAnsi="Arial" w:cs="Arial"/>
          <w:sz w:val="22"/>
          <w:szCs w:val="22"/>
        </w:rPr>
        <w:t xml:space="preserve"> zemljišnih čestica, sveukupne površine </w:t>
      </w:r>
      <w:r w:rsidR="004E5EC2" w:rsidRPr="003E5ED2">
        <w:rPr>
          <w:rFonts w:ascii="Arial" w:hAnsi="Arial" w:cs="Arial"/>
          <w:sz w:val="22"/>
          <w:szCs w:val="22"/>
        </w:rPr>
        <w:t>8.947.746,08</w:t>
      </w:r>
      <w:r w:rsidR="00B80EE1" w:rsidRPr="003E5ED2">
        <w:rPr>
          <w:rFonts w:ascii="Arial" w:hAnsi="Arial" w:cs="Arial"/>
          <w:sz w:val="22"/>
          <w:szCs w:val="22"/>
        </w:rPr>
        <w:t xml:space="preserve"> m</w:t>
      </w:r>
      <w:r w:rsidR="00B80EE1" w:rsidRPr="003E5ED2">
        <w:rPr>
          <w:rFonts w:ascii="Arial" w:hAnsi="Arial" w:cs="Arial"/>
          <w:sz w:val="22"/>
          <w:szCs w:val="22"/>
          <w:vertAlign w:val="superscript"/>
        </w:rPr>
        <w:t>2</w:t>
      </w:r>
      <w:r w:rsidR="008B252E" w:rsidRPr="003E5ED2">
        <w:rPr>
          <w:rFonts w:ascii="Arial" w:hAnsi="Arial" w:cs="Arial"/>
          <w:sz w:val="22"/>
          <w:szCs w:val="22"/>
        </w:rPr>
        <w:t xml:space="preserve">, </w:t>
      </w:r>
      <w:r w:rsidR="00B80EE1" w:rsidRPr="003E5ED2">
        <w:rPr>
          <w:rFonts w:ascii="Arial" w:hAnsi="Arial" w:cs="Arial"/>
          <w:sz w:val="22"/>
          <w:szCs w:val="22"/>
        </w:rPr>
        <w:t xml:space="preserve">vrijednosti </w:t>
      </w:r>
      <w:r w:rsidR="004E5EC2" w:rsidRPr="003E5ED2">
        <w:rPr>
          <w:rFonts w:ascii="Arial" w:hAnsi="Arial" w:cs="Arial"/>
          <w:sz w:val="22"/>
          <w:szCs w:val="22"/>
        </w:rPr>
        <w:t>675.365.993,30</w:t>
      </w:r>
      <w:r w:rsidR="00C6042A" w:rsidRPr="003E5ED2">
        <w:rPr>
          <w:rFonts w:ascii="Arial" w:hAnsi="Arial" w:cs="Arial"/>
          <w:sz w:val="22"/>
          <w:szCs w:val="22"/>
        </w:rPr>
        <w:t xml:space="preserve"> eura.</w:t>
      </w:r>
    </w:p>
    <w:p w:rsidR="00112F4C" w:rsidRPr="003E5ED2" w:rsidRDefault="00112F4C" w:rsidP="000E69DA">
      <w:pPr>
        <w:jc w:val="both"/>
        <w:rPr>
          <w:rFonts w:ascii="Arial" w:hAnsi="Arial" w:cs="Arial"/>
          <w:sz w:val="22"/>
          <w:szCs w:val="22"/>
          <w:highlight w:val="yellow"/>
        </w:rPr>
      </w:pPr>
    </w:p>
    <w:p w:rsidR="000E69DA" w:rsidRPr="003E5ED2" w:rsidRDefault="004E6C6E" w:rsidP="000E69DA">
      <w:pPr>
        <w:jc w:val="both"/>
        <w:rPr>
          <w:rFonts w:ascii="Arial" w:hAnsi="Arial" w:cs="Arial"/>
          <w:sz w:val="22"/>
          <w:szCs w:val="22"/>
        </w:rPr>
      </w:pPr>
      <w:r w:rsidRPr="003E5ED2">
        <w:rPr>
          <w:rFonts w:ascii="Arial" w:hAnsi="Arial" w:cs="Arial"/>
          <w:b/>
          <w:sz w:val="22"/>
          <w:szCs w:val="22"/>
        </w:rPr>
        <w:t>Dugotrajna n</w:t>
      </w:r>
      <w:r w:rsidR="000E69DA" w:rsidRPr="003E5ED2">
        <w:rPr>
          <w:rFonts w:ascii="Arial" w:hAnsi="Arial" w:cs="Arial"/>
          <w:b/>
          <w:sz w:val="22"/>
          <w:szCs w:val="22"/>
        </w:rPr>
        <w:t>efinanci</w:t>
      </w:r>
      <w:r w:rsidR="00BA1EFA" w:rsidRPr="003E5ED2">
        <w:rPr>
          <w:rFonts w:ascii="Arial" w:hAnsi="Arial" w:cs="Arial"/>
          <w:b/>
          <w:sz w:val="22"/>
          <w:szCs w:val="22"/>
        </w:rPr>
        <w:t>jska imovina u pripremi (05</w:t>
      </w:r>
      <w:r w:rsidR="000E69DA" w:rsidRPr="003E5ED2">
        <w:rPr>
          <w:rFonts w:ascii="Arial" w:hAnsi="Arial" w:cs="Arial"/>
          <w:b/>
          <w:sz w:val="22"/>
          <w:szCs w:val="22"/>
        </w:rPr>
        <w:t xml:space="preserve">) </w:t>
      </w:r>
      <w:r w:rsidR="000E69DA" w:rsidRPr="003E5ED2">
        <w:rPr>
          <w:rFonts w:ascii="Arial" w:hAnsi="Arial" w:cs="Arial"/>
          <w:sz w:val="22"/>
          <w:szCs w:val="22"/>
        </w:rPr>
        <w:t xml:space="preserve">– vrijednost </w:t>
      </w:r>
      <w:r w:rsidR="007C395E" w:rsidRPr="003E5ED2">
        <w:rPr>
          <w:rFonts w:ascii="Arial" w:hAnsi="Arial" w:cs="Arial"/>
          <w:sz w:val="22"/>
          <w:szCs w:val="22"/>
        </w:rPr>
        <w:t xml:space="preserve">imovine u pripremi (investicija u tijeku) </w:t>
      </w:r>
      <w:r w:rsidR="007E6001" w:rsidRPr="003E5ED2">
        <w:rPr>
          <w:rFonts w:ascii="Arial" w:hAnsi="Arial" w:cs="Arial"/>
          <w:sz w:val="22"/>
          <w:szCs w:val="22"/>
        </w:rPr>
        <w:t>veća</w:t>
      </w:r>
      <w:r w:rsidR="002D7210" w:rsidRPr="003E5ED2">
        <w:rPr>
          <w:rFonts w:ascii="Arial" w:hAnsi="Arial" w:cs="Arial"/>
          <w:sz w:val="22"/>
          <w:szCs w:val="22"/>
        </w:rPr>
        <w:t xml:space="preserve"> je za </w:t>
      </w:r>
      <w:r w:rsidR="00D12941" w:rsidRPr="003E5ED2">
        <w:rPr>
          <w:rFonts w:ascii="Arial" w:hAnsi="Arial" w:cs="Arial"/>
          <w:sz w:val="22"/>
          <w:szCs w:val="22"/>
        </w:rPr>
        <w:t>6.197.</w:t>
      </w:r>
      <w:r w:rsidR="00704D06" w:rsidRPr="003E5ED2">
        <w:rPr>
          <w:rFonts w:ascii="Arial" w:hAnsi="Arial" w:cs="Arial"/>
          <w:sz w:val="22"/>
          <w:szCs w:val="22"/>
        </w:rPr>
        <w:t>313,98</w:t>
      </w:r>
      <w:r w:rsidR="00296B9C" w:rsidRPr="003E5ED2">
        <w:rPr>
          <w:rFonts w:ascii="Arial" w:hAnsi="Arial" w:cs="Arial"/>
          <w:sz w:val="22"/>
          <w:szCs w:val="22"/>
        </w:rPr>
        <w:t xml:space="preserve"> eur</w:t>
      </w:r>
      <w:r w:rsidR="005A418D" w:rsidRPr="003E5ED2">
        <w:rPr>
          <w:rFonts w:ascii="Arial" w:hAnsi="Arial" w:cs="Arial"/>
          <w:sz w:val="22"/>
          <w:szCs w:val="22"/>
        </w:rPr>
        <w:t>a</w:t>
      </w:r>
      <w:r w:rsidR="002D7210" w:rsidRPr="003E5ED2">
        <w:rPr>
          <w:rFonts w:ascii="Arial" w:hAnsi="Arial" w:cs="Arial"/>
          <w:sz w:val="22"/>
          <w:szCs w:val="22"/>
        </w:rPr>
        <w:t xml:space="preserve"> ili </w:t>
      </w:r>
      <w:r w:rsidR="00D12941" w:rsidRPr="003E5ED2">
        <w:rPr>
          <w:rFonts w:ascii="Arial" w:hAnsi="Arial" w:cs="Arial"/>
          <w:sz w:val="22"/>
          <w:szCs w:val="22"/>
        </w:rPr>
        <w:t>11,3</w:t>
      </w:r>
      <w:r w:rsidR="000E69DA" w:rsidRPr="003E5ED2">
        <w:rPr>
          <w:rFonts w:ascii="Arial" w:hAnsi="Arial" w:cs="Arial"/>
          <w:sz w:val="22"/>
          <w:szCs w:val="22"/>
        </w:rPr>
        <w:t xml:space="preserve">% u odnosu na prethodnu godinu i ukupno iznosi </w:t>
      </w:r>
      <w:r w:rsidR="007464B2" w:rsidRPr="003E5ED2">
        <w:rPr>
          <w:rFonts w:ascii="Arial" w:hAnsi="Arial" w:cs="Arial"/>
          <w:sz w:val="22"/>
          <w:szCs w:val="22"/>
        </w:rPr>
        <w:t>6</w:t>
      </w:r>
      <w:r w:rsidR="00D12941" w:rsidRPr="003E5ED2">
        <w:rPr>
          <w:rFonts w:ascii="Arial" w:hAnsi="Arial" w:cs="Arial"/>
          <w:sz w:val="22"/>
          <w:szCs w:val="22"/>
        </w:rPr>
        <w:t>1.132.774,34</w:t>
      </w:r>
      <w:r w:rsidR="00296B9C" w:rsidRPr="003E5ED2">
        <w:rPr>
          <w:rFonts w:ascii="Arial" w:hAnsi="Arial" w:cs="Arial"/>
          <w:sz w:val="22"/>
          <w:szCs w:val="22"/>
        </w:rPr>
        <w:t xml:space="preserve"> eura</w:t>
      </w:r>
      <w:r w:rsidR="00C05004" w:rsidRPr="003E5ED2">
        <w:rPr>
          <w:rFonts w:ascii="Arial" w:hAnsi="Arial" w:cs="Arial"/>
          <w:sz w:val="22"/>
          <w:szCs w:val="22"/>
        </w:rPr>
        <w:t>.</w:t>
      </w:r>
      <w:r w:rsidR="00960C6D" w:rsidRPr="003E5ED2">
        <w:rPr>
          <w:rFonts w:ascii="Arial" w:hAnsi="Arial" w:cs="Arial"/>
          <w:sz w:val="22"/>
          <w:szCs w:val="22"/>
        </w:rPr>
        <w:t xml:space="preserve"> </w:t>
      </w:r>
      <w:r w:rsidR="00231829" w:rsidRPr="003E5ED2">
        <w:rPr>
          <w:rFonts w:ascii="Arial" w:hAnsi="Arial" w:cs="Arial"/>
          <w:sz w:val="22"/>
          <w:szCs w:val="22"/>
        </w:rPr>
        <w:t>U okviru ove skupine</w:t>
      </w:r>
      <w:r w:rsidR="00260D9D" w:rsidRPr="003E5ED2">
        <w:rPr>
          <w:rFonts w:ascii="Arial" w:hAnsi="Arial" w:cs="Arial"/>
          <w:sz w:val="22"/>
          <w:szCs w:val="22"/>
        </w:rPr>
        <w:t xml:space="preserve"> veće povećanje </w:t>
      </w:r>
      <w:r w:rsidR="00231829" w:rsidRPr="003E5ED2">
        <w:rPr>
          <w:rFonts w:ascii="Arial" w:hAnsi="Arial" w:cs="Arial"/>
          <w:sz w:val="22"/>
          <w:szCs w:val="22"/>
        </w:rPr>
        <w:t>evidentiran</w:t>
      </w:r>
      <w:r w:rsidR="00260D9D" w:rsidRPr="003E5ED2">
        <w:rPr>
          <w:rFonts w:ascii="Arial" w:hAnsi="Arial" w:cs="Arial"/>
          <w:sz w:val="22"/>
          <w:szCs w:val="22"/>
        </w:rPr>
        <w:t>o</w:t>
      </w:r>
      <w:r w:rsidR="00231829" w:rsidRPr="003E5ED2">
        <w:rPr>
          <w:rFonts w:ascii="Arial" w:hAnsi="Arial" w:cs="Arial"/>
          <w:sz w:val="22"/>
          <w:szCs w:val="22"/>
        </w:rPr>
        <w:t xml:space="preserve"> </w:t>
      </w:r>
      <w:r w:rsidR="001128A9" w:rsidRPr="003E5ED2">
        <w:rPr>
          <w:rFonts w:ascii="Arial" w:hAnsi="Arial" w:cs="Arial"/>
          <w:sz w:val="22"/>
          <w:szCs w:val="22"/>
        </w:rPr>
        <w:t xml:space="preserve">je </w:t>
      </w:r>
      <w:r w:rsidR="00260D9D" w:rsidRPr="003E5ED2">
        <w:rPr>
          <w:rFonts w:ascii="Arial" w:hAnsi="Arial" w:cs="Arial"/>
          <w:sz w:val="22"/>
          <w:szCs w:val="22"/>
        </w:rPr>
        <w:t xml:space="preserve">kod sljedećih </w:t>
      </w:r>
      <w:r w:rsidR="00C21DA0" w:rsidRPr="003E5ED2">
        <w:rPr>
          <w:rFonts w:ascii="Arial" w:hAnsi="Arial" w:cs="Arial"/>
          <w:sz w:val="22"/>
          <w:szCs w:val="22"/>
        </w:rPr>
        <w:t>kapitalnih projekata</w:t>
      </w:r>
      <w:r w:rsidR="00260D9D" w:rsidRPr="003E5ED2">
        <w:rPr>
          <w:rFonts w:ascii="Arial" w:hAnsi="Arial" w:cs="Arial"/>
          <w:sz w:val="22"/>
          <w:szCs w:val="22"/>
        </w:rPr>
        <w:t xml:space="preserve">: </w:t>
      </w:r>
      <w:r w:rsidR="00BA7B7E" w:rsidRPr="003E5ED2">
        <w:rPr>
          <w:rFonts w:ascii="Arial" w:hAnsi="Arial" w:cs="Arial"/>
          <w:sz w:val="22"/>
          <w:szCs w:val="22"/>
        </w:rPr>
        <w:t>u</w:t>
      </w:r>
      <w:r w:rsidR="00960C6D" w:rsidRPr="003E5ED2">
        <w:rPr>
          <w:rFonts w:ascii="Arial" w:hAnsi="Arial" w:cs="Arial"/>
          <w:sz w:val="22"/>
          <w:szCs w:val="22"/>
        </w:rPr>
        <w:t>laganja u Revitalizaciju kompleksa Benčić</w:t>
      </w:r>
      <w:r w:rsidR="00537056" w:rsidRPr="003E5ED2">
        <w:rPr>
          <w:rFonts w:ascii="Arial" w:hAnsi="Arial" w:cs="Arial"/>
          <w:sz w:val="22"/>
          <w:szCs w:val="22"/>
        </w:rPr>
        <w:t xml:space="preserve"> </w:t>
      </w:r>
      <w:r w:rsidR="00960C6D" w:rsidRPr="003E5ED2">
        <w:rPr>
          <w:rFonts w:ascii="Arial" w:hAnsi="Arial" w:cs="Arial"/>
          <w:sz w:val="22"/>
          <w:szCs w:val="22"/>
        </w:rPr>
        <w:t>- Cigleni i T-objekt</w:t>
      </w:r>
      <w:r w:rsidR="007C395E" w:rsidRPr="003E5ED2">
        <w:rPr>
          <w:rFonts w:ascii="Arial" w:hAnsi="Arial" w:cs="Arial"/>
          <w:sz w:val="22"/>
          <w:szCs w:val="22"/>
        </w:rPr>
        <w:t xml:space="preserve"> </w:t>
      </w:r>
      <w:r w:rsidR="00F3054E" w:rsidRPr="003E5ED2">
        <w:rPr>
          <w:rFonts w:ascii="Arial" w:hAnsi="Arial" w:cs="Arial"/>
          <w:sz w:val="22"/>
          <w:szCs w:val="22"/>
        </w:rPr>
        <w:t>te</w:t>
      </w:r>
      <w:r w:rsidR="007C395E" w:rsidRPr="003E5ED2">
        <w:rPr>
          <w:rFonts w:ascii="Arial" w:hAnsi="Arial" w:cs="Arial"/>
          <w:sz w:val="22"/>
          <w:szCs w:val="22"/>
        </w:rPr>
        <w:t xml:space="preserve"> uređenj</w:t>
      </w:r>
      <w:r w:rsidR="00231829" w:rsidRPr="003E5ED2">
        <w:rPr>
          <w:rFonts w:ascii="Arial" w:hAnsi="Arial" w:cs="Arial"/>
          <w:sz w:val="22"/>
          <w:szCs w:val="22"/>
        </w:rPr>
        <w:t>e</w:t>
      </w:r>
      <w:r w:rsidR="007C395E" w:rsidRPr="003E5ED2">
        <w:rPr>
          <w:rFonts w:ascii="Arial" w:hAnsi="Arial" w:cs="Arial"/>
          <w:sz w:val="22"/>
          <w:szCs w:val="22"/>
        </w:rPr>
        <w:t xml:space="preserve"> javnih površina i izgradnje pripadajuće infrastrukture unutar bivšeg tvorničkog kompleksa Rikard Benčić</w:t>
      </w:r>
      <w:r w:rsidR="00BA7B7E" w:rsidRPr="003E5ED2">
        <w:rPr>
          <w:rFonts w:ascii="Arial" w:hAnsi="Arial" w:cs="Arial"/>
          <w:sz w:val="22"/>
          <w:szCs w:val="22"/>
        </w:rPr>
        <w:t xml:space="preserve">, </w:t>
      </w:r>
      <w:r w:rsidR="00F3054E" w:rsidRPr="003E5ED2">
        <w:rPr>
          <w:rFonts w:ascii="Arial" w:hAnsi="Arial" w:cs="Arial"/>
          <w:sz w:val="22"/>
          <w:szCs w:val="22"/>
        </w:rPr>
        <w:t xml:space="preserve">kod  </w:t>
      </w:r>
      <w:r w:rsidR="00BA7B7E" w:rsidRPr="003E5ED2">
        <w:rPr>
          <w:rFonts w:ascii="Arial" w:hAnsi="Arial" w:cs="Arial"/>
          <w:sz w:val="22"/>
          <w:szCs w:val="22"/>
        </w:rPr>
        <w:t>rekonstrukcij</w:t>
      </w:r>
      <w:r w:rsidR="00260D9D" w:rsidRPr="003E5ED2">
        <w:rPr>
          <w:rFonts w:ascii="Arial" w:hAnsi="Arial" w:cs="Arial"/>
          <w:sz w:val="22"/>
          <w:szCs w:val="22"/>
        </w:rPr>
        <w:t>e</w:t>
      </w:r>
      <w:r w:rsidR="00BA7B7E" w:rsidRPr="003E5ED2">
        <w:rPr>
          <w:rFonts w:ascii="Arial" w:hAnsi="Arial" w:cs="Arial"/>
          <w:sz w:val="22"/>
          <w:szCs w:val="22"/>
        </w:rPr>
        <w:t xml:space="preserve"> i opremanj</w:t>
      </w:r>
      <w:r w:rsidR="00260D9D" w:rsidRPr="003E5ED2">
        <w:rPr>
          <w:rFonts w:ascii="Arial" w:hAnsi="Arial" w:cs="Arial"/>
          <w:sz w:val="22"/>
          <w:szCs w:val="22"/>
        </w:rPr>
        <w:t>a</w:t>
      </w:r>
      <w:r w:rsidR="00BA7B7E" w:rsidRPr="003E5ED2">
        <w:rPr>
          <w:rFonts w:ascii="Arial" w:hAnsi="Arial" w:cs="Arial"/>
          <w:sz w:val="22"/>
          <w:szCs w:val="22"/>
        </w:rPr>
        <w:t xml:space="preserve"> broda</w:t>
      </w:r>
      <w:r w:rsidR="00F3054E" w:rsidRPr="003E5ED2">
        <w:rPr>
          <w:rFonts w:ascii="Arial" w:hAnsi="Arial" w:cs="Arial"/>
          <w:sz w:val="22"/>
          <w:szCs w:val="22"/>
        </w:rPr>
        <w:t>-</w:t>
      </w:r>
      <w:r w:rsidR="00BA7B7E" w:rsidRPr="003E5ED2">
        <w:rPr>
          <w:rFonts w:ascii="Arial" w:hAnsi="Arial" w:cs="Arial"/>
          <w:sz w:val="22"/>
          <w:szCs w:val="22"/>
        </w:rPr>
        <w:t>muzeja Galeb</w:t>
      </w:r>
      <w:r w:rsidR="00260D9D" w:rsidRPr="003E5ED2">
        <w:rPr>
          <w:rFonts w:ascii="Arial" w:hAnsi="Arial" w:cs="Arial"/>
          <w:sz w:val="22"/>
          <w:szCs w:val="22"/>
        </w:rPr>
        <w:t xml:space="preserve"> (</w:t>
      </w:r>
      <w:r w:rsidR="00BC1838" w:rsidRPr="003E5ED2">
        <w:rPr>
          <w:rFonts w:ascii="Arial" w:hAnsi="Arial" w:cs="Arial"/>
          <w:sz w:val="22"/>
          <w:szCs w:val="22"/>
        </w:rPr>
        <w:t xml:space="preserve">kapitalni </w:t>
      </w:r>
      <w:r w:rsidR="00260D9D" w:rsidRPr="003E5ED2">
        <w:rPr>
          <w:rFonts w:ascii="Arial" w:hAnsi="Arial" w:cs="Arial"/>
          <w:sz w:val="22"/>
          <w:szCs w:val="22"/>
        </w:rPr>
        <w:t>projekt Turističke valorizacije</w:t>
      </w:r>
      <w:r w:rsidR="00BC1838" w:rsidRPr="003E5ED2">
        <w:rPr>
          <w:rFonts w:ascii="Arial" w:hAnsi="Arial" w:cs="Arial"/>
          <w:color w:val="000000" w:themeColor="text1"/>
          <w:sz w:val="22"/>
          <w:szCs w:val="22"/>
        </w:rPr>
        <w:t xml:space="preserve"> reprezentativnih spomenika riječke industrijske baštine</w:t>
      </w:r>
      <w:r w:rsidR="00260D9D" w:rsidRPr="003E5ED2">
        <w:rPr>
          <w:rFonts w:ascii="Arial" w:hAnsi="Arial" w:cs="Arial"/>
          <w:sz w:val="22"/>
          <w:szCs w:val="22"/>
        </w:rPr>
        <w:t>)</w:t>
      </w:r>
      <w:r w:rsidR="00BA7B7E" w:rsidRPr="003E5ED2">
        <w:rPr>
          <w:rFonts w:ascii="Arial" w:hAnsi="Arial" w:cs="Arial"/>
          <w:sz w:val="22"/>
          <w:szCs w:val="22"/>
        </w:rPr>
        <w:t>,</w:t>
      </w:r>
      <w:r w:rsidR="00A61597" w:rsidRPr="003E5ED2">
        <w:rPr>
          <w:rFonts w:ascii="Arial" w:hAnsi="Arial" w:cs="Arial"/>
          <w:sz w:val="22"/>
          <w:szCs w:val="22"/>
        </w:rPr>
        <w:t xml:space="preserve"> </w:t>
      </w:r>
      <w:r w:rsidR="00260D9D" w:rsidRPr="003E5ED2">
        <w:rPr>
          <w:rFonts w:ascii="Arial" w:hAnsi="Arial" w:cs="Arial"/>
          <w:sz w:val="22"/>
          <w:szCs w:val="22"/>
        </w:rPr>
        <w:t xml:space="preserve">zatim </w:t>
      </w:r>
      <w:r w:rsidR="00683096" w:rsidRPr="003E5ED2">
        <w:rPr>
          <w:rFonts w:ascii="Arial" w:hAnsi="Arial" w:cs="Arial"/>
          <w:sz w:val="22"/>
          <w:szCs w:val="22"/>
        </w:rPr>
        <w:t xml:space="preserve">kod </w:t>
      </w:r>
      <w:r w:rsidR="00960C6D" w:rsidRPr="003E5ED2">
        <w:rPr>
          <w:rFonts w:ascii="Arial" w:hAnsi="Arial" w:cs="Arial"/>
          <w:sz w:val="22"/>
          <w:szCs w:val="22"/>
        </w:rPr>
        <w:t>ulaganja u</w:t>
      </w:r>
      <w:r w:rsidR="00296B9C" w:rsidRPr="003E5ED2">
        <w:rPr>
          <w:rFonts w:ascii="Arial" w:hAnsi="Arial" w:cs="Arial"/>
          <w:sz w:val="22"/>
          <w:szCs w:val="22"/>
        </w:rPr>
        <w:t xml:space="preserve"> Energanu</w:t>
      </w:r>
      <w:r w:rsidR="00B61AAE" w:rsidRPr="003E5ED2">
        <w:rPr>
          <w:rFonts w:ascii="Arial" w:hAnsi="Arial" w:cs="Arial"/>
          <w:sz w:val="22"/>
          <w:szCs w:val="22"/>
        </w:rPr>
        <w:t xml:space="preserve"> - </w:t>
      </w:r>
      <w:r w:rsidR="00E263B1" w:rsidRPr="003E5ED2">
        <w:rPr>
          <w:rFonts w:ascii="Arial" w:hAnsi="Arial" w:cs="Arial"/>
          <w:sz w:val="22"/>
          <w:szCs w:val="22"/>
        </w:rPr>
        <w:t xml:space="preserve">Start </w:t>
      </w:r>
      <w:proofErr w:type="spellStart"/>
      <w:r w:rsidR="00E263B1" w:rsidRPr="003E5ED2">
        <w:rPr>
          <w:rFonts w:ascii="Arial" w:hAnsi="Arial" w:cs="Arial"/>
          <w:sz w:val="22"/>
          <w:szCs w:val="22"/>
        </w:rPr>
        <w:t>up</w:t>
      </w:r>
      <w:proofErr w:type="spellEnd"/>
      <w:r w:rsidR="00E263B1" w:rsidRPr="003E5ED2">
        <w:rPr>
          <w:rFonts w:ascii="Arial" w:hAnsi="Arial" w:cs="Arial"/>
          <w:sz w:val="22"/>
          <w:szCs w:val="22"/>
        </w:rPr>
        <w:t xml:space="preserve"> inkubator za kreativne tehnologije i IT </w:t>
      </w:r>
      <w:r w:rsidR="00247B4C" w:rsidRPr="003E5ED2">
        <w:rPr>
          <w:rFonts w:ascii="Arial" w:hAnsi="Arial" w:cs="Arial"/>
          <w:sz w:val="22"/>
          <w:szCs w:val="22"/>
        </w:rPr>
        <w:t xml:space="preserve">industriju, </w:t>
      </w:r>
      <w:r w:rsidR="00025EA9" w:rsidRPr="003E5ED2">
        <w:rPr>
          <w:rFonts w:ascii="Arial" w:hAnsi="Arial" w:cs="Arial"/>
          <w:sz w:val="22"/>
          <w:szCs w:val="22"/>
        </w:rPr>
        <w:t>ulaganja u dječje vrtiće</w:t>
      </w:r>
      <w:r w:rsidR="002A19E6" w:rsidRPr="003E5ED2">
        <w:rPr>
          <w:rFonts w:ascii="Arial" w:hAnsi="Arial" w:cs="Arial"/>
          <w:sz w:val="22"/>
          <w:szCs w:val="22"/>
        </w:rPr>
        <w:t xml:space="preserve"> i škole</w:t>
      </w:r>
      <w:r w:rsidR="00025EA9" w:rsidRPr="003E5ED2">
        <w:rPr>
          <w:rFonts w:ascii="Arial" w:hAnsi="Arial" w:cs="Arial"/>
          <w:sz w:val="22"/>
          <w:szCs w:val="22"/>
        </w:rPr>
        <w:t xml:space="preserve">, </w:t>
      </w:r>
      <w:r w:rsidR="00247B4C" w:rsidRPr="003E5ED2">
        <w:rPr>
          <w:rFonts w:ascii="Arial" w:hAnsi="Arial" w:cs="Arial"/>
          <w:sz w:val="22"/>
          <w:szCs w:val="22"/>
        </w:rPr>
        <w:t>ulaganja u pristupn</w:t>
      </w:r>
      <w:r w:rsidR="00E263B1" w:rsidRPr="003E5ED2">
        <w:rPr>
          <w:rFonts w:ascii="Arial" w:hAnsi="Arial" w:cs="Arial"/>
          <w:sz w:val="22"/>
          <w:szCs w:val="22"/>
        </w:rPr>
        <w:t>e ceste</w:t>
      </w:r>
      <w:r w:rsidR="003818DF" w:rsidRPr="003E5ED2">
        <w:rPr>
          <w:rFonts w:ascii="Arial" w:hAnsi="Arial" w:cs="Arial"/>
          <w:sz w:val="22"/>
          <w:szCs w:val="22"/>
        </w:rPr>
        <w:t>, javnu rasvjetu</w:t>
      </w:r>
      <w:r w:rsidR="00E263B1" w:rsidRPr="003E5ED2">
        <w:rPr>
          <w:rFonts w:ascii="Arial" w:hAnsi="Arial" w:cs="Arial"/>
          <w:sz w:val="22"/>
          <w:szCs w:val="22"/>
        </w:rPr>
        <w:t xml:space="preserve"> i dr. </w:t>
      </w:r>
      <w:r w:rsidR="00960C6D" w:rsidRPr="003E5ED2">
        <w:rPr>
          <w:rFonts w:ascii="Arial" w:hAnsi="Arial" w:cs="Arial"/>
          <w:sz w:val="22"/>
          <w:szCs w:val="22"/>
        </w:rPr>
        <w:t xml:space="preserve"> </w:t>
      </w:r>
    </w:p>
    <w:p w:rsidR="003E4DD0" w:rsidRPr="003E5ED2" w:rsidRDefault="003E4DD0" w:rsidP="000E69DA">
      <w:pPr>
        <w:jc w:val="both"/>
        <w:rPr>
          <w:rFonts w:ascii="Arial" w:hAnsi="Arial" w:cs="Arial"/>
          <w:b/>
          <w:sz w:val="22"/>
          <w:szCs w:val="22"/>
        </w:rPr>
      </w:pPr>
    </w:p>
    <w:p w:rsidR="00631056" w:rsidRPr="003E5ED2" w:rsidRDefault="00631056" w:rsidP="000E69DA">
      <w:pPr>
        <w:jc w:val="both"/>
        <w:rPr>
          <w:rFonts w:ascii="Arial" w:hAnsi="Arial" w:cs="Arial"/>
          <w:b/>
          <w:sz w:val="22"/>
          <w:szCs w:val="22"/>
        </w:rPr>
      </w:pPr>
    </w:p>
    <w:p w:rsidR="000E69DA" w:rsidRPr="003E5ED2" w:rsidRDefault="000E69DA" w:rsidP="000E69DA">
      <w:pPr>
        <w:jc w:val="both"/>
        <w:rPr>
          <w:rFonts w:ascii="Arial" w:hAnsi="Arial" w:cs="Arial"/>
          <w:b/>
          <w:sz w:val="22"/>
          <w:szCs w:val="22"/>
        </w:rPr>
      </w:pPr>
      <w:r w:rsidRPr="003E5ED2">
        <w:rPr>
          <w:rFonts w:ascii="Arial" w:hAnsi="Arial" w:cs="Arial"/>
          <w:b/>
          <w:sz w:val="22"/>
          <w:szCs w:val="22"/>
        </w:rPr>
        <w:t>Bilješka broj 3 –</w:t>
      </w:r>
      <w:r w:rsidR="00BA1EFA" w:rsidRPr="003E5ED2">
        <w:rPr>
          <w:rFonts w:ascii="Arial" w:hAnsi="Arial" w:cs="Arial"/>
          <w:b/>
          <w:sz w:val="22"/>
          <w:szCs w:val="22"/>
        </w:rPr>
        <w:t xml:space="preserve"> 1</w:t>
      </w:r>
      <w:r w:rsidRPr="003E5ED2">
        <w:rPr>
          <w:rFonts w:ascii="Arial" w:hAnsi="Arial" w:cs="Arial"/>
          <w:b/>
          <w:sz w:val="22"/>
          <w:szCs w:val="22"/>
        </w:rPr>
        <w:t xml:space="preserve">  FINANCIJSKA IMOVINA </w:t>
      </w:r>
    </w:p>
    <w:p w:rsidR="000E69DA" w:rsidRPr="003E5ED2" w:rsidRDefault="000E69DA" w:rsidP="000E69DA">
      <w:pPr>
        <w:jc w:val="both"/>
        <w:rPr>
          <w:rFonts w:ascii="Arial" w:hAnsi="Arial" w:cs="Arial"/>
          <w:sz w:val="22"/>
          <w:szCs w:val="22"/>
          <w:highlight w:val="green"/>
        </w:rPr>
      </w:pPr>
    </w:p>
    <w:p w:rsidR="000E69DA" w:rsidRPr="003E5ED2" w:rsidRDefault="000E69DA" w:rsidP="000E69DA">
      <w:pPr>
        <w:jc w:val="both"/>
        <w:rPr>
          <w:rFonts w:ascii="Arial" w:hAnsi="Arial" w:cs="Arial"/>
          <w:sz w:val="22"/>
          <w:szCs w:val="22"/>
        </w:rPr>
      </w:pPr>
      <w:r w:rsidRPr="003E5ED2">
        <w:rPr>
          <w:rFonts w:ascii="Arial" w:hAnsi="Arial" w:cs="Arial"/>
          <w:sz w:val="22"/>
          <w:szCs w:val="22"/>
        </w:rPr>
        <w:t xml:space="preserve">Vrijednost ukupne financijske imovine (novac i potraživanje) Grada iznosi </w:t>
      </w:r>
      <w:r w:rsidR="00025EA9" w:rsidRPr="003E5ED2">
        <w:rPr>
          <w:rFonts w:ascii="Arial" w:hAnsi="Arial" w:cs="Arial"/>
          <w:sz w:val="22"/>
          <w:szCs w:val="22"/>
        </w:rPr>
        <w:t>208.807.290,39</w:t>
      </w:r>
      <w:r w:rsidR="00E263B1" w:rsidRPr="003E5ED2">
        <w:rPr>
          <w:rFonts w:ascii="Arial" w:hAnsi="Arial" w:cs="Arial"/>
          <w:sz w:val="22"/>
          <w:szCs w:val="22"/>
        </w:rPr>
        <w:t xml:space="preserve"> eura.</w:t>
      </w:r>
    </w:p>
    <w:p w:rsidR="000E69DA" w:rsidRPr="003E5ED2" w:rsidRDefault="000E69DA" w:rsidP="000E69DA">
      <w:pPr>
        <w:jc w:val="both"/>
        <w:rPr>
          <w:rFonts w:ascii="Arial" w:hAnsi="Arial" w:cs="Arial"/>
          <w:sz w:val="22"/>
          <w:szCs w:val="22"/>
          <w:u w:val="single"/>
        </w:rPr>
      </w:pPr>
    </w:p>
    <w:p w:rsidR="0059189E" w:rsidRPr="003E5ED2" w:rsidRDefault="000E69DA" w:rsidP="006F4A97">
      <w:pPr>
        <w:jc w:val="both"/>
        <w:rPr>
          <w:rFonts w:ascii="Arial" w:hAnsi="Arial" w:cs="Arial"/>
          <w:sz w:val="22"/>
          <w:szCs w:val="22"/>
        </w:rPr>
      </w:pPr>
      <w:r w:rsidRPr="003E5ED2">
        <w:rPr>
          <w:rFonts w:ascii="Arial" w:hAnsi="Arial" w:cs="Arial"/>
          <w:i/>
          <w:sz w:val="22"/>
          <w:szCs w:val="22"/>
          <w:u w:val="single"/>
        </w:rPr>
        <w:t>Novac u banci i blagajni (</w:t>
      </w:r>
      <w:r w:rsidR="00BA1EFA" w:rsidRPr="003E5ED2">
        <w:rPr>
          <w:rFonts w:ascii="Arial" w:hAnsi="Arial" w:cs="Arial"/>
          <w:i/>
          <w:sz w:val="22"/>
          <w:szCs w:val="22"/>
          <w:u w:val="single"/>
        </w:rPr>
        <w:t>11</w:t>
      </w:r>
      <w:r w:rsidRPr="003E5ED2">
        <w:rPr>
          <w:rFonts w:ascii="Arial" w:hAnsi="Arial" w:cs="Arial"/>
          <w:i/>
          <w:sz w:val="22"/>
          <w:szCs w:val="22"/>
          <w:u w:val="single"/>
        </w:rPr>
        <w:t>)</w:t>
      </w:r>
      <w:r w:rsidRPr="003E5ED2">
        <w:rPr>
          <w:rFonts w:ascii="Arial" w:hAnsi="Arial" w:cs="Arial"/>
          <w:sz w:val="22"/>
          <w:szCs w:val="22"/>
        </w:rPr>
        <w:t xml:space="preserve"> – stanj</w:t>
      </w:r>
      <w:r w:rsidR="00B64504">
        <w:rPr>
          <w:rFonts w:ascii="Arial" w:hAnsi="Arial" w:cs="Arial"/>
          <w:sz w:val="22"/>
          <w:szCs w:val="22"/>
        </w:rPr>
        <w:t>e</w:t>
      </w:r>
      <w:r w:rsidRPr="003E5ED2">
        <w:rPr>
          <w:rFonts w:ascii="Arial" w:hAnsi="Arial" w:cs="Arial"/>
          <w:sz w:val="22"/>
          <w:szCs w:val="22"/>
        </w:rPr>
        <w:t xml:space="preserve"> novčanih sredstava na računima i u blagajni iznose </w:t>
      </w:r>
      <w:r w:rsidR="00DE32AE" w:rsidRPr="003E5ED2">
        <w:rPr>
          <w:rFonts w:ascii="Arial" w:hAnsi="Arial" w:cs="Arial"/>
          <w:sz w:val="22"/>
          <w:szCs w:val="22"/>
        </w:rPr>
        <w:t xml:space="preserve">ukupno </w:t>
      </w:r>
      <w:r w:rsidR="002D3385" w:rsidRPr="003E5ED2">
        <w:rPr>
          <w:rFonts w:ascii="Arial" w:hAnsi="Arial" w:cs="Arial"/>
          <w:sz w:val="22"/>
          <w:szCs w:val="22"/>
        </w:rPr>
        <w:t>47.227.037,28</w:t>
      </w:r>
      <w:r w:rsidR="00E263B1" w:rsidRPr="003E5ED2">
        <w:rPr>
          <w:rFonts w:ascii="Arial" w:hAnsi="Arial" w:cs="Arial"/>
          <w:sz w:val="22"/>
          <w:szCs w:val="22"/>
        </w:rPr>
        <w:t xml:space="preserve"> eura.</w:t>
      </w:r>
      <w:r w:rsidR="00C061A8" w:rsidRPr="003E5ED2">
        <w:rPr>
          <w:rFonts w:ascii="Arial" w:hAnsi="Arial" w:cs="Arial"/>
          <w:sz w:val="22"/>
          <w:szCs w:val="22"/>
        </w:rPr>
        <w:t xml:space="preserve"> </w:t>
      </w:r>
      <w:r w:rsidR="004B73F8" w:rsidRPr="003E5ED2">
        <w:rPr>
          <w:rFonts w:ascii="Arial" w:hAnsi="Arial" w:cs="Arial"/>
          <w:sz w:val="22"/>
          <w:szCs w:val="22"/>
        </w:rPr>
        <w:t xml:space="preserve"> </w:t>
      </w:r>
    </w:p>
    <w:p w:rsidR="0059189E" w:rsidRPr="003E5ED2" w:rsidRDefault="0059189E" w:rsidP="006F4A97">
      <w:pPr>
        <w:jc w:val="both"/>
        <w:rPr>
          <w:rFonts w:ascii="Arial" w:hAnsi="Arial" w:cs="Arial"/>
          <w:sz w:val="22"/>
          <w:szCs w:val="22"/>
        </w:rPr>
      </w:pPr>
    </w:p>
    <w:p w:rsidR="006F4A97" w:rsidRPr="003E5ED2" w:rsidRDefault="006F4A97" w:rsidP="006F4A97">
      <w:pPr>
        <w:jc w:val="both"/>
        <w:rPr>
          <w:rFonts w:ascii="Arial" w:hAnsi="Arial" w:cs="Arial"/>
          <w:sz w:val="22"/>
          <w:szCs w:val="22"/>
        </w:rPr>
      </w:pPr>
      <w:r w:rsidRPr="003E5ED2">
        <w:rPr>
          <w:rFonts w:ascii="Arial" w:hAnsi="Arial" w:cs="Arial"/>
          <w:sz w:val="22"/>
          <w:szCs w:val="22"/>
        </w:rPr>
        <w:t>Stanje novca po računima skupine 11:</w:t>
      </w:r>
      <w:r w:rsidR="00DD471A" w:rsidRPr="003E5ED2">
        <w:rPr>
          <w:rFonts w:ascii="Arial" w:hAnsi="Arial" w:cs="Arial"/>
          <w:sz w:val="22"/>
          <w:szCs w:val="22"/>
        </w:rPr>
        <w:t xml:space="preserve"> </w:t>
      </w:r>
    </w:p>
    <w:p w:rsidR="006F4A97" w:rsidRPr="003E5ED2" w:rsidRDefault="006F4A97" w:rsidP="006F4A97">
      <w:pPr>
        <w:jc w:val="both"/>
        <w:rPr>
          <w:rFonts w:ascii="Arial" w:hAnsi="Arial" w:cs="Arial"/>
          <w:sz w:val="22"/>
          <w:szCs w:val="22"/>
        </w:rPr>
      </w:pPr>
    </w:p>
    <w:p w:rsidR="006F4A97" w:rsidRPr="003E5ED2" w:rsidRDefault="006F4A97" w:rsidP="00B61AAE">
      <w:pPr>
        <w:pStyle w:val="ListParagraph"/>
        <w:numPr>
          <w:ilvl w:val="0"/>
          <w:numId w:val="25"/>
        </w:numPr>
        <w:jc w:val="both"/>
        <w:rPr>
          <w:rFonts w:ascii="Arial" w:hAnsi="Arial" w:cs="Arial"/>
          <w:sz w:val="22"/>
          <w:szCs w:val="22"/>
        </w:rPr>
      </w:pPr>
      <w:r w:rsidRPr="003E5ED2">
        <w:rPr>
          <w:rFonts w:ascii="Arial" w:hAnsi="Arial" w:cs="Arial"/>
          <w:sz w:val="22"/>
          <w:szCs w:val="22"/>
        </w:rPr>
        <w:t xml:space="preserve">Jedinstveni račun riznice Grada Rijeke (račun na kojem se nalaze </w:t>
      </w:r>
    </w:p>
    <w:p w:rsidR="006F4A97" w:rsidRPr="003E5ED2" w:rsidRDefault="006F4A97" w:rsidP="00B61AAE">
      <w:pPr>
        <w:jc w:val="both"/>
        <w:rPr>
          <w:rFonts w:ascii="Arial" w:hAnsi="Arial" w:cs="Arial"/>
          <w:sz w:val="22"/>
          <w:szCs w:val="22"/>
        </w:rPr>
      </w:pPr>
      <w:r w:rsidRPr="003E5ED2">
        <w:rPr>
          <w:rFonts w:ascii="Arial" w:hAnsi="Arial" w:cs="Arial"/>
          <w:sz w:val="22"/>
          <w:szCs w:val="22"/>
        </w:rPr>
        <w:tab/>
      </w:r>
      <w:r w:rsidR="00F42083" w:rsidRPr="003E5ED2">
        <w:rPr>
          <w:rFonts w:ascii="Arial" w:hAnsi="Arial" w:cs="Arial"/>
          <w:sz w:val="22"/>
          <w:szCs w:val="22"/>
        </w:rPr>
        <w:t xml:space="preserve">novčana </w:t>
      </w:r>
      <w:r w:rsidRPr="003E5ED2">
        <w:rPr>
          <w:rFonts w:ascii="Arial" w:hAnsi="Arial" w:cs="Arial"/>
          <w:sz w:val="22"/>
          <w:szCs w:val="22"/>
        </w:rPr>
        <w:t xml:space="preserve">sredstva i Grada </w:t>
      </w:r>
      <w:r w:rsidR="00E52285" w:rsidRPr="003E5ED2">
        <w:rPr>
          <w:rFonts w:ascii="Arial" w:hAnsi="Arial" w:cs="Arial"/>
          <w:sz w:val="22"/>
          <w:szCs w:val="22"/>
        </w:rPr>
        <w:t xml:space="preserve">Rijeke </w:t>
      </w:r>
      <w:r w:rsidRPr="003E5ED2">
        <w:rPr>
          <w:rFonts w:ascii="Arial" w:hAnsi="Arial" w:cs="Arial"/>
          <w:sz w:val="22"/>
          <w:szCs w:val="22"/>
        </w:rPr>
        <w:t xml:space="preserve">i </w:t>
      </w:r>
      <w:r w:rsidR="002D3385" w:rsidRPr="003E5ED2">
        <w:rPr>
          <w:rFonts w:ascii="Arial" w:hAnsi="Arial" w:cs="Arial"/>
          <w:sz w:val="22"/>
          <w:szCs w:val="22"/>
        </w:rPr>
        <w:t>83</w:t>
      </w:r>
      <w:r w:rsidR="00E52285" w:rsidRPr="003E5ED2">
        <w:rPr>
          <w:rFonts w:ascii="Arial" w:hAnsi="Arial" w:cs="Arial"/>
          <w:sz w:val="22"/>
          <w:szCs w:val="22"/>
        </w:rPr>
        <w:t xml:space="preserve"> </w:t>
      </w:r>
      <w:r w:rsidRPr="003E5ED2">
        <w:rPr>
          <w:rFonts w:ascii="Arial" w:hAnsi="Arial" w:cs="Arial"/>
          <w:sz w:val="22"/>
          <w:szCs w:val="22"/>
        </w:rPr>
        <w:t>proračunsk</w:t>
      </w:r>
      <w:r w:rsidR="00E52285" w:rsidRPr="003E5ED2">
        <w:rPr>
          <w:rFonts w:ascii="Arial" w:hAnsi="Arial" w:cs="Arial"/>
          <w:sz w:val="22"/>
          <w:szCs w:val="22"/>
        </w:rPr>
        <w:t>a</w:t>
      </w:r>
      <w:r w:rsidRPr="003E5ED2">
        <w:rPr>
          <w:rFonts w:ascii="Arial" w:hAnsi="Arial" w:cs="Arial"/>
          <w:sz w:val="22"/>
          <w:szCs w:val="22"/>
        </w:rPr>
        <w:t xml:space="preserve"> korisnika)</w:t>
      </w:r>
      <w:r w:rsidR="00D95BD5" w:rsidRPr="003E5ED2">
        <w:rPr>
          <w:rFonts w:ascii="Arial" w:hAnsi="Arial" w:cs="Arial"/>
          <w:sz w:val="22"/>
          <w:szCs w:val="22"/>
        </w:rPr>
        <w:t xml:space="preserve"> </w:t>
      </w:r>
      <w:r w:rsidR="00D95BD5" w:rsidRPr="003E5ED2">
        <w:rPr>
          <w:rFonts w:ascii="Arial" w:hAnsi="Arial" w:cs="Arial"/>
          <w:sz w:val="22"/>
          <w:szCs w:val="22"/>
        </w:rPr>
        <w:tab/>
      </w:r>
      <w:r w:rsidR="00B61AAE" w:rsidRPr="003E5ED2">
        <w:rPr>
          <w:rFonts w:ascii="Arial" w:hAnsi="Arial" w:cs="Arial"/>
          <w:sz w:val="22"/>
          <w:szCs w:val="22"/>
        </w:rPr>
        <w:t xml:space="preserve"> </w:t>
      </w:r>
      <w:r w:rsidR="00D95BD5" w:rsidRPr="003E5ED2">
        <w:rPr>
          <w:rFonts w:ascii="Arial" w:hAnsi="Arial" w:cs="Arial"/>
          <w:sz w:val="22"/>
          <w:szCs w:val="22"/>
        </w:rPr>
        <w:t xml:space="preserve">      </w:t>
      </w:r>
      <w:r w:rsidRPr="003E5ED2">
        <w:rPr>
          <w:rFonts w:ascii="Arial" w:hAnsi="Arial" w:cs="Arial"/>
          <w:sz w:val="22"/>
          <w:szCs w:val="22"/>
        </w:rPr>
        <w:t>=</w:t>
      </w:r>
      <w:r w:rsidR="00196AA9" w:rsidRPr="003E5ED2">
        <w:rPr>
          <w:rFonts w:ascii="Arial" w:hAnsi="Arial" w:cs="Arial"/>
          <w:sz w:val="22"/>
          <w:szCs w:val="22"/>
        </w:rPr>
        <w:t xml:space="preserve"> </w:t>
      </w:r>
      <w:r w:rsidR="002D3385" w:rsidRPr="003E5ED2">
        <w:rPr>
          <w:rFonts w:ascii="Arial" w:hAnsi="Arial" w:cs="Arial"/>
          <w:sz w:val="22"/>
          <w:szCs w:val="22"/>
        </w:rPr>
        <w:t>44.614.912,51</w:t>
      </w:r>
      <w:r w:rsidRPr="003E5ED2">
        <w:rPr>
          <w:rFonts w:ascii="Arial" w:hAnsi="Arial" w:cs="Arial"/>
          <w:sz w:val="22"/>
          <w:szCs w:val="22"/>
        </w:rPr>
        <w:t xml:space="preserve"> eura</w:t>
      </w:r>
    </w:p>
    <w:p w:rsidR="006F4A97" w:rsidRPr="003E5ED2" w:rsidRDefault="006F4A97" w:rsidP="00B61AAE">
      <w:pPr>
        <w:pStyle w:val="ListParagraph"/>
        <w:numPr>
          <w:ilvl w:val="0"/>
          <w:numId w:val="25"/>
        </w:numPr>
        <w:jc w:val="both"/>
        <w:rPr>
          <w:rFonts w:ascii="Arial" w:hAnsi="Arial" w:cs="Arial"/>
          <w:sz w:val="22"/>
          <w:szCs w:val="22"/>
        </w:rPr>
      </w:pPr>
      <w:r w:rsidRPr="003E5ED2">
        <w:rPr>
          <w:rFonts w:ascii="Arial" w:hAnsi="Arial" w:cs="Arial"/>
          <w:sz w:val="22"/>
          <w:szCs w:val="22"/>
        </w:rPr>
        <w:t xml:space="preserve">Izdvojena novčana sredstva (računi depozita i za posebne namjene)  </w:t>
      </w:r>
      <w:r w:rsidR="00B61AAE" w:rsidRPr="003E5ED2">
        <w:rPr>
          <w:rFonts w:ascii="Arial" w:hAnsi="Arial" w:cs="Arial"/>
          <w:sz w:val="22"/>
          <w:szCs w:val="22"/>
        </w:rPr>
        <w:t xml:space="preserve">  </w:t>
      </w:r>
      <w:r w:rsidR="00FB60CA" w:rsidRPr="003E5ED2">
        <w:rPr>
          <w:rFonts w:ascii="Arial" w:hAnsi="Arial" w:cs="Arial"/>
          <w:sz w:val="22"/>
          <w:szCs w:val="22"/>
        </w:rPr>
        <w:t xml:space="preserve"> </w:t>
      </w:r>
      <w:r w:rsidRPr="003E5ED2">
        <w:rPr>
          <w:rFonts w:ascii="Arial" w:hAnsi="Arial" w:cs="Arial"/>
          <w:sz w:val="22"/>
          <w:szCs w:val="22"/>
        </w:rPr>
        <w:t xml:space="preserve">= </w:t>
      </w:r>
      <w:r w:rsidR="00B61AAE" w:rsidRPr="003E5ED2">
        <w:rPr>
          <w:rFonts w:ascii="Arial" w:hAnsi="Arial" w:cs="Arial"/>
          <w:sz w:val="22"/>
          <w:szCs w:val="22"/>
        </w:rPr>
        <w:t xml:space="preserve"> </w:t>
      </w:r>
      <w:r w:rsidRPr="003E5ED2">
        <w:rPr>
          <w:rFonts w:ascii="Arial" w:hAnsi="Arial" w:cs="Arial"/>
          <w:sz w:val="22"/>
          <w:szCs w:val="22"/>
        </w:rPr>
        <w:t xml:space="preserve"> </w:t>
      </w:r>
      <w:r w:rsidR="00196AA9" w:rsidRPr="003E5ED2">
        <w:rPr>
          <w:rFonts w:ascii="Arial" w:hAnsi="Arial" w:cs="Arial"/>
          <w:sz w:val="22"/>
          <w:szCs w:val="22"/>
        </w:rPr>
        <w:t xml:space="preserve"> </w:t>
      </w:r>
      <w:r w:rsidR="002D3385" w:rsidRPr="003E5ED2">
        <w:rPr>
          <w:rFonts w:ascii="Arial" w:hAnsi="Arial" w:cs="Arial"/>
          <w:sz w:val="22"/>
          <w:szCs w:val="22"/>
        </w:rPr>
        <w:t>2.604.365,65</w:t>
      </w:r>
      <w:r w:rsidRPr="003E5ED2">
        <w:rPr>
          <w:rFonts w:ascii="Arial" w:hAnsi="Arial" w:cs="Arial"/>
          <w:sz w:val="22"/>
          <w:szCs w:val="22"/>
        </w:rPr>
        <w:t xml:space="preserve"> eura</w:t>
      </w:r>
    </w:p>
    <w:p w:rsidR="006F4A97" w:rsidRPr="003E5ED2" w:rsidRDefault="006F4A97" w:rsidP="00B61AAE">
      <w:pPr>
        <w:pStyle w:val="ListParagraph"/>
        <w:numPr>
          <w:ilvl w:val="0"/>
          <w:numId w:val="25"/>
        </w:numPr>
        <w:jc w:val="both"/>
        <w:rPr>
          <w:rFonts w:ascii="Arial" w:hAnsi="Arial" w:cs="Arial"/>
          <w:sz w:val="22"/>
          <w:szCs w:val="22"/>
        </w:rPr>
      </w:pPr>
      <w:r w:rsidRPr="003E5ED2">
        <w:rPr>
          <w:rFonts w:ascii="Arial" w:hAnsi="Arial" w:cs="Arial"/>
          <w:sz w:val="22"/>
          <w:szCs w:val="22"/>
        </w:rPr>
        <w:t xml:space="preserve">Ostali računi </w:t>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t xml:space="preserve">     </w:t>
      </w:r>
      <w:r w:rsidR="00B61AAE" w:rsidRPr="003E5ED2">
        <w:rPr>
          <w:rFonts w:ascii="Arial" w:hAnsi="Arial" w:cs="Arial"/>
          <w:sz w:val="22"/>
          <w:szCs w:val="22"/>
        </w:rPr>
        <w:t xml:space="preserve"> </w:t>
      </w:r>
      <w:r w:rsidRPr="003E5ED2">
        <w:rPr>
          <w:rFonts w:ascii="Arial" w:hAnsi="Arial" w:cs="Arial"/>
          <w:sz w:val="22"/>
          <w:szCs w:val="22"/>
        </w:rPr>
        <w:t xml:space="preserve"> =          </w:t>
      </w:r>
      <w:r w:rsidR="002D3385" w:rsidRPr="003E5ED2">
        <w:rPr>
          <w:rFonts w:ascii="Arial" w:hAnsi="Arial" w:cs="Arial"/>
          <w:sz w:val="22"/>
          <w:szCs w:val="22"/>
        </w:rPr>
        <w:t>1.388,45</w:t>
      </w:r>
      <w:r w:rsidRPr="003E5ED2">
        <w:rPr>
          <w:rFonts w:ascii="Arial" w:hAnsi="Arial" w:cs="Arial"/>
          <w:sz w:val="22"/>
          <w:szCs w:val="22"/>
        </w:rPr>
        <w:t xml:space="preserve"> eura</w:t>
      </w:r>
    </w:p>
    <w:p w:rsidR="006F4A97" w:rsidRPr="003E5ED2" w:rsidRDefault="006F4A97" w:rsidP="00B61AAE">
      <w:pPr>
        <w:pStyle w:val="ListParagraph"/>
        <w:numPr>
          <w:ilvl w:val="0"/>
          <w:numId w:val="25"/>
        </w:numPr>
        <w:jc w:val="both"/>
        <w:rPr>
          <w:rFonts w:ascii="Arial" w:hAnsi="Arial" w:cs="Arial"/>
          <w:sz w:val="22"/>
          <w:szCs w:val="22"/>
        </w:rPr>
      </w:pPr>
      <w:r w:rsidRPr="003E5ED2">
        <w:rPr>
          <w:rFonts w:ascii="Arial" w:hAnsi="Arial" w:cs="Arial"/>
          <w:sz w:val="22"/>
          <w:szCs w:val="22"/>
        </w:rPr>
        <w:t>Prijelazni račun</w:t>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t xml:space="preserve">                 </w:t>
      </w:r>
      <w:r w:rsidR="00B61AAE" w:rsidRPr="003E5ED2">
        <w:rPr>
          <w:rFonts w:ascii="Arial" w:hAnsi="Arial" w:cs="Arial"/>
          <w:sz w:val="22"/>
          <w:szCs w:val="22"/>
        </w:rPr>
        <w:t xml:space="preserve"> </w:t>
      </w:r>
      <w:r w:rsidRPr="003E5ED2">
        <w:rPr>
          <w:rFonts w:ascii="Arial" w:hAnsi="Arial" w:cs="Arial"/>
          <w:sz w:val="22"/>
          <w:szCs w:val="22"/>
        </w:rPr>
        <w:t xml:space="preserve"> =        </w:t>
      </w:r>
      <w:r w:rsidR="002D3385" w:rsidRPr="003E5ED2">
        <w:rPr>
          <w:rFonts w:ascii="Arial" w:hAnsi="Arial" w:cs="Arial"/>
          <w:sz w:val="22"/>
          <w:szCs w:val="22"/>
        </w:rPr>
        <w:t xml:space="preserve">  6.370,67</w:t>
      </w:r>
      <w:r w:rsidRPr="003E5ED2">
        <w:rPr>
          <w:rFonts w:ascii="Arial" w:hAnsi="Arial" w:cs="Arial"/>
          <w:sz w:val="22"/>
          <w:szCs w:val="22"/>
        </w:rPr>
        <w:t xml:space="preserve"> eura</w:t>
      </w:r>
    </w:p>
    <w:p w:rsidR="0059189E" w:rsidRPr="003E5ED2" w:rsidRDefault="006F4A97" w:rsidP="00B61AAE">
      <w:pPr>
        <w:pStyle w:val="ListParagraph"/>
        <w:numPr>
          <w:ilvl w:val="0"/>
          <w:numId w:val="25"/>
        </w:numPr>
        <w:jc w:val="both"/>
        <w:rPr>
          <w:rFonts w:ascii="Arial" w:hAnsi="Arial" w:cs="Arial"/>
          <w:sz w:val="22"/>
          <w:szCs w:val="22"/>
        </w:rPr>
      </w:pPr>
      <w:r w:rsidRPr="003E5ED2">
        <w:rPr>
          <w:rFonts w:ascii="Arial" w:hAnsi="Arial" w:cs="Arial"/>
          <w:sz w:val="22"/>
          <w:szCs w:val="22"/>
        </w:rPr>
        <w:t>Novac u blagajni</w:t>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t xml:space="preserve"> </w:t>
      </w:r>
      <w:r w:rsidR="00B61AAE" w:rsidRPr="003E5ED2">
        <w:rPr>
          <w:rFonts w:ascii="Arial" w:hAnsi="Arial" w:cs="Arial"/>
          <w:sz w:val="22"/>
          <w:szCs w:val="22"/>
        </w:rPr>
        <w:t xml:space="preserve"> </w:t>
      </w:r>
      <w:r w:rsidRPr="003E5ED2">
        <w:rPr>
          <w:rFonts w:ascii="Arial" w:hAnsi="Arial" w:cs="Arial"/>
          <w:sz w:val="22"/>
          <w:szCs w:val="22"/>
        </w:rPr>
        <w:t xml:space="preserve">   </w:t>
      </w:r>
      <w:r w:rsidR="00B61AAE" w:rsidRPr="003E5ED2">
        <w:rPr>
          <w:rFonts w:ascii="Arial" w:hAnsi="Arial" w:cs="Arial"/>
          <w:sz w:val="22"/>
          <w:szCs w:val="22"/>
        </w:rPr>
        <w:t xml:space="preserve"> </w:t>
      </w:r>
      <w:r w:rsidRPr="003E5ED2">
        <w:rPr>
          <w:rFonts w:ascii="Arial" w:hAnsi="Arial" w:cs="Arial"/>
          <w:sz w:val="22"/>
          <w:szCs w:val="22"/>
        </w:rPr>
        <w:t xml:space="preserve"> =            </w:t>
      </w:r>
      <w:r w:rsidR="00B61AAE" w:rsidRPr="003E5ED2">
        <w:rPr>
          <w:rFonts w:ascii="Arial" w:hAnsi="Arial" w:cs="Arial"/>
          <w:sz w:val="22"/>
          <w:szCs w:val="22"/>
        </w:rPr>
        <w:t xml:space="preserve">   </w:t>
      </w:r>
      <w:r w:rsidRPr="003E5ED2">
        <w:rPr>
          <w:rFonts w:ascii="Arial" w:hAnsi="Arial" w:cs="Arial"/>
          <w:sz w:val="22"/>
          <w:szCs w:val="22"/>
        </w:rPr>
        <w:t xml:space="preserve"> 0,00 eura </w:t>
      </w:r>
    </w:p>
    <w:p w:rsidR="0059189E" w:rsidRPr="003E5ED2" w:rsidRDefault="0059189E" w:rsidP="0059189E">
      <w:pPr>
        <w:jc w:val="both"/>
        <w:rPr>
          <w:rFonts w:ascii="Arial" w:hAnsi="Arial" w:cs="Arial"/>
          <w:sz w:val="22"/>
          <w:szCs w:val="22"/>
        </w:rPr>
      </w:pPr>
    </w:p>
    <w:p w:rsidR="0059189E" w:rsidRPr="003E5ED2" w:rsidRDefault="0059189E" w:rsidP="0059189E">
      <w:pPr>
        <w:jc w:val="both"/>
        <w:rPr>
          <w:rFonts w:ascii="Arial" w:hAnsi="Arial" w:cs="Arial"/>
          <w:sz w:val="22"/>
          <w:szCs w:val="22"/>
        </w:rPr>
      </w:pPr>
    </w:p>
    <w:p w:rsidR="006F4A97" w:rsidRPr="003E5ED2" w:rsidRDefault="006F4A97" w:rsidP="0059189E">
      <w:pPr>
        <w:jc w:val="both"/>
        <w:rPr>
          <w:rFonts w:ascii="Arial" w:hAnsi="Arial" w:cs="Arial"/>
          <w:sz w:val="22"/>
          <w:szCs w:val="22"/>
        </w:rPr>
      </w:pPr>
      <w:r w:rsidRPr="003E5ED2">
        <w:rPr>
          <w:rFonts w:ascii="Arial" w:hAnsi="Arial" w:cs="Arial"/>
          <w:sz w:val="22"/>
          <w:szCs w:val="22"/>
        </w:rPr>
        <w:tab/>
      </w:r>
    </w:p>
    <w:p w:rsidR="00F936D1" w:rsidRPr="003E5ED2" w:rsidRDefault="00FD176F" w:rsidP="00F936D1">
      <w:pPr>
        <w:jc w:val="both"/>
        <w:rPr>
          <w:rFonts w:ascii="Arial" w:hAnsi="Arial" w:cs="Arial"/>
          <w:sz w:val="22"/>
          <w:szCs w:val="22"/>
        </w:rPr>
      </w:pPr>
      <w:r w:rsidRPr="003E5ED2">
        <w:rPr>
          <w:rFonts w:ascii="Arial" w:hAnsi="Arial" w:cs="Arial"/>
          <w:i/>
          <w:sz w:val="22"/>
          <w:szCs w:val="22"/>
          <w:u w:val="single"/>
        </w:rPr>
        <w:t>Depoziti u kreditnim i ostalim financijskim institucijama (1211</w:t>
      </w:r>
      <w:r w:rsidRPr="003E5ED2">
        <w:rPr>
          <w:rFonts w:ascii="Arial" w:hAnsi="Arial" w:cs="Arial"/>
          <w:sz w:val="22"/>
          <w:szCs w:val="22"/>
        </w:rPr>
        <w:t xml:space="preserve">) </w:t>
      </w:r>
      <w:r w:rsidR="00AC645F" w:rsidRPr="003E5ED2">
        <w:rPr>
          <w:rFonts w:ascii="Arial" w:hAnsi="Arial" w:cs="Arial"/>
          <w:sz w:val="22"/>
          <w:szCs w:val="22"/>
        </w:rPr>
        <w:t xml:space="preserve">iznose </w:t>
      </w:r>
      <w:r w:rsidR="00164F94" w:rsidRPr="003E5ED2">
        <w:rPr>
          <w:rFonts w:ascii="Arial" w:hAnsi="Arial" w:cs="Arial"/>
          <w:sz w:val="22"/>
          <w:szCs w:val="22"/>
        </w:rPr>
        <w:t>671.060,74</w:t>
      </w:r>
      <w:r w:rsidR="00E263B1" w:rsidRPr="003E5ED2">
        <w:rPr>
          <w:rFonts w:ascii="Arial" w:hAnsi="Arial" w:cs="Arial"/>
          <w:sz w:val="22"/>
          <w:szCs w:val="22"/>
        </w:rPr>
        <w:t xml:space="preserve"> eura</w:t>
      </w:r>
      <w:r w:rsidR="00B261E1" w:rsidRPr="003E5ED2">
        <w:rPr>
          <w:rFonts w:ascii="Arial" w:hAnsi="Arial" w:cs="Arial"/>
          <w:sz w:val="22"/>
          <w:szCs w:val="22"/>
        </w:rPr>
        <w:t>.</w:t>
      </w:r>
      <w:r w:rsidR="00242D65" w:rsidRPr="003E5ED2">
        <w:rPr>
          <w:rFonts w:ascii="Arial" w:hAnsi="Arial" w:cs="Arial"/>
          <w:sz w:val="22"/>
          <w:szCs w:val="22"/>
        </w:rPr>
        <w:t xml:space="preserve"> </w:t>
      </w:r>
      <w:r w:rsidR="00164F94" w:rsidRPr="003E5ED2">
        <w:rPr>
          <w:rFonts w:ascii="Arial" w:hAnsi="Arial" w:cs="Arial"/>
          <w:sz w:val="22"/>
          <w:szCs w:val="22"/>
        </w:rPr>
        <w:t>U 2024</w:t>
      </w:r>
      <w:r w:rsidR="00B261E1" w:rsidRPr="003E5ED2">
        <w:rPr>
          <w:rFonts w:ascii="Arial" w:hAnsi="Arial" w:cs="Arial"/>
          <w:sz w:val="22"/>
          <w:szCs w:val="22"/>
        </w:rPr>
        <w:t xml:space="preserve">. godini </w:t>
      </w:r>
      <w:r w:rsidR="00242D65" w:rsidRPr="003E5ED2">
        <w:rPr>
          <w:rFonts w:ascii="Arial" w:hAnsi="Arial" w:cs="Arial"/>
          <w:sz w:val="22"/>
          <w:szCs w:val="22"/>
        </w:rPr>
        <w:t xml:space="preserve">je </w:t>
      </w:r>
      <w:r w:rsidR="00B261E1" w:rsidRPr="003E5ED2">
        <w:rPr>
          <w:rFonts w:ascii="Arial" w:hAnsi="Arial" w:cs="Arial"/>
          <w:sz w:val="22"/>
          <w:szCs w:val="22"/>
        </w:rPr>
        <w:t xml:space="preserve">izdvojeno </w:t>
      </w:r>
      <w:r w:rsidR="00164F94" w:rsidRPr="003E5ED2">
        <w:rPr>
          <w:rFonts w:ascii="Arial" w:hAnsi="Arial" w:cs="Arial"/>
          <w:sz w:val="22"/>
          <w:szCs w:val="22"/>
        </w:rPr>
        <w:t>6</w:t>
      </w:r>
      <w:r w:rsidR="00402FC3" w:rsidRPr="003E5ED2">
        <w:rPr>
          <w:rFonts w:ascii="Arial" w:hAnsi="Arial" w:cs="Arial"/>
          <w:sz w:val="22"/>
          <w:szCs w:val="22"/>
        </w:rPr>
        <w:t xml:space="preserve">0.000,00 eura </w:t>
      </w:r>
      <w:r w:rsidR="00B261E1" w:rsidRPr="003E5ED2">
        <w:rPr>
          <w:rFonts w:ascii="Arial" w:hAnsi="Arial" w:cs="Arial"/>
          <w:sz w:val="22"/>
          <w:szCs w:val="22"/>
        </w:rPr>
        <w:t xml:space="preserve">na poseban račun depozita </w:t>
      </w:r>
      <w:r w:rsidR="00F936D1" w:rsidRPr="003E5ED2">
        <w:rPr>
          <w:rFonts w:ascii="Arial" w:hAnsi="Arial" w:cs="Arial"/>
          <w:sz w:val="22"/>
          <w:szCs w:val="22"/>
        </w:rPr>
        <w:t>radi</w:t>
      </w:r>
      <w:r w:rsidR="009865D4" w:rsidRPr="003E5ED2">
        <w:rPr>
          <w:rFonts w:ascii="Arial" w:hAnsi="Arial" w:cs="Arial"/>
          <w:sz w:val="22"/>
          <w:szCs w:val="22"/>
        </w:rPr>
        <w:t xml:space="preserve"> isplate naknade i troškov</w:t>
      </w:r>
      <w:r w:rsidR="009A242C" w:rsidRPr="003E5ED2">
        <w:rPr>
          <w:rFonts w:ascii="Arial" w:hAnsi="Arial" w:cs="Arial"/>
          <w:sz w:val="22"/>
          <w:szCs w:val="22"/>
        </w:rPr>
        <w:t>a</w:t>
      </w:r>
      <w:r w:rsidR="009865D4" w:rsidRPr="003E5ED2">
        <w:rPr>
          <w:rFonts w:ascii="Arial" w:hAnsi="Arial" w:cs="Arial"/>
          <w:sz w:val="22"/>
          <w:szCs w:val="22"/>
        </w:rPr>
        <w:t xml:space="preserve"> postupka</w:t>
      </w:r>
      <w:r w:rsidR="00337C0D" w:rsidRPr="003E5ED2">
        <w:rPr>
          <w:rFonts w:ascii="Arial" w:hAnsi="Arial" w:cs="Arial"/>
          <w:sz w:val="22"/>
          <w:szCs w:val="22"/>
        </w:rPr>
        <w:t xml:space="preserve"> za izvlaštene nekretnine </w:t>
      </w:r>
      <w:r w:rsidR="007D0544" w:rsidRPr="003E5ED2">
        <w:rPr>
          <w:rFonts w:ascii="Arial" w:hAnsi="Arial" w:cs="Arial"/>
          <w:sz w:val="22"/>
          <w:szCs w:val="22"/>
        </w:rPr>
        <w:t>na lokaciji</w:t>
      </w:r>
      <w:r w:rsidR="00164F94" w:rsidRPr="003E5ED2">
        <w:rPr>
          <w:rFonts w:ascii="Arial" w:hAnsi="Arial" w:cs="Arial"/>
          <w:sz w:val="22"/>
          <w:szCs w:val="22"/>
        </w:rPr>
        <w:t xml:space="preserve"> </w:t>
      </w:r>
      <w:proofErr w:type="spellStart"/>
      <w:r w:rsidR="00164F94" w:rsidRPr="003E5ED2">
        <w:rPr>
          <w:rFonts w:ascii="Arial" w:hAnsi="Arial" w:cs="Arial"/>
          <w:sz w:val="22"/>
          <w:szCs w:val="22"/>
        </w:rPr>
        <w:t>OUVIa</w:t>
      </w:r>
      <w:proofErr w:type="spellEnd"/>
      <w:r w:rsidR="009865D4" w:rsidRPr="003E5ED2">
        <w:rPr>
          <w:rFonts w:ascii="Arial" w:hAnsi="Arial" w:cs="Arial"/>
          <w:sz w:val="22"/>
          <w:szCs w:val="22"/>
        </w:rPr>
        <w:t xml:space="preserve">-faza 2 na </w:t>
      </w:r>
      <w:proofErr w:type="spellStart"/>
      <w:r w:rsidR="009865D4" w:rsidRPr="003E5ED2">
        <w:rPr>
          <w:rFonts w:ascii="Arial" w:hAnsi="Arial" w:cs="Arial"/>
          <w:sz w:val="22"/>
          <w:szCs w:val="22"/>
        </w:rPr>
        <w:t>Martinkovcu</w:t>
      </w:r>
      <w:proofErr w:type="spellEnd"/>
      <w:r w:rsidR="009865D4" w:rsidRPr="003E5ED2">
        <w:rPr>
          <w:rFonts w:ascii="Arial" w:hAnsi="Arial" w:cs="Arial"/>
          <w:sz w:val="22"/>
          <w:szCs w:val="22"/>
        </w:rPr>
        <w:t>.</w:t>
      </w:r>
      <w:r w:rsidR="00164F94" w:rsidRPr="003E5ED2">
        <w:rPr>
          <w:rFonts w:ascii="Arial" w:hAnsi="Arial" w:cs="Arial"/>
          <w:sz w:val="22"/>
          <w:szCs w:val="22"/>
        </w:rPr>
        <w:t xml:space="preserve"> </w:t>
      </w:r>
    </w:p>
    <w:p w:rsidR="009A5BB1" w:rsidRPr="003E5ED2" w:rsidRDefault="009A5BB1" w:rsidP="00F936D1">
      <w:pPr>
        <w:jc w:val="both"/>
        <w:rPr>
          <w:rFonts w:ascii="Arial" w:hAnsi="Arial" w:cs="Arial"/>
          <w:sz w:val="22"/>
          <w:szCs w:val="22"/>
        </w:rPr>
      </w:pPr>
    </w:p>
    <w:p w:rsidR="009A5BB1" w:rsidRPr="003E5ED2" w:rsidRDefault="009A5BB1" w:rsidP="009A5BB1">
      <w:pPr>
        <w:jc w:val="both"/>
        <w:rPr>
          <w:rFonts w:ascii="Arial" w:hAnsi="Arial" w:cs="Arial"/>
          <w:sz w:val="22"/>
          <w:szCs w:val="22"/>
        </w:rPr>
      </w:pPr>
      <w:r w:rsidRPr="003E5ED2">
        <w:rPr>
          <w:rFonts w:ascii="Arial" w:hAnsi="Arial" w:cs="Arial"/>
          <w:i/>
          <w:sz w:val="22"/>
          <w:szCs w:val="22"/>
          <w:u w:val="single"/>
        </w:rPr>
        <w:t>Potraživanja za dane zajmove</w:t>
      </w:r>
      <w:r w:rsidR="008E0654" w:rsidRPr="003E5ED2">
        <w:rPr>
          <w:rFonts w:ascii="Arial" w:hAnsi="Arial" w:cs="Arial"/>
          <w:i/>
          <w:sz w:val="22"/>
          <w:szCs w:val="22"/>
          <w:u w:val="single"/>
        </w:rPr>
        <w:t xml:space="preserve"> </w:t>
      </w:r>
      <w:r w:rsidRPr="003E5ED2">
        <w:rPr>
          <w:rFonts w:ascii="Arial" w:hAnsi="Arial" w:cs="Arial"/>
          <w:i/>
          <w:sz w:val="22"/>
          <w:szCs w:val="22"/>
          <w:u w:val="single"/>
        </w:rPr>
        <w:t>(13)</w:t>
      </w:r>
      <w:r w:rsidRPr="003E5ED2">
        <w:rPr>
          <w:rFonts w:ascii="Arial" w:hAnsi="Arial" w:cs="Arial"/>
          <w:sz w:val="22"/>
          <w:szCs w:val="22"/>
        </w:rPr>
        <w:t xml:space="preserve"> – stanje ukupnog potraživanja za dane zajmove na 31. prosinca 2024. godine iznosi </w:t>
      </w:r>
      <w:r w:rsidR="00B16C7B" w:rsidRPr="003E5ED2">
        <w:rPr>
          <w:rFonts w:ascii="Arial" w:hAnsi="Arial" w:cs="Arial"/>
          <w:sz w:val="22"/>
          <w:szCs w:val="22"/>
        </w:rPr>
        <w:t xml:space="preserve">1.262.136,73 eura </w:t>
      </w:r>
      <w:r w:rsidRPr="003E5ED2">
        <w:rPr>
          <w:rFonts w:ascii="Arial" w:hAnsi="Arial" w:cs="Arial"/>
          <w:sz w:val="22"/>
          <w:szCs w:val="22"/>
        </w:rPr>
        <w:t xml:space="preserve">(odnosno </w:t>
      </w:r>
      <w:r w:rsidR="00B16C7B" w:rsidRPr="003E5ED2">
        <w:rPr>
          <w:rFonts w:ascii="Arial" w:hAnsi="Arial" w:cs="Arial"/>
          <w:sz w:val="22"/>
          <w:szCs w:val="22"/>
        </w:rPr>
        <w:t>1.862.909,95 eura bez</w:t>
      </w:r>
      <w:r w:rsidRPr="003E5ED2">
        <w:rPr>
          <w:rFonts w:ascii="Arial" w:hAnsi="Arial" w:cs="Arial"/>
          <w:sz w:val="22"/>
          <w:szCs w:val="22"/>
        </w:rPr>
        <w:t xml:space="preserve"> uključen</w:t>
      </w:r>
      <w:r w:rsidR="00B16C7B" w:rsidRPr="003E5ED2">
        <w:rPr>
          <w:rFonts w:ascii="Arial" w:hAnsi="Arial" w:cs="Arial"/>
          <w:sz w:val="22"/>
          <w:szCs w:val="22"/>
        </w:rPr>
        <w:t>og</w:t>
      </w:r>
      <w:r w:rsidRPr="003E5ED2">
        <w:rPr>
          <w:rFonts w:ascii="Arial" w:hAnsi="Arial" w:cs="Arial"/>
          <w:sz w:val="22"/>
          <w:szCs w:val="22"/>
        </w:rPr>
        <w:t xml:space="preserve"> propisan</w:t>
      </w:r>
      <w:r w:rsidR="00B16C7B" w:rsidRPr="003E5ED2">
        <w:rPr>
          <w:rFonts w:ascii="Arial" w:hAnsi="Arial" w:cs="Arial"/>
          <w:sz w:val="22"/>
          <w:szCs w:val="22"/>
        </w:rPr>
        <w:t>og</w:t>
      </w:r>
      <w:r w:rsidRPr="003E5ED2">
        <w:rPr>
          <w:rFonts w:ascii="Arial" w:hAnsi="Arial" w:cs="Arial"/>
          <w:sz w:val="22"/>
          <w:szCs w:val="22"/>
        </w:rPr>
        <w:t xml:space="preserve"> ispravk</w:t>
      </w:r>
      <w:r w:rsidR="00B16C7B" w:rsidRPr="003E5ED2">
        <w:rPr>
          <w:rFonts w:ascii="Arial" w:hAnsi="Arial" w:cs="Arial"/>
          <w:sz w:val="22"/>
          <w:szCs w:val="22"/>
        </w:rPr>
        <w:t>a</w:t>
      </w:r>
      <w:r w:rsidRPr="003E5ED2">
        <w:rPr>
          <w:rFonts w:ascii="Arial" w:hAnsi="Arial" w:cs="Arial"/>
          <w:sz w:val="22"/>
          <w:szCs w:val="22"/>
        </w:rPr>
        <w:t xml:space="preserve"> vrijednosti</w:t>
      </w:r>
      <w:r w:rsidR="00A346BA" w:rsidRPr="003E5ED2">
        <w:rPr>
          <w:rFonts w:ascii="Arial" w:hAnsi="Arial" w:cs="Arial"/>
          <w:sz w:val="22"/>
          <w:szCs w:val="22"/>
        </w:rPr>
        <w:t>)</w:t>
      </w:r>
      <w:r w:rsidRPr="003E5ED2">
        <w:rPr>
          <w:rFonts w:ascii="Arial" w:hAnsi="Arial" w:cs="Arial"/>
          <w:sz w:val="22"/>
          <w:szCs w:val="22"/>
        </w:rPr>
        <w:t xml:space="preserve"> i u odnosu na isto razdoblje prethodne godine, </w:t>
      </w:r>
      <w:r w:rsidR="00571A0A">
        <w:rPr>
          <w:rFonts w:ascii="Arial" w:hAnsi="Arial" w:cs="Arial"/>
          <w:sz w:val="22"/>
          <w:szCs w:val="22"/>
        </w:rPr>
        <w:t xml:space="preserve">ova </w:t>
      </w:r>
      <w:r w:rsidRPr="003E5ED2">
        <w:rPr>
          <w:rFonts w:ascii="Arial" w:hAnsi="Arial" w:cs="Arial"/>
          <w:sz w:val="22"/>
          <w:szCs w:val="22"/>
        </w:rPr>
        <w:t xml:space="preserve">potraživanja su manja za </w:t>
      </w:r>
      <w:r w:rsidR="009B5A32" w:rsidRPr="003E5ED2">
        <w:rPr>
          <w:rFonts w:ascii="Arial" w:hAnsi="Arial" w:cs="Arial"/>
          <w:sz w:val="22"/>
          <w:szCs w:val="22"/>
        </w:rPr>
        <w:t>517.113,56</w:t>
      </w:r>
      <w:r w:rsidRPr="003E5ED2">
        <w:rPr>
          <w:rFonts w:ascii="Arial" w:hAnsi="Arial" w:cs="Arial"/>
          <w:sz w:val="22"/>
          <w:szCs w:val="22"/>
        </w:rPr>
        <w:t xml:space="preserve"> eura, odnosno </w:t>
      </w:r>
      <w:r w:rsidR="0083159D" w:rsidRPr="003E5ED2">
        <w:rPr>
          <w:rFonts w:ascii="Arial" w:hAnsi="Arial" w:cs="Arial"/>
          <w:sz w:val="22"/>
          <w:szCs w:val="22"/>
        </w:rPr>
        <w:t>29,1</w:t>
      </w:r>
      <w:r w:rsidRPr="003E5ED2">
        <w:rPr>
          <w:rFonts w:ascii="Arial" w:hAnsi="Arial" w:cs="Arial"/>
          <w:sz w:val="22"/>
          <w:szCs w:val="22"/>
        </w:rPr>
        <w:t>%.</w:t>
      </w:r>
    </w:p>
    <w:p w:rsidR="00CF14C8" w:rsidRPr="003E5ED2" w:rsidRDefault="00CF14C8" w:rsidP="00F936D1">
      <w:pPr>
        <w:jc w:val="both"/>
        <w:rPr>
          <w:rFonts w:ascii="Arial" w:hAnsi="Arial" w:cs="Arial"/>
          <w:sz w:val="22"/>
          <w:szCs w:val="22"/>
        </w:rPr>
      </w:pPr>
    </w:p>
    <w:p w:rsidR="00B85EAF" w:rsidRPr="003E5ED2" w:rsidRDefault="00E525C9" w:rsidP="000E69DA">
      <w:pPr>
        <w:jc w:val="both"/>
        <w:rPr>
          <w:rFonts w:ascii="Arial" w:hAnsi="Arial" w:cs="Arial"/>
          <w:sz w:val="22"/>
          <w:szCs w:val="22"/>
        </w:rPr>
      </w:pPr>
      <w:r w:rsidRPr="003E5ED2">
        <w:rPr>
          <w:rFonts w:ascii="Arial" w:hAnsi="Arial" w:cs="Arial"/>
          <w:i/>
          <w:sz w:val="22"/>
          <w:szCs w:val="22"/>
          <w:u w:val="single"/>
        </w:rPr>
        <w:t>Vrijednosni papiri (</w:t>
      </w:r>
      <w:r w:rsidR="00EC2B03" w:rsidRPr="003E5ED2">
        <w:rPr>
          <w:rFonts w:ascii="Arial" w:hAnsi="Arial" w:cs="Arial"/>
          <w:i/>
          <w:sz w:val="22"/>
          <w:szCs w:val="22"/>
          <w:u w:val="single"/>
        </w:rPr>
        <w:t>14</w:t>
      </w:r>
      <w:r w:rsidR="000E69DA" w:rsidRPr="003E5ED2">
        <w:rPr>
          <w:rFonts w:ascii="Arial" w:hAnsi="Arial" w:cs="Arial"/>
          <w:i/>
          <w:sz w:val="22"/>
          <w:szCs w:val="22"/>
          <w:u w:val="single"/>
        </w:rPr>
        <w:t>)</w:t>
      </w:r>
      <w:r w:rsidR="000E69DA" w:rsidRPr="003E5ED2">
        <w:rPr>
          <w:rFonts w:ascii="Arial" w:hAnsi="Arial" w:cs="Arial"/>
          <w:sz w:val="22"/>
          <w:szCs w:val="22"/>
        </w:rPr>
        <w:t xml:space="preserve"> – </w:t>
      </w:r>
      <w:r w:rsidR="00B35E46" w:rsidRPr="003E5ED2">
        <w:rPr>
          <w:rFonts w:ascii="Arial" w:hAnsi="Arial" w:cs="Arial"/>
          <w:sz w:val="22"/>
          <w:szCs w:val="22"/>
        </w:rPr>
        <w:t xml:space="preserve">u ovoj skupini </w:t>
      </w:r>
      <w:r w:rsidR="00340B4D" w:rsidRPr="003E5ED2">
        <w:rPr>
          <w:rFonts w:ascii="Arial" w:hAnsi="Arial" w:cs="Arial"/>
          <w:sz w:val="22"/>
          <w:szCs w:val="22"/>
        </w:rPr>
        <w:t xml:space="preserve">evidentirano je potraživanje od </w:t>
      </w:r>
      <w:r w:rsidR="00B35E46" w:rsidRPr="003E5ED2">
        <w:rPr>
          <w:rFonts w:ascii="Arial" w:hAnsi="Arial" w:cs="Arial"/>
          <w:sz w:val="22"/>
          <w:szCs w:val="22"/>
        </w:rPr>
        <w:t>strane Republike Hrvatske</w:t>
      </w:r>
      <w:r w:rsidR="00340B4D" w:rsidRPr="003E5ED2">
        <w:rPr>
          <w:rFonts w:ascii="Arial" w:hAnsi="Arial" w:cs="Arial"/>
          <w:sz w:val="22"/>
          <w:szCs w:val="22"/>
        </w:rPr>
        <w:t xml:space="preserve"> </w:t>
      </w:r>
      <w:r w:rsidR="00B35E46" w:rsidRPr="003E5ED2">
        <w:rPr>
          <w:rFonts w:ascii="Arial" w:hAnsi="Arial" w:cs="Arial"/>
          <w:sz w:val="22"/>
          <w:szCs w:val="22"/>
        </w:rPr>
        <w:t xml:space="preserve">(putem banaka) </w:t>
      </w:r>
      <w:r w:rsidR="00340B4D" w:rsidRPr="003E5ED2">
        <w:rPr>
          <w:rFonts w:ascii="Arial" w:hAnsi="Arial" w:cs="Arial"/>
          <w:sz w:val="22"/>
          <w:szCs w:val="22"/>
        </w:rPr>
        <w:t xml:space="preserve">po obveznicama RH u obliku knjižnog potraživanja s osnova prodaje stanova na kojima je postojalo stanarsko pravo, </w:t>
      </w:r>
      <w:r w:rsidR="00B35E46" w:rsidRPr="003E5ED2">
        <w:rPr>
          <w:rFonts w:ascii="Arial" w:hAnsi="Arial" w:cs="Arial"/>
          <w:sz w:val="22"/>
          <w:szCs w:val="22"/>
        </w:rPr>
        <w:t xml:space="preserve">a </w:t>
      </w:r>
      <w:r w:rsidR="00340B4D" w:rsidRPr="003E5ED2">
        <w:rPr>
          <w:rFonts w:ascii="Arial" w:hAnsi="Arial" w:cs="Arial"/>
          <w:sz w:val="22"/>
          <w:szCs w:val="22"/>
        </w:rPr>
        <w:t xml:space="preserve">temeljem Zakona o pretvaranju deviznih </w:t>
      </w:r>
      <w:r w:rsidR="007D59AB" w:rsidRPr="003E5ED2">
        <w:rPr>
          <w:rFonts w:ascii="Arial" w:hAnsi="Arial" w:cs="Arial"/>
          <w:sz w:val="22"/>
          <w:szCs w:val="22"/>
        </w:rPr>
        <w:t>depozita građana u javni dug RH.</w:t>
      </w:r>
      <w:r w:rsidR="00340B4D" w:rsidRPr="003E5ED2">
        <w:rPr>
          <w:rFonts w:ascii="Arial" w:hAnsi="Arial" w:cs="Arial"/>
          <w:sz w:val="22"/>
          <w:szCs w:val="22"/>
        </w:rPr>
        <w:t xml:space="preserve"> Prema </w:t>
      </w:r>
      <w:r w:rsidR="007D59AB" w:rsidRPr="003E5ED2">
        <w:rPr>
          <w:rFonts w:ascii="Arial" w:hAnsi="Arial" w:cs="Arial"/>
          <w:sz w:val="22"/>
          <w:szCs w:val="22"/>
        </w:rPr>
        <w:t xml:space="preserve">podacima iz </w:t>
      </w:r>
      <w:r w:rsidR="00340B4D" w:rsidRPr="003E5ED2">
        <w:rPr>
          <w:rFonts w:ascii="Arial" w:hAnsi="Arial" w:cs="Arial"/>
          <w:sz w:val="22"/>
          <w:szCs w:val="22"/>
        </w:rPr>
        <w:t>analitički</w:t>
      </w:r>
      <w:r w:rsidR="007D59AB" w:rsidRPr="003E5ED2">
        <w:rPr>
          <w:rFonts w:ascii="Arial" w:hAnsi="Arial" w:cs="Arial"/>
          <w:sz w:val="22"/>
          <w:szCs w:val="22"/>
        </w:rPr>
        <w:t>h</w:t>
      </w:r>
      <w:r w:rsidR="00340B4D" w:rsidRPr="003E5ED2">
        <w:rPr>
          <w:rFonts w:ascii="Arial" w:hAnsi="Arial" w:cs="Arial"/>
          <w:sz w:val="22"/>
          <w:szCs w:val="22"/>
        </w:rPr>
        <w:t xml:space="preserve"> evidencija, u </w:t>
      </w:r>
      <w:proofErr w:type="spellStart"/>
      <w:r w:rsidR="00340B4D" w:rsidRPr="003E5ED2">
        <w:rPr>
          <w:rFonts w:ascii="Arial" w:hAnsi="Arial" w:cs="Arial"/>
          <w:sz w:val="22"/>
          <w:szCs w:val="22"/>
        </w:rPr>
        <w:t>Erste&amp;Steiermärkische</w:t>
      </w:r>
      <w:proofErr w:type="spellEnd"/>
      <w:r w:rsidR="00340B4D" w:rsidRPr="003E5ED2">
        <w:rPr>
          <w:rFonts w:ascii="Arial" w:hAnsi="Arial" w:cs="Arial"/>
          <w:sz w:val="22"/>
          <w:szCs w:val="22"/>
        </w:rPr>
        <w:t xml:space="preserve"> Bank d.d. stara</w:t>
      </w:r>
      <w:r w:rsidR="009D29DE" w:rsidRPr="003E5ED2">
        <w:rPr>
          <w:rFonts w:ascii="Arial" w:hAnsi="Arial" w:cs="Arial"/>
          <w:sz w:val="22"/>
          <w:szCs w:val="22"/>
        </w:rPr>
        <w:t xml:space="preserve"> devizna štednja iznosi 3.885,04</w:t>
      </w:r>
      <w:r w:rsidR="00340B4D" w:rsidRPr="003E5ED2">
        <w:rPr>
          <w:rFonts w:ascii="Arial" w:hAnsi="Arial" w:cs="Arial"/>
          <w:sz w:val="22"/>
          <w:szCs w:val="22"/>
        </w:rPr>
        <w:t xml:space="preserve"> </w:t>
      </w:r>
      <w:r w:rsidR="00247B4C" w:rsidRPr="003E5ED2">
        <w:rPr>
          <w:rFonts w:ascii="Arial" w:hAnsi="Arial" w:cs="Arial"/>
          <w:sz w:val="22"/>
          <w:szCs w:val="22"/>
        </w:rPr>
        <w:t>eura</w:t>
      </w:r>
      <w:r w:rsidR="00340B4D" w:rsidRPr="003E5ED2">
        <w:rPr>
          <w:rFonts w:ascii="Arial" w:hAnsi="Arial" w:cs="Arial"/>
          <w:sz w:val="22"/>
          <w:szCs w:val="22"/>
        </w:rPr>
        <w:t xml:space="preserve">, u Vukovarskoj banci d.d. u stečaju iznosi 225,22 </w:t>
      </w:r>
      <w:r w:rsidR="00247B4C" w:rsidRPr="003E5ED2">
        <w:rPr>
          <w:rFonts w:ascii="Arial" w:hAnsi="Arial" w:cs="Arial"/>
          <w:sz w:val="22"/>
          <w:szCs w:val="22"/>
        </w:rPr>
        <w:t>eura</w:t>
      </w:r>
      <w:r w:rsidR="00340B4D" w:rsidRPr="003E5ED2">
        <w:rPr>
          <w:rFonts w:ascii="Arial" w:hAnsi="Arial" w:cs="Arial"/>
          <w:sz w:val="22"/>
          <w:szCs w:val="22"/>
        </w:rPr>
        <w:t xml:space="preserve">, </w:t>
      </w:r>
      <w:proofErr w:type="spellStart"/>
      <w:r w:rsidR="00340B4D" w:rsidRPr="003E5ED2">
        <w:rPr>
          <w:rFonts w:ascii="Arial" w:hAnsi="Arial" w:cs="Arial"/>
          <w:sz w:val="22"/>
          <w:szCs w:val="22"/>
        </w:rPr>
        <w:t>Cibalae</w:t>
      </w:r>
      <w:proofErr w:type="spellEnd"/>
      <w:r w:rsidR="00340B4D" w:rsidRPr="003E5ED2">
        <w:rPr>
          <w:rFonts w:ascii="Arial" w:hAnsi="Arial" w:cs="Arial"/>
          <w:sz w:val="22"/>
          <w:szCs w:val="22"/>
        </w:rPr>
        <w:t xml:space="preserve"> banci d.d. u stečaju iznosi 1.691,98 </w:t>
      </w:r>
      <w:r w:rsidR="00247B4C" w:rsidRPr="003E5ED2">
        <w:rPr>
          <w:rFonts w:ascii="Arial" w:hAnsi="Arial" w:cs="Arial"/>
          <w:sz w:val="22"/>
          <w:szCs w:val="22"/>
        </w:rPr>
        <w:t>eura</w:t>
      </w:r>
      <w:r w:rsidR="00340B4D" w:rsidRPr="003E5ED2">
        <w:rPr>
          <w:rFonts w:ascii="Arial" w:hAnsi="Arial" w:cs="Arial"/>
          <w:sz w:val="22"/>
          <w:szCs w:val="22"/>
        </w:rPr>
        <w:t xml:space="preserve"> i Požeškoj banci d.d. (pripojena u Podravsku banku d.d.) stanje sta</w:t>
      </w:r>
      <w:r w:rsidR="009D29DE" w:rsidRPr="003E5ED2">
        <w:rPr>
          <w:rFonts w:ascii="Arial" w:hAnsi="Arial" w:cs="Arial"/>
          <w:sz w:val="22"/>
          <w:szCs w:val="22"/>
        </w:rPr>
        <w:t>re devizne štednje iznosi 869,20</w:t>
      </w:r>
      <w:r w:rsidR="00340B4D" w:rsidRPr="003E5ED2">
        <w:rPr>
          <w:rFonts w:ascii="Arial" w:hAnsi="Arial" w:cs="Arial"/>
          <w:sz w:val="22"/>
          <w:szCs w:val="22"/>
        </w:rPr>
        <w:t xml:space="preserve"> </w:t>
      </w:r>
      <w:r w:rsidR="00247B4C" w:rsidRPr="003E5ED2">
        <w:rPr>
          <w:rFonts w:ascii="Arial" w:hAnsi="Arial" w:cs="Arial"/>
          <w:sz w:val="22"/>
          <w:szCs w:val="22"/>
        </w:rPr>
        <w:t>eura</w:t>
      </w:r>
      <w:r w:rsidR="00340B4D" w:rsidRPr="003E5ED2">
        <w:rPr>
          <w:rFonts w:ascii="Arial" w:hAnsi="Arial" w:cs="Arial"/>
          <w:sz w:val="22"/>
          <w:szCs w:val="22"/>
        </w:rPr>
        <w:t xml:space="preserve">. </w:t>
      </w:r>
    </w:p>
    <w:p w:rsidR="00BD45F0" w:rsidRPr="003E5ED2" w:rsidRDefault="00BD45F0" w:rsidP="000E69DA">
      <w:pPr>
        <w:jc w:val="both"/>
        <w:rPr>
          <w:rFonts w:ascii="Arial" w:hAnsi="Arial" w:cs="Arial"/>
          <w:sz w:val="22"/>
          <w:szCs w:val="22"/>
        </w:rPr>
      </w:pPr>
    </w:p>
    <w:p w:rsidR="002530D9" w:rsidRPr="003E5ED2" w:rsidRDefault="000E69DA" w:rsidP="000E69DA">
      <w:pPr>
        <w:jc w:val="both"/>
        <w:rPr>
          <w:rFonts w:ascii="Arial" w:hAnsi="Arial" w:cs="Arial"/>
          <w:sz w:val="22"/>
          <w:szCs w:val="22"/>
        </w:rPr>
      </w:pPr>
      <w:r w:rsidRPr="003E5ED2">
        <w:rPr>
          <w:rFonts w:ascii="Arial" w:hAnsi="Arial" w:cs="Arial"/>
          <w:i/>
          <w:sz w:val="22"/>
          <w:szCs w:val="22"/>
          <w:u w:val="single"/>
        </w:rPr>
        <w:t>Dionice i udjeli u glavnici (</w:t>
      </w:r>
      <w:r w:rsidR="00BA1EFA" w:rsidRPr="003E5ED2">
        <w:rPr>
          <w:rFonts w:ascii="Arial" w:hAnsi="Arial" w:cs="Arial"/>
          <w:i/>
          <w:sz w:val="22"/>
          <w:szCs w:val="22"/>
          <w:u w:val="single"/>
        </w:rPr>
        <w:t>15</w:t>
      </w:r>
      <w:r w:rsidRPr="003E5ED2">
        <w:rPr>
          <w:rFonts w:ascii="Arial" w:hAnsi="Arial" w:cs="Arial"/>
          <w:i/>
          <w:sz w:val="22"/>
          <w:szCs w:val="22"/>
        </w:rPr>
        <w:t>)</w:t>
      </w:r>
      <w:r w:rsidRPr="003E5ED2">
        <w:rPr>
          <w:rFonts w:ascii="Arial" w:hAnsi="Arial" w:cs="Arial"/>
          <w:sz w:val="22"/>
          <w:szCs w:val="22"/>
        </w:rPr>
        <w:t xml:space="preserve"> –</w:t>
      </w:r>
      <w:r w:rsidR="00853502" w:rsidRPr="003E5ED2">
        <w:rPr>
          <w:rFonts w:ascii="Arial" w:hAnsi="Arial" w:cs="Arial"/>
          <w:sz w:val="22"/>
          <w:szCs w:val="22"/>
        </w:rPr>
        <w:t xml:space="preserve"> </w:t>
      </w:r>
      <w:r w:rsidR="009A6A57" w:rsidRPr="003E5ED2">
        <w:rPr>
          <w:rFonts w:ascii="Arial" w:hAnsi="Arial" w:cs="Arial"/>
          <w:sz w:val="22"/>
          <w:szCs w:val="22"/>
        </w:rPr>
        <w:t>vrijednost dionica i poslovnih udjela Grada Rijeke na dan bilance</w:t>
      </w:r>
      <w:r w:rsidR="00B5400A" w:rsidRPr="003E5ED2">
        <w:rPr>
          <w:rFonts w:ascii="Arial" w:hAnsi="Arial" w:cs="Arial"/>
          <w:sz w:val="22"/>
          <w:szCs w:val="22"/>
        </w:rPr>
        <w:t xml:space="preserve"> iznos</w:t>
      </w:r>
      <w:r w:rsidR="009A6A57" w:rsidRPr="003E5ED2">
        <w:rPr>
          <w:rFonts w:ascii="Arial" w:hAnsi="Arial" w:cs="Arial"/>
          <w:sz w:val="22"/>
          <w:szCs w:val="22"/>
        </w:rPr>
        <w:t>i</w:t>
      </w:r>
      <w:r w:rsidR="00B5400A" w:rsidRPr="003E5ED2">
        <w:rPr>
          <w:rFonts w:ascii="Arial" w:hAnsi="Arial" w:cs="Arial"/>
          <w:sz w:val="22"/>
          <w:szCs w:val="22"/>
        </w:rPr>
        <w:t xml:space="preserve"> </w:t>
      </w:r>
      <w:r w:rsidR="00C17688" w:rsidRPr="003E5ED2">
        <w:rPr>
          <w:rFonts w:ascii="Arial" w:hAnsi="Arial" w:cs="Arial"/>
          <w:sz w:val="22"/>
          <w:szCs w:val="22"/>
        </w:rPr>
        <w:t>145.993.897,39</w:t>
      </w:r>
      <w:r w:rsidR="00B5400A" w:rsidRPr="003E5ED2">
        <w:rPr>
          <w:rFonts w:ascii="Arial" w:hAnsi="Arial" w:cs="Arial"/>
          <w:sz w:val="22"/>
          <w:szCs w:val="22"/>
        </w:rPr>
        <w:t xml:space="preserve"> eura</w:t>
      </w:r>
      <w:r w:rsidR="00744A09" w:rsidRPr="003E5ED2">
        <w:rPr>
          <w:rFonts w:ascii="Arial" w:hAnsi="Arial" w:cs="Arial"/>
          <w:sz w:val="22"/>
          <w:szCs w:val="22"/>
        </w:rPr>
        <w:t>.</w:t>
      </w:r>
      <w:r w:rsidR="00A0135E" w:rsidRPr="003E5ED2">
        <w:rPr>
          <w:rFonts w:ascii="Arial" w:hAnsi="Arial" w:cs="Arial"/>
          <w:sz w:val="22"/>
          <w:szCs w:val="22"/>
        </w:rPr>
        <w:t xml:space="preserve"> Tijekom izvještajne godine</w:t>
      </w:r>
      <w:r w:rsidR="00B85EAF" w:rsidRPr="003E5ED2">
        <w:rPr>
          <w:rFonts w:ascii="Arial" w:hAnsi="Arial" w:cs="Arial"/>
          <w:sz w:val="22"/>
          <w:szCs w:val="22"/>
        </w:rPr>
        <w:t xml:space="preserve"> evidentirana su usklađenja nominalnih vrijednosti poslovnih udjela Grada Rijeke u skladu s podacima iz Izvještaja Središnjeg </w:t>
      </w:r>
      <w:r w:rsidR="00A0135E" w:rsidRPr="003E5ED2">
        <w:rPr>
          <w:rFonts w:ascii="Arial" w:hAnsi="Arial" w:cs="Arial"/>
          <w:sz w:val="22"/>
          <w:szCs w:val="22"/>
        </w:rPr>
        <w:t>klirinškog depozitarnog društva i rješenja Trgovačkog suda u Rijeci o brisanju trgovačkog društva iz sudskog registra.</w:t>
      </w:r>
    </w:p>
    <w:p w:rsidR="002530D9" w:rsidRPr="003E5ED2" w:rsidRDefault="002530D9" w:rsidP="000E69DA">
      <w:pPr>
        <w:jc w:val="both"/>
        <w:rPr>
          <w:rFonts w:ascii="Arial" w:hAnsi="Arial" w:cs="Arial"/>
          <w:sz w:val="22"/>
          <w:szCs w:val="22"/>
        </w:rPr>
      </w:pPr>
    </w:p>
    <w:p w:rsidR="00ED2892" w:rsidRPr="003E5ED2" w:rsidRDefault="002530D9" w:rsidP="000E69DA">
      <w:pPr>
        <w:jc w:val="both"/>
        <w:rPr>
          <w:rFonts w:ascii="Arial" w:hAnsi="Arial" w:cs="Arial"/>
          <w:sz w:val="22"/>
          <w:szCs w:val="22"/>
        </w:rPr>
      </w:pPr>
      <w:r w:rsidRPr="003E5ED2">
        <w:rPr>
          <w:rFonts w:ascii="Arial" w:hAnsi="Arial" w:cs="Arial"/>
          <w:sz w:val="22"/>
          <w:szCs w:val="22"/>
        </w:rPr>
        <w:t>U donj</w:t>
      </w:r>
      <w:r w:rsidR="00F6273F" w:rsidRPr="003E5ED2">
        <w:rPr>
          <w:rFonts w:ascii="Arial" w:hAnsi="Arial" w:cs="Arial"/>
          <w:sz w:val="22"/>
          <w:szCs w:val="22"/>
        </w:rPr>
        <w:t>em</w:t>
      </w:r>
      <w:r w:rsidRPr="003E5ED2">
        <w:rPr>
          <w:rFonts w:ascii="Arial" w:hAnsi="Arial" w:cs="Arial"/>
          <w:sz w:val="22"/>
          <w:szCs w:val="22"/>
        </w:rPr>
        <w:t xml:space="preserve"> </w:t>
      </w:r>
      <w:r w:rsidR="00F6273F" w:rsidRPr="003E5ED2">
        <w:rPr>
          <w:rFonts w:ascii="Arial" w:hAnsi="Arial" w:cs="Arial"/>
          <w:sz w:val="22"/>
          <w:szCs w:val="22"/>
        </w:rPr>
        <w:t>pregledu</w:t>
      </w:r>
      <w:r w:rsidRPr="003E5ED2">
        <w:rPr>
          <w:rFonts w:ascii="Arial" w:hAnsi="Arial" w:cs="Arial"/>
          <w:sz w:val="22"/>
          <w:szCs w:val="22"/>
        </w:rPr>
        <w:t xml:space="preserve"> prikazan</w:t>
      </w:r>
      <w:r w:rsidR="00E0311F" w:rsidRPr="003E5ED2">
        <w:rPr>
          <w:rFonts w:ascii="Arial" w:hAnsi="Arial" w:cs="Arial"/>
          <w:sz w:val="22"/>
          <w:szCs w:val="22"/>
        </w:rPr>
        <w:t>a su</w:t>
      </w:r>
      <w:r w:rsidRPr="003E5ED2">
        <w:rPr>
          <w:rFonts w:ascii="Arial" w:hAnsi="Arial" w:cs="Arial"/>
          <w:sz w:val="22"/>
          <w:szCs w:val="22"/>
        </w:rPr>
        <w:t xml:space="preserve"> </w:t>
      </w:r>
      <w:r w:rsidR="00B07B23" w:rsidRPr="003E5ED2">
        <w:rPr>
          <w:rFonts w:ascii="Arial" w:hAnsi="Arial" w:cs="Arial"/>
          <w:sz w:val="22"/>
          <w:szCs w:val="22"/>
        </w:rPr>
        <w:t>trgovačk</w:t>
      </w:r>
      <w:r w:rsidR="00E0311F" w:rsidRPr="003E5ED2">
        <w:rPr>
          <w:rFonts w:ascii="Arial" w:hAnsi="Arial" w:cs="Arial"/>
          <w:sz w:val="22"/>
          <w:szCs w:val="22"/>
        </w:rPr>
        <w:t>a</w:t>
      </w:r>
      <w:r w:rsidR="00B07B23" w:rsidRPr="003E5ED2">
        <w:rPr>
          <w:rFonts w:ascii="Arial" w:hAnsi="Arial" w:cs="Arial"/>
          <w:sz w:val="22"/>
          <w:szCs w:val="22"/>
        </w:rPr>
        <w:t xml:space="preserve"> društva u kojima</w:t>
      </w:r>
      <w:r w:rsidRPr="003E5ED2">
        <w:rPr>
          <w:rFonts w:ascii="Arial" w:hAnsi="Arial" w:cs="Arial"/>
          <w:sz w:val="22"/>
          <w:szCs w:val="22"/>
        </w:rPr>
        <w:t xml:space="preserve"> Grad Rijek</w:t>
      </w:r>
      <w:r w:rsidR="00B07B23" w:rsidRPr="003E5ED2">
        <w:rPr>
          <w:rFonts w:ascii="Arial" w:hAnsi="Arial" w:cs="Arial"/>
          <w:sz w:val="22"/>
          <w:szCs w:val="22"/>
        </w:rPr>
        <w:t>a ima značajnij</w:t>
      </w:r>
      <w:r w:rsidR="004326DE" w:rsidRPr="003E5ED2">
        <w:rPr>
          <w:rFonts w:ascii="Arial" w:hAnsi="Arial" w:cs="Arial"/>
          <w:sz w:val="22"/>
          <w:szCs w:val="22"/>
        </w:rPr>
        <w:t xml:space="preserve">u vrijednost </w:t>
      </w:r>
      <w:r w:rsidR="00B07B23" w:rsidRPr="003E5ED2">
        <w:rPr>
          <w:rFonts w:ascii="Arial" w:hAnsi="Arial" w:cs="Arial"/>
          <w:sz w:val="22"/>
          <w:szCs w:val="22"/>
        </w:rPr>
        <w:t xml:space="preserve"> </w:t>
      </w:r>
      <w:r w:rsidR="004326DE" w:rsidRPr="003E5ED2">
        <w:rPr>
          <w:rFonts w:ascii="Arial" w:hAnsi="Arial" w:cs="Arial"/>
          <w:sz w:val="22"/>
          <w:szCs w:val="22"/>
        </w:rPr>
        <w:t xml:space="preserve">poslovnog </w:t>
      </w:r>
      <w:r w:rsidR="00B07B23" w:rsidRPr="003E5ED2">
        <w:rPr>
          <w:rFonts w:ascii="Arial" w:hAnsi="Arial" w:cs="Arial"/>
          <w:sz w:val="22"/>
          <w:szCs w:val="22"/>
        </w:rPr>
        <w:t>udjel</w:t>
      </w:r>
      <w:r w:rsidR="004326DE" w:rsidRPr="003E5ED2">
        <w:rPr>
          <w:rFonts w:ascii="Arial" w:hAnsi="Arial" w:cs="Arial"/>
          <w:sz w:val="22"/>
          <w:szCs w:val="22"/>
        </w:rPr>
        <w:t>a</w:t>
      </w:r>
      <w:r w:rsidR="00B07B23" w:rsidRPr="003E5ED2">
        <w:rPr>
          <w:rFonts w:ascii="Arial" w:hAnsi="Arial" w:cs="Arial"/>
          <w:sz w:val="22"/>
          <w:szCs w:val="22"/>
        </w:rPr>
        <w:t xml:space="preserve"> </w:t>
      </w:r>
      <w:r w:rsidR="00B15692" w:rsidRPr="003E5ED2">
        <w:rPr>
          <w:rFonts w:ascii="Arial" w:hAnsi="Arial" w:cs="Arial"/>
          <w:sz w:val="22"/>
          <w:szCs w:val="22"/>
        </w:rPr>
        <w:t xml:space="preserve">na </w:t>
      </w:r>
      <w:r w:rsidR="000E0820" w:rsidRPr="003E5ED2">
        <w:rPr>
          <w:rFonts w:ascii="Arial" w:hAnsi="Arial" w:cs="Arial"/>
          <w:sz w:val="22"/>
          <w:szCs w:val="22"/>
        </w:rPr>
        <w:t xml:space="preserve">dan </w:t>
      </w:r>
      <w:r w:rsidR="00EC5B46" w:rsidRPr="003E5ED2">
        <w:rPr>
          <w:rFonts w:ascii="Arial" w:hAnsi="Arial" w:cs="Arial"/>
          <w:sz w:val="22"/>
          <w:szCs w:val="22"/>
        </w:rPr>
        <w:t>31. prosinca 2024</w:t>
      </w:r>
      <w:r w:rsidR="00B15692" w:rsidRPr="003E5ED2">
        <w:rPr>
          <w:rFonts w:ascii="Arial" w:hAnsi="Arial" w:cs="Arial"/>
          <w:sz w:val="22"/>
          <w:szCs w:val="22"/>
        </w:rPr>
        <w:t>.</w:t>
      </w:r>
      <w:r w:rsidRPr="003E5ED2">
        <w:rPr>
          <w:rFonts w:ascii="Arial" w:hAnsi="Arial" w:cs="Arial"/>
          <w:sz w:val="22"/>
          <w:szCs w:val="22"/>
        </w:rPr>
        <w:t xml:space="preserve"> </w:t>
      </w:r>
    </w:p>
    <w:p w:rsidR="0083315A" w:rsidRPr="003E5ED2" w:rsidRDefault="0083315A" w:rsidP="000E69DA">
      <w:pPr>
        <w:jc w:val="both"/>
        <w:rPr>
          <w:rFonts w:ascii="Arial" w:hAnsi="Arial" w:cs="Arial"/>
          <w:sz w:val="22"/>
          <w:szCs w:val="22"/>
        </w:rPr>
      </w:pPr>
    </w:p>
    <w:p w:rsidR="00ED2892" w:rsidRPr="003E5ED2" w:rsidRDefault="00C41C4B" w:rsidP="000E69DA">
      <w:pPr>
        <w:jc w:val="both"/>
        <w:rPr>
          <w:rFonts w:ascii="Arial" w:hAnsi="Arial" w:cs="Arial"/>
          <w:sz w:val="22"/>
          <w:szCs w:val="22"/>
        </w:rPr>
      </w:pPr>
      <w:r w:rsidRPr="003E5ED2">
        <w:rPr>
          <w:noProof/>
        </w:rPr>
        <w:drawing>
          <wp:inline distT="0" distB="0" distL="0" distR="0" wp14:anchorId="40F0A711" wp14:editId="6B46107D">
            <wp:extent cx="6152083" cy="3002297"/>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1912" cy="3041254"/>
                    </a:xfrm>
                    <a:prstGeom prst="rect">
                      <a:avLst/>
                    </a:prstGeom>
                    <a:noFill/>
                    <a:ln>
                      <a:noFill/>
                    </a:ln>
                  </pic:spPr>
                </pic:pic>
              </a:graphicData>
            </a:graphic>
          </wp:inline>
        </w:drawing>
      </w:r>
    </w:p>
    <w:p w:rsidR="00BD691E" w:rsidRPr="003E5ED2" w:rsidRDefault="00BD691E" w:rsidP="00D9669B">
      <w:pPr>
        <w:jc w:val="both"/>
        <w:rPr>
          <w:rFonts w:ascii="Arial" w:hAnsi="Arial" w:cs="Arial"/>
          <w:i/>
          <w:sz w:val="22"/>
          <w:szCs w:val="22"/>
          <w:u w:val="single"/>
        </w:rPr>
      </w:pPr>
    </w:p>
    <w:p w:rsidR="000A6C21" w:rsidRPr="003E5ED2" w:rsidRDefault="000A6C21" w:rsidP="00D9669B">
      <w:pPr>
        <w:jc w:val="both"/>
        <w:rPr>
          <w:rFonts w:ascii="Arial" w:hAnsi="Arial" w:cs="Arial"/>
          <w:i/>
          <w:sz w:val="22"/>
          <w:szCs w:val="22"/>
          <w:u w:val="single"/>
        </w:rPr>
      </w:pPr>
    </w:p>
    <w:p w:rsidR="00D9669B" w:rsidRPr="003E5ED2" w:rsidRDefault="00D9669B" w:rsidP="00D9669B">
      <w:pPr>
        <w:jc w:val="both"/>
        <w:rPr>
          <w:rFonts w:ascii="Arial" w:hAnsi="Arial" w:cs="Arial"/>
          <w:sz w:val="22"/>
          <w:szCs w:val="22"/>
        </w:rPr>
      </w:pPr>
      <w:r w:rsidRPr="003E5ED2">
        <w:rPr>
          <w:rFonts w:ascii="Arial" w:hAnsi="Arial" w:cs="Arial"/>
          <w:i/>
          <w:sz w:val="22"/>
          <w:szCs w:val="22"/>
          <w:u w:val="single"/>
        </w:rPr>
        <w:t>Potraživanje za prihode poslovanja (16)</w:t>
      </w:r>
      <w:r w:rsidRPr="003E5ED2">
        <w:rPr>
          <w:rFonts w:ascii="Arial" w:hAnsi="Arial" w:cs="Arial"/>
          <w:sz w:val="22"/>
          <w:szCs w:val="22"/>
        </w:rPr>
        <w:t xml:space="preserve"> – stanje ukupnog potraživanja za prihode</w:t>
      </w:r>
      <w:r w:rsidR="00CF14C8" w:rsidRPr="003E5ED2">
        <w:rPr>
          <w:rFonts w:ascii="Arial" w:hAnsi="Arial" w:cs="Arial"/>
          <w:sz w:val="22"/>
          <w:szCs w:val="22"/>
        </w:rPr>
        <w:t xml:space="preserve"> poslovanja na 31. prosinca 2024</w:t>
      </w:r>
      <w:r w:rsidRPr="003E5ED2">
        <w:rPr>
          <w:rFonts w:ascii="Arial" w:hAnsi="Arial" w:cs="Arial"/>
          <w:sz w:val="22"/>
          <w:szCs w:val="22"/>
        </w:rPr>
        <w:t xml:space="preserve">. godine iznosi </w:t>
      </w:r>
      <w:r w:rsidR="00CF14C8" w:rsidRPr="003E5ED2">
        <w:rPr>
          <w:rFonts w:ascii="Arial" w:hAnsi="Arial" w:cs="Arial"/>
          <w:sz w:val="22"/>
          <w:szCs w:val="22"/>
        </w:rPr>
        <w:t xml:space="preserve">10.414.136,89 </w:t>
      </w:r>
      <w:r w:rsidRPr="003E5ED2">
        <w:rPr>
          <w:rFonts w:ascii="Arial" w:hAnsi="Arial" w:cs="Arial"/>
          <w:sz w:val="22"/>
          <w:szCs w:val="22"/>
        </w:rPr>
        <w:t xml:space="preserve">eura (odnosno </w:t>
      </w:r>
      <w:r w:rsidR="00CF14C8" w:rsidRPr="003E5ED2">
        <w:rPr>
          <w:rFonts w:ascii="Arial" w:hAnsi="Arial" w:cs="Arial"/>
          <w:sz w:val="22"/>
          <w:szCs w:val="22"/>
        </w:rPr>
        <w:t>24.707.702,88</w:t>
      </w:r>
      <w:r w:rsidRPr="003E5ED2">
        <w:rPr>
          <w:rFonts w:ascii="Arial" w:hAnsi="Arial" w:cs="Arial"/>
          <w:sz w:val="22"/>
          <w:szCs w:val="22"/>
        </w:rPr>
        <w:t xml:space="preserve"> eura bez uključenog propisanog ispravka vrijednosti) i u odnosu na isto razdoblje pretho</w:t>
      </w:r>
      <w:r w:rsidR="00CF14C8" w:rsidRPr="003E5ED2">
        <w:rPr>
          <w:rFonts w:ascii="Arial" w:hAnsi="Arial" w:cs="Arial"/>
          <w:sz w:val="22"/>
          <w:szCs w:val="22"/>
        </w:rPr>
        <w:t>dne godine, potraživanja su manja</w:t>
      </w:r>
      <w:r w:rsidRPr="003E5ED2">
        <w:rPr>
          <w:rFonts w:ascii="Arial" w:hAnsi="Arial" w:cs="Arial"/>
          <w:sz w:val="22"/>
          <w:szCs w:val="22"/>
        </w:rPr>
        <w:t xml:space="preserve"> za </w:t>
      </w:r>
      <w:r w:rsidR="00CF14C8" w:rsidRPr="003E5ED2">
        <w:rPr>
          <w:rFonts w:ascii="Arial" w:hAnsi="Arial" w:cs="Arial"/>
          <w:sz w:val="22"/>
          <w:szCs w:val="22"/>
        </w:rPr>
        <w:t>1.977.135,60</w:t>
      </w:r>
      <w:r w:rsidRPr="003E5ED2">
        <w:rPr>
          <w:rFonts w:ascii="Arial" w:hAnsi="Arial" w:cs="Arial"/>
          <w:sz w:val="22"/>
          <w:szCs w:val="22"/>
        </w:rPr>
        <w:t xml:space="preserve"> eura, odnosno </w:t>
      </w:r>
      <w:r w:rsidR="00CF14C8" w:rsidRPr="003E5ED2">
        <w:rPr>
          <w:rFonts w:ascii="Arial" w:hAnsi="Arial" w:cs="Arial"/>
          <w:sz w:val="22"/>
          <w:szCs w:val="22"/>
        </w:rPr>
        <w:t>16</w:t>
      </w:r>
      <w:r w:rsidRPr="003E5ED2">
        <w:rPr>
          <w:rFonts w:ascii="Arial" w:hAnsi="Arial" w:cs="Arial"/>
          <w:sz w:val="22"/>
          <w:szCs w:val="22"/>
        </w:rPr>
        <w:t>%.</w:t>
      </w:r>
    </w:p>
    <w:p w:rsidR="00D9669B" w:rsidRPr="003E5ED2" w:rsidRDefault="00D9669B" w:rsidP="00D9669B">
      <w:pPr>
        <w:jc w:val="both"/>
        <w:rPr>
          <w:rFonts w:ascii="Arial" w:hAnsi="Arial" w:cs="Arial"/>
          <w:sz w:val="22"/>
          <w:szCs w:val="22"/>
          <w:highlight w:val="yellow"/>
        </w:rPr>
      </w:pPr>
      <w:r w:rsidRPr="003E5ED2">
        <w:rPr>
          <w:rFonts w:ascii="Arial" w:hAnsi="Arial" w:cs="Arial"/>
          <w:sz w:val="22"/>
          <w:szCs w:val="22"/>
        </w:rPr>
        <w:t xml:space="preserve">Na datum bilance dospjelo je </w:t>
      </w:r>
      <w:r w:rsidR="00CF14C8" w:rsidRPr="003E5ED2">
        <w:rPr>
          <w:rFonts w:ascii="Arial" w:hAnsi="Arial" w:cs="Arial"/>
          <w:sz w:val="22"/>
          <w:szCs w:val="22"/>
        </w:rPr>
        <w:t>6.580.853,00</w:t>
      </w:r>
      <w:r w:rsidRPr="003E5ED2">
        <w:rPr>
          <w:rFonts w:ascii="Arial" w:hAnsi="Arial" w:cs="Arial"/>
          <w:sz w:val="22"/>
          <w:szCs w:val="22"/>
        </w:rPr>
        <w:t xml:space="preserve"> e</w:t>
      </w:r>
      <w:r w:rsidR="00735656" w:rsidRPr="003E5ED2">
        <w:rPr>
          <w:rFonts w:ascii="Arial" w:hAnsi="Arial" w:cs="Arial"/>
          <w:sz w:val="22"/>
          <w:szCs w:val="22"/>
        </w:rPr>
        <w:t xml:space="preserve">ura (odnosno </w:t>
      </w:r>
      <w:r w:rsidR="00CF14C8" w:rsidRPr="003E5ED2">
        <w:rPr>
          <w:rFonts w:ascii="Arial" w:hAnsi="Arial" w:cs="Arial"/>
          <w:sz w:val="22"/>
          <w:szCs w:val="22"/>
        </w:rPr>
        <w:t>20.874.418,99</w:t>
      </w:r>
      <w:r w:rsidR="00735656" w:rsidRPr="003E5ED2">
        <w:rPr>
          <w:rFonts w:ascii="Arial" w:hAnsi="Arial" w:cs="Arial"/>
          <w:sz w:val="22"/>
          <w:szCs w:val="22"/>
        </w:rPr>
        <w:t xml:space="preserve"> eura</w:t>
      </w:r>
      <w:r w:rsidRPr="003E5ED2">
        <w:rPr>
          <w:rFonts w:ascii="Arial" w:hAnsi="Arial" w:cs="Arial"/>
          <w:sz w:val="22"/>
          <w:szCs w:val="22"/>
        </w:rPr>
        <w:t xml:space="preserve"> bez uključenog ispravka vrijednosti),</w:t>
      </w:r>
      <w:r w:rsidR="007B4EA6" w:rsidRPr="003E5ED2">
        <w:rPr>
          <w:rFonts w:ascii="Arial" w:hAnsi="Arial" w:cs="Arial"/>
          <w:sz w:val="22"/>
          <w:szCs w:val="22"/>
        </w:rPr>
        <w:t xml:space="preserve"> a nedospjelo </w:t>
      </w:r>
      <w:r w:rsidR="00CF14C8" w:rsidRPr="003E5ED2">
        <w:rPr>
          <w:rFonts w:ascii="Arial" w:hAnsi="Arial" w:cs="Arial"/>
          <w:sz w:val="22"/>
          <w:szCs w:val="22"/>
        </w:rPr>
        <w:t>3.833.283,89</w:t>
      </w:r>
      <w:r w:rsidRPr="003E5ED2">
        <w:rPr>
          <w:rFonts w:ascii="Arial" w:hAnsi="Arial" w:cs="Arial"/>
          <w:sz w:val="22"/>
          <w:szCs w:val="22"/>
        </w:rPr>
        <w:t xml:space="preserve"> eura potraživanja za prihode poslovanja.</w:t>
      </w:r>
    </w:p>
    <w:p w:rsidR="00D9669B" w:rsidRPr="003E5ED2" w:rsidRDefault="00D9669B" w:rsidP="00D9669B">
      <w:pPr>
        <w:jc w:val="both"/>
        <w:rPr>
          <w:rFonts w:ascii="Arial" w:hAnsi="Arial" w:cs="Arial"/>
          <w:sz w:val="22"/>
          <w:szCs w:val="22"/>
          <w:highlight w:val="yellow"/>
        </w:rPr>
      </w:pPr>
    </w:p>
    <w:p w:rsidR="00D9669B" w:rsidRPr="003E5ED2" w:rsidRDefault="00D9669B" w:rsidP="00D9669B">
      <w:pPr>
        <w:jc w:val="both"/>
        <w:rPr>
          <w:rFonts w:ascii="Arial" w:hAnsi="Arial" w:cs="Arial"/>
          <w:sz w:val="22"/>
          <w:szCs w:val="22"/>
        </w:rPr>
      </w:pPr>
      <w:r w:rsidRPr="003E5ED2">
        <w:rPr>
          <w:rFonts w:ascii="Arial" w:hAnsi="Arial" w:cs="Arial"/>
          <w:sz w:val="22"/>
          <w:szCs w:val="22"/>
        </w:rPr>
        <w:t xml:space="preserve">Od dospjelih potraživanja </w:t>
      </w:r>
      <w:r w:rsidR="00D84344" w:rsidRPr="003E5ED2">
        <w:rPr>
          <w:rFonts w:ascii="Arial" w:hAnsi="Arial" w:cs="Arial"/>
          <w:sz w:val="22"/>
          <w:szCs w:val="22"/>
        </w:rPr>
        <w:t xml:space="preserve">za prihode poslovanja </w:t>
      </w:r>
      <w:r w:rsidRPr="003E5ED2">
        <w:rPr>
          <w:rFonts w:ascii="Arial" w:hAnsi="Arial" w:cs="Arial"/>
          <w:sz w:val="22"/>
          <w:szCs w:val="22"/>
        </w:rPr>
        <w:t>vrijednosno su najznačajnija nenaplaćena potraživanja za komunalnu naknadu (</w:t>
      </w:r>
      <w:r w:rsidR="00CF14C8" w:rsidRPr="003E5ED2">
        <w:rPr>
          <w:rFonts w:ascii="Arial" w:hAnsi="Arial" w:cs="Arial"/>
          <w:sz w:val="22"/>
          <w:szCs w:val="22"/>
        </w:rPr>
        <w:t>1.593.507,14</w:t>
      </w:r>
      <w:r w:rsidRPr="003E5ED2">
        <w:rPr>
          <w:rFonts w:ascii="Arial" w:hAnsi="Arial" w:cs="Arial"/>
          <w:sz w:val="22"/>
          <w:szCs w:val="22"/>
        </w:rPr>
        <w:t xml:space="preserve"> eura, odnosno </w:t>
      </w:r>
      <w:r w:rsidR="00CF14C8" w:rsidRPr="003E5ED2">
        <w:rPr>
          <w:rFonts w:ascii="Arial" w:hAnsi="Arial" w:cs="Arial"/>
          <w:sz w:val="22"/>
          <w:szCs w:val="22"/>
        </w:rPr>
        <w:t>4.754.517,45</w:t>
      </w:r>
      <w:r w:rsidRPr="003E5ED2">
        <w:rPr>
          <w:rFonts w:ascii="Arial" w:hAnsi="Arial" w:cs="Arial"/>
          <w:sz w:val="22"/>
          <w:szCs w:val="22"/>
        </w:rPr>
        <w:t xml:space="preserve"> eura bez uključenog ispravka vrijednosti), potraživanja za zakupninu poslovnih prostora (</w:t>
      </w:r>
      <w:r w:rsidR="00CF14C8" w:rsidRPr="003E5ED2">
        <w:rPr>
          <w:rFonts w:ascii="Arial" w:hAnsi="Arial" w:cs="Arial"/>
          <w:sz w:val="22"/>
          <w:szCs w:val="22"/>
        </w:rPr>
        <w:t>669.838,56</w:t>
      </w:r>
      <w:r w:rsidRPr="003E5ED2">
        <w:rPr>
          <w:rFonts w:ascii="Arial" w:hAnsi="Arial" w:cs="Arial"/>
          <w:sz w:val="22"/>
          <w:szCs w:val="22"/>
        </w:rPr>
        <w:t xml:space="preserve"> eura odnosno </w:t>
      </w:r>
      <w:r w:rsidR="00CF14C8" w:rsidRPr="003E5ED2">
        <w:rPr>
          <w:rFonts w:ascii="Arial" w:hAnsi="Arial" w:cs="Arial"/>
          <w:sz w:val="22"/>
          <w:szCs w:val="22"/>
        </w:rPr>
        <w:t>1.908.559,21</w:t>
      </w:r>
      <w:r w:rsidRPr="003E5ED2">
        <w:rPr>
          <w:rFonts w:ascii="Arial" w:hAnsi="Arial" w:cs="Arial"/>
          <w:sz w:val="22"/>
          <w:szCs w:val="22"/>
        </w:rPr>
        <w:t xml:space="preserve"> eura bez uključenog ispravka vrijednosti) i potraživanja za porez na promet nekretnina (</w:t>
      </w:r>
      <w:r w:rsidR="00CF14C8" w:rsidRPr="003E5ED2">
        <w:rPr>
          <w:rFonts w:ascii="Arial" w:hAnsi="Arial" w:cs="Arial"/>
          <w:sz w:val="22"/>
          <w:szCs w:val="22"/>
        </w:rPr>
        <w:t>861.990,63</w:t>
      </w:r>
      <w:r w:rsidRPr="003E5ED2">
        <w:rPr>
          <w:rFonts w:ascii="Arial" w:hAnsi="Arial" w:cs="Arial"/>
          <w:sz w:val="22"/>
          <w:szCs w:val="22"/>
        </w:rPr>
        <w:t xml:space="preserve"> eura odnosno </w:t>
      </w:r>
      <w:r w:rsidR="00CF14C8" w:rsidRPr="003E5ED2">
        <w:rPr>
          <w:rFonts w:ascii="Arial" w:hAnsi="Arial" w:cs="Arial"/>
          <w:sz w:val="22"/>
          <w:szCs w:val="22"/>
        </w:rPr>
        <w:t>1.786.620,32</w:t>
      </w:r>
      <w:r w:rsidRPr="003E5ED2">
        <w:rPr>
          <w:rFonts w:ascii="Arial" w:hAnsi="Arial" w:cs="Arial"/>
          <w:sz w:val="22"/>
          <w:szCs w:val="22"/>
        </w:rPr>
        <w:t xml:space="preserve"> eura bez uključenog ispravka vrijednosti).</w:t>
      </w:r>
    </w:p>
    <w:p w:rsidR="00D9669B" w:rsidRPr="003E5ED2" w:rsidRDefault="00D9669B" w:rsidP="00D9669B">
      <w:pPr>
        <w:jc w:val="both"/>
        <w:rPr>
          <w:rFonts w:ascii="Arial" w:hAnsi="Arial" w:cs="Arial"/>
          <w:sz w:val="22"/>
          <w:szCs w:val="22"/>
          <w:highlight w:val="yellow"/>
        </w:rPr>
      </w:pPr>
    </w:p>
    <w:p w:rsidR="00D9669B" w:rsidRPr="003E5ED2" w:rsidRDefault="00D9669B" w:rsidP="00D9669B">
      <w:pPr>
        <w:jc w:val="both"/>
        <w:rPr>
          <w:rFonts w:ascii="Arial" w:hAnsi="Arial" w:cs="Arial"/>
          <w:sz w:val="22"/>
          <w:szCs w:val="22"/>
        </w:rPr>
      </w:pPr>
      <w:r w:rsidRPr="003E5ED2">
        <w:rPr>
          <w:rFonts w:ascii="Arial" w:hAnsi="Arial" w:cs="Arial"/>
          <w:i/>
          <w:sz w:val="22"/>
          <w:szCs w:val="22"/>
          <w:u w:val="single"/>
        </w:rPr>
        <w:t>Potraživanja od prodaje nefinancijske imovine</w:t>
      </w:r>
      <w:r w:rsidRPr="003E5ED2">
        <w:rPr>
          <w:rFonts w:ascii="Arial" w:hAnsi="Arial" w:cs="Arial"/>
          <w:sz w:val="22"/>
          <w:szCs w:val="22"/>
          <w:u w:val="single"/>
        </w:rPr>
        <w:t xml:space="preserve"> (17)</w:t>
      </w:r>
      <w:r w:rsidR="007B4EA6" w:rsidRPr="003E5ED2">
        <w:rPr>
          <w:rFonts w:ascii="Arial" w:hAnsi="Arial" w:cs="Arial"/>
          <w:sz w:val="22"/>
          <w:szCs w:val="22"/>
        </w:rPr>
        <w:t xml:space="preserve"> iznose </w:t>
      </w:r>
      <w:r w:rsidR="00CF14C8" w:rsidRPr="003E5ED2">
        <w:rPr>
          <w:rFonts w:ascii="Arial" w:hAnsi="Arial" w:cs="Arial"/>
          <w:sz w:val="22"/>
          <w:szCs w:val="22"/>
        </w:rPr>
        <w:t>1.758.866,16</w:t>
      </w:r>
      <w:r w:rsidRPr="003E5ED2">
        <w:rPr>
          <w:rFonts w:ascii="Arial" w:hAnsi="Arial" w:cs="Arial"/>
          <w:sz w:val="22"/>
          <w:szCs w:val="22"/>
        </w:rPr>
        <w:t xml:space="preserve"> eura (odnosno </w:t>
      </w:r>
      <w:r w:rsidR="00CF14C8" w:rsidRPr="003E5ED2">
        <w:rPr>
          <w:rFonts w:ascii="Arial" w:hAnsi="Arial" w:cs="Arial"/>
          <w:sz w:val="22"/>
          <w:szCs w:val="22"/>
        </w:rPr>
        <w:t>2.122.357,47</w:t>
      </w:r>
      <w:r w:rsidRPr="003E5ED2">
        <w:rPr>
          <w:rFonts w:ascii="Arial" w:hAnsi="Arial" w:cs="Arial"/>
          <w:sz w:val="22"/>
          <w:szCs w:val="22"/>
        </w:rPr>
        <w:t xml:space="preserve"> eura bez uključenog ispravka vrijednosti) i u odnosu na prethodnu godinu manja su za </w:t>
      </w:r>
      <w:r w:rsidR="00CF14C8" w:rsidRPr="003E5ED2">
        <w:rPr>
          <w:rFonts w:ascii="Arial" w:hAnsi="Arial" w:cs="Arial"/>
          <w:sz w:val="22"/>
          <w:szCs w:val="22"/>
        </w:rPr>
        <w:t>62,9</w:t>
      </w:r>
      <w:r w:rsidRPr="003E5ED2">
        <w:rPr>
          <w:rFonts w:ascii="Arial" w:hAnsi="Arial" w:cs="Arial"/>
          <w:sz w:val="22"/>
          <w:szCs w:val="22"/>
        </w:rPr>
        <w:t xml:space="preserve">%, odnosno apsolutno iskazano, za </w:t>
      </w:r>
      <w:r w:rsidR="00CF14C8" w:rsidRPr="003E5ED2">
        <w:rPr>
          <w:rFonts w:ascii="Arial" w:hAnsi="Arial" w:cs="Arial"/>
          <w:sz w:val="22"/>
          <w:szCs w:val="22"/>
        </w:rPr>
        <w:t>2.978.104,54</w:t>
      </w:r>
      <w:r w:rsidRPr="003E5ED2">
        <w:rPr>
          <w:rFonts w:ascii="Arial" w:hAnsi="Arial" w:cs="Arial"/>
          <w:sz w:val="22"/>
          <w:szCs w:val="22"/>
        </w:rPr>
        <w:t xml:space="preserve"> eura.</w:t>
      </w:r>
    </w:p>
    <w:p w:rsidR="00CF14C8" w:rsidRPr="003E5ED2" w:rsidRDefault="00CF14C8" w:rsidP="00D9669B">
      <w:pPr>
        <w:jc w:val="both"/>
        <w:rPr>
          <w:rFonts w:ascii="Arial" w:hAnsi="Arial" w:cs="Arial"/>
          <w:sz w:val="22"/>
          <w:szCs w:val="22"/>
        </w:rPr>
      </w:pPr>
    </w:p>
    <w:p w:rsidR="00D9669B" w:rsidRPr="003E5ED2" w:rsidRDefault="00D9669B" w:rsidP="00D9669B">
      <w:pPr>
        <w:jc w:val="both"/>
        <w:rPr>
          <w:rFonts w:ascii="Arial" w:hAnsi="Arial" w:cs="Arial"/>
          <w:sz w:val="22"/>
          <w:szCs w:val="22"/>
          <w:highlight w:val="yellow"/>
        </w:rPr>
      </w:pPr>
      <w:r w:rsidRPr="003E5ED2">
        <w:rPr>
          <w:rFonts w:ascii="Arial" w:hAnsi="Arial" w:cs="Arial"/>
          <w:sz w:val="22"/>
          <w:szCs w:val="22"/>
        </w:rPr>
        <w:t xml:space="preserve">Na datum bilance dospjelo je </w:t>
      </w:r>
      <w:r w:rsidR="00CF14C8" w:rsidRPr="003E5ED2">
        <w:rPr>
          <w:rFonts w:ascii="Arial" w:hAnsi="Arial" w:cs="Arial"/>
          <w:sz w:val="22"/>
          <w:szCs w:val="22"/>
        </w:rPr>
        <w:t>45.395,58</w:t>
      </w:r>
      <w:r w:rsidRPr="003E5ED2">
        <w:rPr>
          <w:rFonts w:ascii="Arial" w:hAnsi="Arial" w:cs="Arial"/>
          <w:sz w:val="22"/>
          <w:szCs w:val="22"/>
        </w:rPr>
        <w:t xml:space="preserve"> eura (odnosno </w:t>
      </w:r>
      <w:r w:rsidR="00CF14C8" w:rsidRPr="003E5ED2">
        <w:rPr>
          <w:rFonts w:ascii="Arial" w:hAnsi="Arial" w:cs="Arial"/>
          <w:sz w:val="22"/>
          <w:szCs w:val="22"/>
        </w:rPr>
        <w:t>408.886,89</w:t>
      </w:r>
      <w:r w:rsidRPr="003E5ED2">
        <w:rPr>
          <w:rFonts w:ascii="Arial" w:hAnsi="Arial" w:cs="Arial"/>
          <w:sz w:val="22"/>
          <w:szCs w:val="22"/>
        </w:rPr>
        <w:t xml:space="preserve"> eura bez uključenog isprav</w:t>
      </w:r>
      <w:r w:rsidR="007B4EA6" w:rsidRPr="003E5ED2">
        <w:rPr>
          <w:rFonts w:ascii="Arial" w:hAnsi="Arial" w:cs="Arial"/>
          <w:sz w:val="22"/>
          <w:szCs w:val="22"/>
        </w:rPr>
        <w:t xml:space="preserve">ka vrijednosti), a nedospjelo </w:t>
      </w:r>
      <w:r w:rsidR="00CF14C8" w:rsidRPr="003E5ED2">
        <w:rPr>
          <w:rFonts w:ascii="Arial" w:hAnsi="Arial" w:cs="Arial"/>
          <w:sz w:val="22"/>
          <w:szCs w:val="22"/>
        </w:rPr>
        <w:t>1.713.470,58</w:t>
      </w:r>
      <w:r w:rsidRPr="003E5ED2">
        <w:rPr>
          <w:rFonts w:ascii="Arial" w:hAnsi="Arial" w:cs="Arial"/>
          <w:sz w:val="22"/>
          <w:szCs w:val="22"/>
        </w:rPr>
        <w:t xml:space="preserve"> eura potraživanja za prihode od prodaje nefinancijske imovine. </w:t>
      </w:r>
    </w:p>
    <w:p w:rsidR="00D9669B" w:rsidRPr="003E5ED2" w:rsidRDefault="00D9669B" w:rsidP="00D9669B">
      <w:pPr>
        <w:jc w:val="both"/>
        <w:rPr>
          <w:rFonts w:ascii="Arial" w:hAnsi="Arial" w:cs="Arial"/>
          <w:sz w:val="22"/>
          <w:szCs w:val="22"/>
          <w:highlight w:val="yellow"/>
        </w:rPr>
      </w:pPr>
    </w:p>
    <w:p w:rsidR="00D9669B" w:rsidRPr="003E5ED2" w:rsidRDefault="00D9669B" w:rsidP="00D9669B">
      <w:pPr>
        <w:jc w:val="both"/>
        <w:rPr>
          <w:rFonts w:ascii="Arial" w:hAnsi="Arial" w:cs="Arial"/>
          <w:sz w:val="22"/>
          <w:szCs w:val="22"/>
        </w:rPr>
      </w:pPr>
      <w:r w:rsidRPr="003E5ED2">
        <w:rPr>
          <w:rFonts w:ascii="Arial" w:hAnsi="Arial" w:cs="Arial"/>
          <w:sz w:val="22"/>
          <w:szCs w:val="22"/>
        </w:rPr>
        <w:t xml:space="preserve">Od dospjelih potraživanja </w:t>
      </w:r>
      <w:r w:rsidR="00D84344" w:rsidRPr="003E5ED2">
        <w:rPr>
          <w:rFonts w:ascii="Arial" w:hAnsi="Arial" w:cs="Arial"/>
          <w:sz w:val="22"/>
          <w:szCs w:val="22"/>
        </w:rPr>
        <w:t xml:space="preserve">od prodaje nefinancijske imovine </w:t>
      </w:r>
      <w:r w:rsidRPr="003E5ED2">
        <w:rPr>
          <w:rFonts w:ascii="Arial" w:hAnsi="Arial" w:cs="Arial"/>
          <w:sz w:val="22"/>
          <w:szCs w:val="22"/>
        </w:rPr>
        <w:t xml:space="preserve">vrijednosno </w:t>
      </w:r>
      <w:r w:rsidR="00D84344" w:rsidRPr="003E5ED2">
        <w:rPr>
          <w:rFonts w:ascii="Arial" w:hAnsi="Arial" w:cs="Arial"/>
          <w:sz w:val="22"/>
          <w:szCs w:val="22"/>
        </w:rPr>
        <w:t xml:space="preserve">su </w:t>
      </w:r>
      <w:r w:rsidRPr="003E5ED2">
        <w:rPr>
          <w:rFonts w:ascii="Arial" w:hAnsi="Arial" w:cs="Arial"/>
          <w:sz w:val="22"/>
          <w:szCs w:val="22"/>
        </w:rPr>
        <w:t>najznačajnija potraživanja za prihode od prodaje stanova na kojima postoji stanarsko pravo (</w:t>
      </w:r>
      <w:r w:rsidR="00CF14C8" w:rsidRPr="003E5ED2">
        <w:rPr>
          <w:rFonts w:ascii="Arial" w:hAnsi="Arial" w:cs="Arial"/>
          <w:sz w:val="22"/>
          <w:szCs w:val="22"/>
        </w:rPr>
        <w:t>21.782,25</w:t>
      </w:r>
      <w:r w:rsidRPr="003E5ED2">
        <w:rPr>
          <w:rFonts w:ascii="Arial" w:hAnsi="Arial" w:cs="Arial"/>
          <w:sz w:val="22"/>
          <w:szCs w:val="22"/>
        </w:rPr>
        <w:t xml:space="preserve"> eura, odnosno </w:t>
      </w:r>
      <w:r w:rsidR="00CF14C8" w:rsidRPr="003E5ED2">
        <w:rPr>
          <w:rFonts w:ascii="Arial" w:hAnsi="Arial" w:cs="Arial"/>
          <w:sz w:val="22"/>
          <w:szCs w:val="22"/>
        </w:rPr>
        <w:t>262.880,04</w:t>
      </w:r>
      <w:r w:rsidRPr="003E5ED2">
        <w:rPr>
          <w:rFonts w:ascii="Arial" w:hAnsi="Arial" w:cs="Arial"/>
          <w:sz w:val="22"/>
          <w:szCs w:val="22"/>
        </w:rPr>
        <w:t xml:space="preserve"> eura bez uključenog ispravka vrijednosti) </w:t>
      </w:r>
      <w:r w:rsidR="00D22B9C" w:rsidRPr="003E5ED2">
        <w:rPr>
          <w:rFonts w:ascii="Arial" w:hAnsi="Arial" w:cs="Arial"/>
          <w:sz w:val="22"/>
          <w:szCs w:val="22"/>
        </w:rPr>
        <w:t>i</w:t>
      </w:r>
      <w:r w:rsidRPr="003E5ED2">
        <w:rPr>
          <w:rFonts w:ascii="Arial" w:hAnsi="Arial" w:cs="Arial"/>
          <w:sz w:val="22"/>
          <w:szCs w:val="22"/>
        </w:rPr>
        <w:t xml:space="preserve"> nenaplaćena potraživanja za prihode od prodaje zemljišta (</w:t>
      </w:r>
      <w:r w:rsidR="00CF14C8" w:rsidRPr="003E5ED2">
        <w:rPr>
          <w:rFonts w:ascii="Arial" w:hAnsi="Arial" w:cs="Arial"/>
          <w:sz w:val="22"/>
          <w:szCs w:val="22"/>
        </w:rPr>
        <w:t>21.685.23</w:t>
      </w:r>
      <w:r w:rsidRPr="003E5ED2">
        <w:rPr>
          <w:rFonts w:ascii="Arial" w:hAnsi="Arial" w:cs="Arial"/>
          <w:sz w:val="22"/>
          <w:szCs w:val="22"/>
        </w:rPr>
        <w:t xml:space="preserve"> eura, odnosno </w:t>
      </w:r>
      <w:r w:rsidR="00CF14C8" w:rsidRPr="003E5ED2">
        <w:rPr>
          <w:rFonts w:ascii="Arial" w:hAnsi="Arial" w:cs="Arial"/>
          <w:sz w:val="22"/>
          <w:szCs w:val="22"/>
        </w:rPr>
        <w:t>77.002,10</w:t>
      </w:r>
      <w:r w:rsidRPr="003E5ED2">
        <w:rPr>
          <w:rFonts w:ascii="Arial" w:hAnsi="Arial" w:cs="Arial"/>
          <w:sz w:val="22"/>
          <w:szCs w:val="22"/>
        </w:rPr>
        <w:t xml:space="preserve"> eura bez </w:t>
      </w:r>
      <w:r w:rsidR="004A3ACC" w:rsidRPr="003E5ED2">
        <w:rPr>
          <w:rFonts w:ascii="Arial" w:hAnsi="Arial" w:cs="Arial"/>
          <w:sz w:val="22"/>
          <w:szCs w:val="22"/>
        </w:rPr>
        <w:t>uključenog ispravka vrijednosti</w:t>
      </w:r>
      <w:r w:rsidRPr="003E5ED2">
        <w:rPr>
          <w:rFonts w:ascii="Arial" w:hAnsi="Arial" w:cs="Arial"/>
          <w:sz w:val="22"/>
          <w:szCs w:val="22"/>
        </w:rPr>
        <w:t>).</w:t>
      </w:r>
    </w:p>
    <w:p w:rsidR="00BD691E" w:rsidRPr="003E5ED2" w:rsidRDefault="00BD691E" w:rsidP="00D9669B">
      <w:pPr>
        <w:jc w:val="both"/>
        <w:rPr>
          <w:rFonts w:ascii="Arial" w:hAnsi="Arial" w:cs="Arial"/>
          <w:sz w:val="22"/>
          <w:szCs w:val="22"/>
        </w:rPr>
      </w:pPr>
    </w:p>
    <w:p w:rsidR="00D9669B" w:rsidRPr="003E5ED2" w:rsidRDefault="00D9669B" w:rsidP="00D9669B">
      <w:pPr>
        <w:jc w:val="both"/>
        <w:rPr>
          <w:rFonts w:ascii="Arial" w:hAnsi="Arial" w:cs="Arial"/>
          <w:sz w:val="22"/>
          <w:szCs w:val="22"/>
        </w:rPr>
      </w:pPr>
    </w:p>
    <w:p w:rsidR="00D9669B" w:rsidRPr="003E5ED2" w:rsidRDefault="00D9669B" w:rsidP="00D9669B">
      <w:pPr>
        <w:jc w:val="both"/>
        <w:rPr>
          <w:rFonts w:ascii="Arial" w:hAnsi="Arial" w:cs="Arial"/>
          <w:sz w:val="22"/>
          <w:szCs w:val="22"/>
          <w:u w:val="single"/>
        </w:rPr>
      </w:pPr>
      <w:r w:rsidRPr="003E5ED2">
        <w:rPr>
          <w:rFonts w:ascii="Arial" w:hAnsi="Arial" w:cs="Arial"/>
          <w:sz w:val="22"/>
          <w:szCs w:val="22"/>
          <w:u w:val="single"/>
        </w:rPr>
        <w:t xml:space="preserve">ISPRAVAK VRIJEDNOSTI POTRAŽIVANJA </w:t>
      </w:r>
    </w:p>
    <w:p w:rsidR="00D9669B" w:rsidRPr="003E5ED2" w:rsidRDefault="00D9669B" w:rsidP="00D9669B">
      <w:pPr>
        <w:jc w:val="both"/>
        <w:rPr>
          <w:rFonts w:ascii="Arial" w:hAnsi="Arial" w:cs="Arial"/>
          <w:sz w:val="22"/>
          <w:szCs w:val="22"/>
          <w:highlight w:val="yellow"/>
        </w:rPr>
      </w:pPr>
    </w:p>
    <w:p w:rsidR="00D9669B" w:rsidRPr="003E5ED2" w:rsidRDefault="00D9669B" w:rsidP="00D9669B">
      <w:pPr>
        <w:jc w:val="both"/>
        <w:rPr>
          <w:rFonts w:ascii="Arial" w:hAnsi="Arial" w:cs="Arial"/>
          <w:sz w:val="22"/>
          <w:szCs w:val="22"/>
        </w:rPr>
      </w:pPr>
      <w:r w:rsidRPr="003E5ED2">
        <w:rPr>
          <w:rFonts w:ascii="Arial" w:hAnsi="Arial" w:cs="Arial"/>
          <w:sz w:val="22"/>
          <w:szCs w:val="22"/>
        </w:rPr>
        <w:t>Grad</w:t>
      </w:r>
      <w:r w:rsidR="009D3812" w:rsidRPr="003E5ED2">
        <w:rPr>
          <w:rFonts w:ascii="Arial" w:hAnsi="Arial" w:cs="Arial"/>
          <w:sz w:val="22"/>
          <w:szCs w:val="22"/>
        </w:rPr>
        <w:t xml:space="preserve"> Rijeka je, temeljem članka 37. </w:t>
      </w:r>
      <w:r w:rsidRPr="003E5ED2">
        <w:rPr>
          <w:rFonts w:ascii="Arial" w:hAnsi="Arial" w:cs="Arial"/>
          <w:sz w:val="22"/>
          <w:szCs w:val="22"/>
        </w:rPr>
        <w:t xml:space="preserve">a) Pravilnika o proračunskom računovodstvu i Računskom planu, proveo propisani ispravak vrijednosti potraživanja u iznosu od </w:t>
      </w:r>
      <w:r w:rsidR="00CF14C8" w:rsidRPr="003E5ED2">
        <w:rPr>
          <w:rFonts w:ascii="Arial" w:hAnsi="Arial" w:cs="Arial"/>
          <w:sz w:val="22"/>
          <w:szCs w:val="22"/>
        </w:rPr>
        <w:t>15.257.830,52</w:t>
      </w:r>
      <w:r w:rsidRPr="003E5ED2">
        <w:rPr>
          <w:rFonts w:ascii="Arial" w:hAnsi="Arial" w:cs="Arial"/>
          <w:sz w:val="22"/>
          <w:szCs w:val="22"/>
        </w:rPr>
        <w:t xml:space="preserve"> eura. Prema podacima analitičkog knjigovodstva, uzimajući u obzir kašnjenje u naplati preko godine dana te pokretanje stečajnog i/ili likvidacijskog postupka nad dužnikom, proveden je ispravak vrijednosti potraživanja i to:</w:t>
      </w:r>
    </w:p>
    <w:p w:rsidR="00D9669B" w:rsidRPr="003E5ED2" w:rsidRDefault="00D9669B" w:rsidP="00D9669B">
      <w:pPr>
        <w:jc w:val="both"/>
        <w:rPr>
          <w:rFonts w:ascii="Arial" w:hAnsi="Arial" w:cs="Arial"/>
          <w:sz w:val="22"/>
          <w:szCs w:val="22"/>
        </w:rPr>
      </w:pPr>
    </w:p>
    <w:p w:rsidR="00D9669B" w:rsidRPr="003E5ED2" w:rsidRDefault="00D9669B" w:rsidP="00651DEC">
      <w:pPr>
        <w:pStyle w:val="ListParagraph"/>
        <w:numPr>
          <w:ilvl w:val="0"/>
          <w:numId w:val="32"/>
        </w:numPr>
        <w:jc w:val="both"/>
        <w:rPr>
          <w:rFonts w:ascii="Arial" w:hAnsi="Arial" w:cs="Arial"/>
          <w:sz w:val="22"/>
          <w:szCs w:val="22"/>
        </w:rPr>
      </w:pPr>
      <w:r w:rsidRPr="003E5ED2">
        <w:rPr>
          <w:rFonts w:ascii="Arial" w:hAnsi="Arial" w:cs="Arial"/>
          <w:sz w:val="22"/>
          <w:szCs w:val="22"/>
        </w:rPr>
        <w:t xml:space="preserve">potraživanja za dane zajmove u iznosu od </w:t>
      </w:r>
      <w:r w:rsidR="00CF14C8" w:rsidRPr="003E5ED2">
        <w:rPr>
          <w:rFonts w:ascii="Arial" w:hAnsi="Arial" w:cs="Arial"/>
          <w:sz w:val="22"/>
          <w:szCs w:val="22"/>
        </w:rPr>
        <w:t>600.773,22</w:t>
      </w:r>
      <w:r w:rsidRPr="003E5ED2">
        <w:rPr>
          <w:rFonts w:ascii="Arial" w:hAnsi="Arial" w:cs="Arial"/>
          <w:sz w:val="22"/>
          <w:szCs w:val="22"/>
        </w:rPr>
        <w:t xml:space="preserve"> eura koje se odnosi na kašnjenje u naplati više od tri godine</w:t>
      </w:r>
    </w:p>
    <w:p w:rsidR="007273CF" w:rsidRPr="003E5ED2" w:rsidRDefault="007273CF" w:rsidP="007273CF">
      <w:pPr>
        <w:pStyle w:val="ListParagraph"/>
        <w:jc w:val="both"/>
        <w:rPr>
          <w:rFonts w:ascii="Arial" w:hAnsi="Arial" w:cs="Arial"/>
          <w:sz w:val="22"/>
          <w:szCs w:val="22"/>
        </w:rPr>
      </w:pPr>
    </w:p>
    <w:p w:rsidR="00D9669B" w:rsidRPr="003E5ED2" w:rsidRDefault="00D9669B" w:rsidP="00651DEC">
      <w:pPr>
        <w:pStyle w:val="ListParagraph"/>
        <w:numPr>
          <w:ilvl w:val="0"/>
          <w:numId w:val="32"/>
        </w:numPr>
        <w:jc w:val="both"/>
        <w:rPr>
          <w:rFonts w:ascii="Arial" w:hAnsi="Arial" w:cs="Arial"/>
          <w:sz w:val="22"/>
          <w:szCs w:val="22"/>
        </w:rPr>
      </w:pPr>
      <w:r w:rsidRPr="003E5ED2">
        <w:rPr>
          <w:rFonts w:ascii="Arial" w:hAnsi="Arial" w:cs="Arial"/>
          <w:sz w:val="22"/>
          <w:szCs w:val="22"/>
        </w:rPr>
        <w:t xml:space="preserve">potraživanja za prihode poslovanja u iznosu od </w:t>
      </w:r>
      <w:r w:rsidR="00CF14C8" w:rsidRPr="003E5ED2">
        <w:rPr>
          <w:rFonts w:ascii="Arial" w:hAnsi="Arial" w:cs="Arial"/>
          <w:sz w:val="22"/>
          <w:szCs w:val="22"/>
        </w:rPr>
        <w:t>14.293.565,99</w:t>
      </w:r>
      <w:r w:rsidRPr="003E5ED2">
        <w:rPr>
          <w:rFonts w:ascii="Arial" w:hAnsi="Arial" w:cs="Arial"/>
          <w:sz w:val="22"/>
          <w:szCs w:val="22"/>
        </w:rPr>
        <w:t xml:space="preserve"> eura, od čega se iznos od </w:t>
      </w:r>
      <w:r w:rsidR="00CF14C8" w:rsidRPr="003E5ED2">
        <w:rPr>
          <w:rFonts w:ascii="Arial" w:hAnsi="Arial" w:cs="Arial"/>
          <w:sz w:val="22"/>
          <w:szCs w:val="22"/>
        </w:rPr>
        <w:t>544.134,29</w:t>
      </w:r>
      <w:r w:rsidRPr="003E5ED2">
        <w:rPr>
          <w:rFonts w:ascii="Arial" w:hAnsi="Arial" w:cs="Arial"/>
          <w:sz w:val="22"/>
          <w:szCs w:val="22"/>
        </w:rPr>
        <w:t xml:space="preserve"> eura odnosi na kašnjenje u naplati od jedne do tri godine, iznos od </w:t>
      </w:r>
      <w:r w:rsidR="00CF14C8" w:rsidRPr="003E5ED2">
        <w:rPr>
          <w:rFonts w:ascii="Arial" w:hAnsi="Arial" w:cs="Arial"/>
          <w:sz w:val="22"/>
          <w:szCs w:val="22"/>
        </w:rPr>
        <w:t>7.905.152,20</w:t>
      </w:r>
      <w:r w:rsidRPr="003E5ED2">
        <w:rPr>
          <w:rFonts w:ascii="Arial" w:hAnsi="Arial" w:cs="Arial"/>
          <w:sz w:val="22"/>
          <w:szCs w:val="22"/>
        </w:rPr>
        <w:t xml:space="preserve"> eura na kašnjenje u naplati više </w:t>
      </w:r>
      <w:r w:rsidR="007B4EA6" w:rsidRPr="003E5ED2">
        <w:rPr>
          <w:rFonts w:ascii="Arial" w:hAnsi="Arial" w:cs="Arial"/>
          <w:sz w:val="22"/>
          <w:szCs w:val="22"/>
        </w:rPr>
        <w:t xml:space="preserve">od tri godine, a iznos od </w:t>
      </w:r>
      <w:r w:rsidR="00CF14C8" w:rsidRPr="003E5ED2">
        <w:rPr>
          <w:rFonts w:ascii="Arial" w:hAnsi="Arial" w:cs="Arial"/>
          <w:sz w:val="22"/>
          <w:szCs w:val="22"/>
        </w:rPr>
        <w:t>5.844.279,50</w:t>
      </w:r>
      <w:r w:rsidRPr="003E5ED2">
        <w:rPr>
          <w:rFonts w:ascii="Arial" w:hAnsi="Arial" w:cs="Arial"/>
          <w:sz w:val="22"/>
          <w:szCs w:val="22"/>
        </w:rPr>
        <w:t xml:space="preserve"> eura na potraživanja u stečajnom i/ili likvidacijskom postupku.</w:t>
      </w:r>
    </w:p>
    <w:p w:rsidR="007273CF" w:rsidRPr="003E5ED2" w:rsidRDefault="007273CF" w:rsidP="007273CF">
      <w:pPr>
        <w:pStyle w:val="ListParagraph"/>
        <w:jc w:val="both"/>
        <w:rPr>
          <w:rFonts w:ascii="Arial" w:hAnsi="Arial" w:cs="Arial"/>
          <w:sz w:val="22"/>
          <w:szCs w:val="22"/>
        </w:rPr>
      </w:pPr>
    </w:p>
    <w:p w:rsidR="00D9669B" w:rsidRPr="003E5ED2" w:rsidRDefault="00D9669B" w:rsidP="00651DEC">
      <w:pPr>
        <w:pStyle w:val="ListParagraph"/>
        <w:numPr>
          <w:ilvl w:val="0"/>
          <w:numId w:val="32"/>
        </w:numPr>
        <w:jc w:val="both"/>
        <w:rPr>
          <w:rFonts w:ascii="Arial" w:hAnsi="Arial" w:cs="Arial"/>
          <w:sz w:val="22"/>
          <w:szCs w:val="22"/>
        </w:rPr>
      </w:pPr>
      <w:r w:rsidRPr="003E5ED2">
        <w:rPr>
          <w:rFonts w:ascii="Arial" w:hAnsi="Arial" w:cs="Arial"/>
          <w:sz w:val="22"/>
          <w:szCs w:val="22"/>
        </w:rPr>
        <w:t xml:space="preserve">potraživanja od prodaje nefinancijske imovine u iznosu od </w:t>
      </w:r>
      <w:r w:rsidR="00CF14C8" w:rsidRPr="003E5ED2">
        <w:rPr>
          <w:rFonts w:ascii="Arial" w:hAnsi="Arial" w:cs="Arial"/>
          <w:sz w:val="22"/>
          <w:szCs w:val="22"/>
        </w:rPr>
        <w:t>363.491,31</w:t>
      </w:r>
      <w:r w:rsidRPr="003E5ED2">
        <w:rPr>
          <w:rFonts w:ascii="Arial" w:hAnsi="Arial" w:cs="Arial"/>
          <w:sz w:val="22"/>
          <w:szCs w:val="22"/>
        </w:rPr>
        <w:t xml:space="preserve"> eura, od čega se iznos od </w:t>
      </w:r>
      <w:r w:rsidR="00CF14C8" w:rsidRPr="003E5ED2">
        <w:rPr>
          <w:rFonts w:ascii="Arial" w:hAnsi="Arial" w:cs="Arial"/>
          <w:sz w:val="22"/>
          <w:szCs w:val="22"/>
        </w:rPr>
        <w:t>12.899,89</w:t>
      </w:r>
      <w:r w:rsidRPr="003E5ED2">
        <w:rPr>
          <w:rFonts w:ascii="Arial" w:hAnsi="Arial" w:cs="Arial"/>
          <w:sz w:val="22"/>
          <w:szCs w:val="22"/>
        </w:rPr>
        <w:t xml:space="preserve"> eura odnosi na kašnjenje u naplati od jedne do tri godine, iznos od </w:t>
      </w:r>
      <w:r w:rsidR="00CF14C8" w:rsidRPr="003E5ED2">
        <w:rPr>
          <w:rFonts w:ascii="Arial" w:hAnsi="Arial" w:cs="Arial"/>
          <w:sz w:val="22"/>
          <w:szCs w:val="22"/>
        </w:rPr>
        <w:t>350.591,42</w:t>
      </w:r>
      <w:r w:rsidRPr="003E5ED2">
        <w:rPr>
          <w:rFonts w:ascii="Arial" w:hAnsi="Arial" w:cs="Arial"/>
          <w:sz w:val="22"/>
          <w:szCs w:val="22"/>
        </w:rPr>
        <w:t xml:space="preserve"> eura na kašnjenje u naplati više od tri godine.</w:t>
      </w:r>
    </w:p>
    <w:p w:rsidR="00D9669B" w:rsidRPr="003E5ED2" w:rsidRDefault="00D9669B" w:rsidP="00D9669B">
      <w:pPr>
        <w:rPr>
          <w:rFonts w:eastAsiaTheme="minorHAnsi"/>
          <w:i/>
          <w:iCs/>
          <w:highlight w:val="yellow"/>
        </w:rPr>
      </w:pPr>
    </w:p>
    <w:p w:rsidR="00D41060" w:rsidRPr="003E5ED2" w:rsidRDefault="000E69DA" w:rsidP="000E69DA">
      <w:pPr>
        <w:shd w:val="clear" w:color="auto" w:fill="FFFFFF"/>
        <w:rPr>
          <w:rFonts w:ascii="Arial" w:hAnsi="Arial" w:cs="Arial"/>
          <w:sz w:val="22"/>
          <w:szCs w:val="22"/>
          <w:u w:val="single"/>
        </w:rPr>
      </w:pPr>
      <w:r w:rsidRPr="003E5ED2">
        <w:rPr>
          <w:rFonts w:ascii="Arial" w:hAnsi="Arial" w:cs="Arial"/>
          <w:sz w:val="22"/>
          <w:szCs w:val="22"/>
          <w:u w:val="single"/>
        </w:rPr>
        <w:t>OTPIS POTRAŽIVANJA</w:t>
      </w:r>
      <w:r w:rsidR="00884B37" w:rsidRPr="003E5ED2">
        <w:rPr>
          <w:rFonts w:ascii="Arial" w:hAnsi="Arial" w:cs="Arial"/>
          <w:sz w:val="22"/>
          <w:szCs w:val="22"/>
          <w:u w:val="single"/>
        </w:rPr>
        <w:t xml:space="preserve"> </w:t>
      </w:r>
    </w:p>
    <w:p w:rsidR="00236FEB" w:rsidRPr="003E5ED2" w:rsidRDefault="00236FEB" w:rsidP="002205E5">
      <w:pPr>
        <w:shd w:val="clear" w:color="auto" w:fill="FFFFFF"/>
        <w:rPr>
          <w:rFonts w:ascii="Arial" w:hAnsi="Arial" w:cs="Arial"/>
          <w:bCs/>
          <w:sz w:val="22"/>
          <w:szCs w:val="22"/>
          <w:lang w:eastAsia="en-US"/>
        </w:rPr>
      </w:pPr>
    </w:p>
    <w:p w:rsidR="004C7F38" w:rsidRPr="003E5ED2" w:rsidRDefault="00E70131" w:rsidP="00236FEB">
      <w:pPr>
        <w:shd w:val="clear" w:color="auto" w:fill="FFFFFF"/>
        <w:jc w:val="both"/>
        <w:rPr>
          <w:rFonts w:ascii="Arial" w:hAnsi="Arial" w:cs="Arial"/>
          <w:bCs/>
          <w:sz w:val="22"/>
          <w:szCs w:val="22"/>
          <w:lang w:eastAsia="en-US"/>
        </w:rPr>
      </w:pPr>
      <w:r w:rsidRPr="003E5ED2">
        <w:rPr>
          <w:rFonts w:ascii="Arial" w:hAnsi="Arial" w:cs="Arial"/>
          <w:bCs/>
          <w:sz w:val="22"/>
          <w:szCs w:val="22"/>
          <w:lang w:eastAsia="en-US"/>
        </w:rPr>
        <w:t>Za otpis potraživanja u poslovnim knjigama Grada Rijeke primjenjuju se, u skladu s važećim propisima, usvojeni opći kriteriji i uvjeti za otpis iz Upute o provođenju mjera na</w:t>
      </w:r>
      <w:r w:rsidR="0035625B" w:rsidRPr="003E5ED2">
        <w:rPr>
          <w:rFonts w:ascii="Arial" w:hAnsi="Arial" w:cs="Arial"/>
          <w:bCs/>
          <w:sz w:val="22"/>
          <w:szCs w:val="22"/>
          <w:lang w:eastAsia="en-US"/>
        </w:rPr>
        <w:t>plate prihoda Grada Rijeke</w:t>
      </w:r>
      <w:r w:rsidR="00976642" w:rsidRPr="003E5ED2">
        <w:rPr>
          <w:rFonts w:ascii="Arial" w:hAnsi="Arial" w:cs="Arial"/>
          <w:bCs/>
          <w:sz w:val="22"/>
          <w:szCs w:val="22"/>
          <w:lang w:eastAsia="en-US"/>
        </w:rPr>
        <w:t>,</w:t>
      </w:r>
      <w:r w:rsidR="0035625B" w:rsidRPr="003E5ED2">
        <w:rPr>
          <w:rFonts w:ascii="Arial" w:hAnsi="Arial" w:cs="Arial"/>
          <w:bCs/>
          <w:sz w:val="22"/>
          <w:szCs w:val="22"/>
          <w:lang w:eastAsia="en-US"/>
        </w:rPr>
        <w:t xml:space="preserve"> Klasa: 023-01/20-04/89-66; </w:t>
      </w:r>
      <w:proofErr w:type="spellStart"/>
      <w:r w:rsidR="0035625B" w:rsidRPr="003E5ED2">
        <w:rPr>
          <w:rFonts w:ascii="Arial" w:hAnsi="Arial" w:cs="Arial"/>
          <w:bCs/>
          <w:sz w:val="22"/>
          <w:szCs w:val="22"/>
          <w:lang w:eastAsia="en-US"/>
        </w:rPr>
        <w:t>Urbroj</w:t>
      </w:r>
      <w:proofErr w:type="spellEnd"/>
      <w:r w:rsidRPr="003E5ED2">
        <w:rPr>
          <w:rFonts w:ascii="Arial" w:hAnsi="Arial" w:cs="Arial"/>
          <w:bCs/>
          <w:sz w:val="22"/>
          <w:szCs w:val="22"/>
          <w:lang w:eastAsia="en-US"/>
        </w:rPr>
        <w:t>: 2170/01-15-00-20-1 od 14. rujna 2020.</w:t>
      </w:r>
      <w:r w:rsidR="00F31D39" w:rsidRPr="003E5ED2">
        <w:rPr>
          <w:rFonts w:ascii="Arial" w:hAnsi="Arial" w:cs="Arial"/>
          <w:bCs/>
          <w:sz w:val="22"/>
          <w:szCs w:val="22"/>
          <w:lang w:eastAsia="en-US"/>
        </w:rPr>
        <w:t xml:space="preserve"> godine</w:t>
      </w:r>
      <w:r w:rsidR="00FB036B" w:rsidRPr="003E5ED2">
        <w:rPr>
          <w:rFonts w:ascii="Arial" w:hAnsi="Arial" w:cs="Arial"/>
          <w:bCs/>
          <w:sz w:val="22"/>
          <w:szCs w:val="22"/>
          <w:lang w:eastAsia="en-US"/>
        </w:rPr>
        <w:t xml:space="preserve">. Prema članku 20. navedene </w:t>
      </w:r>
      <w:r w:rsidR="001D1A60" w:rsidRPr="003E5ED2">
        <w:rPr>
          <w:rFonts w:ascii="Arial" w:hAnsi="Arial" w:cs="Arial"/>
          <w:bCs/>
          <w:sz w:val="22"/>
          <w:szCs w:val="22"/>
          <w:lang w:eastAsia="en-US"/>
        </w:rPr>
        <w:t>U</w:t>
      </w:r>
      <w:r w:rsidR="00FB036B" w:rsidRPr="003E5ED2">
        <w:rPr>
          <w:rFonts w:ascii="Arial" w:hAnsi="Arial" w:cs="Arial"/>
          <w:bCs/>
          <w:sz w:val="22"/>
          <w:szCs w:val="22"/>
          <w:lang w:eastAsia="en-US"/>
        </w:rPr>
        <w:t>pute</w:t>
      </w:r>
      <w:r w:rsidR="0035625B" w:rsidRPr="003E5ED2">
        <w:rPr>
          <w:rFonts w:ascii="Arial" w:hAnsi="Arial" w:cs="Arial"/>
          <w:bCs/>
          <w:sz w:val="22"/>
          <w:szCs w:val="22"/>
          <w:lang w:eastAsia="en-US"/>
        </w:rPr>
        <w:t xml:space="preserve"> </w:t>
      </w:r>
      <w:r w:rsidR="00FB036B" w:rsidRPr="003E5ED2">
        <w:rPr>
          <w:rFonts w:ascii="Arial" w:hAnsi="Arial" w:cs="Arial"/>
          <w:bCs/>
          <w:sz w:val="22"/>
          <w:szCs w:val="22"/>
          <w:lang w:eastAsia="en-US"/>
        </w:rPr>
        <w:t>otpis potraživanja može se provesti</w:t>
      </w:r>
      <w:r w:rsidR="001D1A60" w:rsidRPr="003E5ED2">
        <w:rPr>
          <w:rFonts w:ascii="Arial" w:hAnsi="Arial" w:cs="Arial"/>
          <w:bCs/>
          <w:sz w:val="22"/>
          <w:szCs w:val="22"/>
          <w:lang w:eastAsia="en-US"/>
        </w:rPr>
        <w:t xml:space="preserve">: </w:t>
      </w:r>
      <w:r w:rsidR="004C7F38" w:rsidRPr="003E5ED2">
        <w:rPr>
          <w:rFonts w:ascii="Arial" w:hAnsi="Arial" w:cs="Arial"/>
          <w:bCs/>
          <w:sz w:val="22"/>
          <w:szCs w:val="22"/>
          <w:lang w:eastAsia="en-US"/>
        </w:rPr>
        <w:t xml:space="preserve">a) na zahtjev dužnika sukladno važećim propisima, b) u slučaju da je za dužnika pravnu osobu doneseno pravomoćno rješenje o brisanju iz odgovarajućeg registra, a dužnik nema pravnih slijednika, c) ako za dužnika postoji pravomoćno rješenje o sklopljenom stečajnom planu, </w:t>
      </w:r>
      <w:proofErr w:type="spellStart"/>
      <w:r w:rsidR="004C7F38" w:rsidRPr="003E5ED2">
        <w:rPr>
          <w:rFonts w:ascii="Arial" w:hAnsi="Arial" w:cs="Arial"/>
          <w:bCs/>
          <w:sz w:val="22"/>
          <w:szCs w:val="22"/>
          <w:lang w:eastAsia="en-US"/>
        </w:rPr>
        <w:t>predstečajnom</w:t>
      </w:r>
      <w:proofErr w:type="spellEnd"/>
      <w:r w:rsidR="004C7F38" w:rsidRPr="003E5ED2">
        <w:rPr>
          <w:rFonts w:ascii="Arial" w:hAnsi="Arial" w:cs="Arial"/>
          <w:bCs/>
          <w:sz w:val="22"/>
          <w:szCs w:val="22"/>
          <w:lang w:eastAsia="en-US"/>
        </w:rPr>
        <w:t xml:space="preserve"> sporazumu ili </w:t>
      </w:r>
      <w:proofErr w:type="spellStart"/>
      <w:r w:rsidR="004C7F38" w:rsidRPr="003E5ED2">
        <w:rPr>
          <w:rFonts w:ascii="Arial" w:hAnsi="Arial" w:cs="Arial"/>
          <w:bCs/>
          <w:sz w:val="22"/>
          <w:szCs w:val="22"/>
          <w:lang w:eastAsia="en-US"/>
        </w:rPr>
        <w:t>predstečajnoj</w:t>
      </w:r>
      <w:proofErr w:type="spellEnd"/>
      <w:r w:rsidR="004C7F38" w:rsidRPr="003E5ED2">
        <w:rPr>
          <w:rFonts w:ascii="Arial" w:hAnsi="Arial" w:cs="Arial"/>
          <w:bCs/>
          <w:sz w:val="22"/>
          <w:szCs w:val="22"/>
          <w:lang w:eastAsia="en-US"/>
        </w:rPr>
        <w:t xml:space="preserve"> nagodbi kojim je utvrđeno da se dug otpisuje, d) ako je sudskom ili </w:t>
      </w:r>
      <w:proofErr w:type="spellStart"/>
      <w:r w:rsidR="004C7F38" w:rsidRPr="003E5ED2">
        <w:rPr>
          <w:rFonts w:ascii="Arial" w:hAnsi="Arial" w:cs="Arial"/>
          <w:bCs/>
          <w:sz w:val="22"/>
          <w:szCs w:val="22"/>
          <w:lang w:eastAsia="en-US"/>
        </w:rPr>
        <w:t>izvansudskom</w:t>
      </w:r>
      <w:proofErr w:type="spellEnd"/>
      <w:r w:rsidR="004C7F38" w:rsidRPr="003E5ED2">
        <w:rPr>
          <w:rFonts w:ascii="Arial" w:hAnsi="Arial" w:cs="Arial"/>
          <w:bCs/>
          <w:sz w:val="22"/>
          <w:szCs w:val="22"/>
          <w:lang w:eastAsia="en-US"/>
        </w:rPr>
        <w:t xml:space="preserve"> nagodbom ili sporazumom s dužnikom utvrđeno da se dužniku dug otpisuje, e) ako je dužnik fizička osoba preminuo, a dug nije moguće naplatiti iz ostavine, f) u slučaju da je nastupila zastara prava na naplatu potraživanja sukladno važećim propisima, g) u drugim slučajevima sukladno važećim propisima</w:t>
      </w:r>
    </w:p>
    <w:p w:rsidR="00236FEB" w:rsidRPr="003E5ED2" w:rsidRDefault="00236FEB" w:rsidP="006D7CC4">
      <w:pPr>
        <w:ind w:right="140"/>
        <w:jc w:val="both"/>
        <w:rPr>
          <w:rFonts w:ascii="Arial" w:hAnsi="Arial" w:cs="Arial"/>
          <w:b/>
          <w:bCs/>
          <w:color w:val="FF0000"/>
          <w:sz w:val="22"/>
          <w:szCs w:val="22"/>
          <w:lang w:eastAsia="en-US"/>
        </w:rPr>
      </w:pPr>
    </w:p>
    <w:p w:rsidR="006D7CC4" w:rsidRPr="003E5ED2" w:rsidRDefault="007273FF" w:rsidP="006D7CC4">
      <w:pPr>
        <w:ind w:right="140"/>
        <w:jc w:val="both"/>
        <w:rPr>
          <w:rFonts w:ascii="Arial" w:hAnsi="Arial" w:cs="Arial"/>
          <w:bCs/>
          <w:sz w:val="22"/>
          <w:szCs w:val="22"/>
          <w:lang w:eastAsia="en-US"/>
        </w:rPr>
      </w:pPr>
      <w:r w:rsidRPr="003E5ED2">
        <w:rPr>
          <w:rFonts w:ascii="Arial" w:hAnsi="Arial" w:cs="Arial"/>
          <w:bCs/>
          <w:sz w:val="22"/>
          <w:szCs w:val="22"/>
          <w:lang w:eastAsia="en-US"/>
        </w:rPr>
        <w:t>Grad Rijeka je tijekom 2024</w:t>
      </w:r>
      <w:r w:rsidR="006D7CC4" w:rsidRPr="003E5ED2">
        <w:rPr>
          <w:rFonts w:ascii="Arial" w:hAnsi="Arial" w:cs="Arial"/>
          <w:bCs/>
          <w:sz w:val="22"/>
          <w:szCs w:val="22"/>
          <w:lang w:eastAsia="en-US"/>
        </w:rPr>
        <w:t>. god</w:t>
      </w:r>
      <w:r w:rsidR="00F732C9" w:rsidRPr="003E5ED2">
        <w:rPr>
          <w:rFonts w:ascii="Arial" w:hAnsi="Arial" w:cs="Arial"/>
          <w:bCs/>
          <w:sz w:val="22"/>
          <w:szCs w:val="22"/>
          <w:lang w:eastAsia="en-US"/>
        </w:rPr>
        <w:t xml:space="preserve">ine otpisao </w:t>
      </w:r>
      <w:r w:rsidRPr="003E5ED2">
        <w:rPr>
          <w:rFonts w:ascii="Arial" w:hAnsi="Arial" w:cs="Arial"/>
          <w:bCs/>
          <w:sz w:val="22"/>
          <w:szCs w:val="22"/>
          <w:lang w:eastAsia="en-US"/>
        </w:rPr>
        <w:t>903.633,74</w:t>
      </w:r>
      <w:r w:rsidR="00F732C9" w:rsidRPr="003E5ED2">
        <w:rPr>
          <w:rFonts w:ascii="Arial" w:hAnsi="Arial" w:cs="Arial"/>
          <w:bCs/>
          <w:sz w:val="22"/>
          <w:szCs w:val="22"/>
          <w:lang w:eastAsia="en-US"/>
        </w:rPr>
        <w:t xml:space="preserve"> eura</w:t>
      </w:r>
      <w:r w:rsidR="006D7CC4" w:rsidRPr="003E5ED2">
        <w:rPr>
          <w:rFonts w:ascii="Arial" w:hAnsi="Arial" w:cs="Arial"/>
          <w:bCs/>
          <w:sz w:val="22"/>
          <w:szCs w:val="22"/>
          <w:lang w:eastAsia="en-US"/>
        </w:rPr>
        <w:t xml:space="preserve"> potraživanja. Prema podacima analitičkog knjigov</w:t>
      </w:r>
      <w:r w:rsidR="00760703" w:rsidRPr="003E5ED2">
        <w:rPr>
          <w:rFonts w:ascii="Arial" w:hAnsi="Arial" w:cs="Arial"/>
          <w:bCs/>
          <w:sz w:val="22"/>
          <w:szCs w:val="22"/>
          <w:lang w:eastAsia="en-US"/>
        </w:rPr>
        <w:t xml:space="preserve">odstva otpisano je </w:t>
      </w:r>
      <w:r w:rsidRPr="003E5ED2">
        <w:rPr>
          <w:rFonts w:ascii="Arial" w:hAnsi="Arial" w:cs="Arial"/>
          <w:bCs/>
          <w:sz w:val="22"/>
          <w:szCs w:val="22"/>
          <w:lang w:eastAsia="en-US"/>
        </w:rPr>
        <w:t xml:space="preserve">86.880,43 </w:t>
      </w:r>
      <w:r w:rsidR="00760703" w:rsidRPr="003E5ED2">
        <w:rPr>
          <w:rFonts w:ascii="Arial" w:hAnsi="Arial" w:cs="Arial"/>
          <w:bCs/>
          <w:sz w:val="22"/>
          <w:szCs w:val="22"/>
          <w:lang w:eastAsia="en-US"/>
        </w:rPr>
        <w:t>eura</w:t>
      </w:r>
      <w:r w:rsidR="006D7CC4" w:rsidRPr="003E5ED2">
        <w:rPr>
          <w:rFonts w:ascii="Arial" w:hAnsi="Arial" w:cs="Arial"/>
          <w:bCs/>
          <w:sz w:val="22"/>
          <w:szCs w:val="22"/>
          <w:lang w:eastAsia="en-US"/>
        </w:rPr>
        <w:t xml:space="preserve"> potraživanja za po</w:t>
      </w:r>
      <w:r w:rsidR="00760703" w:rsidRPr="003E5ED2">
        <w:rPr>
          <w:rFonts w:ascii="Arial" w:hAnsi="Arial" w:cs="Arial"/>
          <w:bCs/>
          <w:sz w:val="22"/>
          <w:szCs w:val="22"/>
          <w:lang w:eastAsia="en-US"/>
        </w:rPr>
        <w:t xml:space="preserve">reze (račun 161), </w:t>
      </w:r>
      <w:r w:rsidRPr="003E5ED2">
        <w:rPr>
          <w:rFonts w:ascii="Arial" w:hAnsi="Arial" w:cs="Arial"/>
          <w:bCs/>
          <w:sz w:val="22"/>
          <w:szCs w:val="22"/>
          <w:lang w:eastAsia="en-US"/>
        </w:rPr>
        <w:t>418.533,15</w:t>
      </w:r>
      <w:r w:rsidR="00760703" w:rsidRPr="003E5ED2">
        <w:rPr>
          <w:rFonts w:ascii="Arial" w:hAnsi="Arial" w:cs="Arial"/>
          <w:bCs/>
          <w:sz w:val="22"/>
          <w:szCs w:val="22"/>
          <w:lang w:eastAsia="en-US"/>
        </w:rPr>
        <w:t xml:space="preserve"> eura</w:t>
      </w:r>
      <w:r w:rsidR="006D7CC4" w:rsidRPr="003E5ED2">
        <w:rPr>
          <w:rFonts w:ascii="Arial" w:hAnsi="Arial" w:cs="Arial"/>
          <w:bCs/>
          <w:sz w:val="22"/>
          <w:szCs w:val="22"/>
          <w:lang w:eastAsia="en-US"/>
        </w:rPr>
        <w:t xml:space="preserve"> potraživanja za prihode od imovine (račun 164, zakup, najamnina, kamata, spomenička re</w:t>
      </w:r>
      <w:r w:rsidRPr="003E5ED2">
        <w:rPr>
          <w:rFonts w:ascii="Arial" w:hAnsi="Arial" w:cs="Arial"/>
          <w:bCs/>
          <w:sz w:val="22"/>
          <w:szCs w:val="22"/>
          <w:lang w:eastAsia="en-US"/>
        </w:rPr>
        <w:t>nta),</w:t>
      </w:r>
      <w:r w:rsidR="00760703" w:rsidRPr="003E5ED2">
        <w:rPr>
          <w:rFonts w:ascii="Arial" w:hAnsi="Arial" w:cs="Arial"/>
          <w:bCs/>
          <w:sz w:val="22"/>
          <w:szCs w:val="22"/>
          <w:lang w:eastAsia="en-US"/>
        </w:rPr>
        <w:t xml:space="preserve"> </w:t>
      </w:r>
      <w:r w:rsidRPr="003E5ED2">
        <w:rPr>
          <w:rFonts w:ascii="Arial" w:hAnsi="Arial" w:cs="Arial"/>
          <w:bCs/>
          <w:sz w:val="22"/>
          <w:szCs w:val="22"/>
          <w:lang w:eastAsia="en-US"/>
        </w:rPr>
        <w:t>252.259,22</w:t>
      </w:r>
      <w:r w:rsidR="00760703" w:rsidRPr="003E5ED2">
        <w:rPr>
          <w:rFonts w:ascii="Arial" w:hAnsi="Arial" w:cs="Arial"/>
          <w:bCs/>
          <w:sz w:val="22"/>
          <w:szCs w:val="22"/>
          <w:lang w:eastAsia="en-US"/>
        </w:rPr>
        <w:t xml:space="preserve"> eura</w:t>
      </w:r>
      <w:r w:rsidR="00E54A55" w:rsidRPr="003E5ED2">
        <w:rPr>
          <w:rFonts w:ascii="Arial" w:hAnsi="Arial" w:cs="Arial"/>
          <w:bCs/>
          <w:sz w:val="22"/>
          <w:szCs w:val="22"/>
          <w:lang w:eastAsia="en-US"/>
        </w:rPr>
        <w:t xml:space="preserve"> </w:t>
      </w:r>
      <w:r w:rsidR="006D7CC4" w:rsidRPr="003E5ED2">
        <w:rPr>
          <w:rFonts w:ascii="Arial" w:hAnsi="Arial" w:cs="Arial"/>
          <w:bCs/>
          <w:sz w:val="22"/>
          <w:szCs w:val="22"/>
          <w:lang w:eastAsia="en-US"/>
        </w:rPr>
        <w:t>potraživanja za upravne i administrativne pristojbe, pristojbe po posebnim propisima i naknade (račun 165, komunalna naknada, kom</w:t>
      </w:r>
      <w:r w:rsidRPr="003E5ED2">
        <w:rPr>
          <w:rFonts w:ascii="Arial" w:hAnsi="Arial" w:cs="Arial"/>
          <w:bCs/>
          <w:sz w:val="22"/>
          <w:szCs w:val="22"/>
          <w:lang w:eastAsia="en-US"/>
        </w:rPr>
        <w:t>unalni doprinos),</w:t>
      </w:r>
      <w:r w:rsidR="00760703" w:rsidRPr="003E5ED2">
        <w:rPr>
          <w:rFonts w:ascii="Arial" w:hAnsi="Arial" w:cs="Arial"/>
          <w:bCs/>
          <w:sz w:val="22"/>
          <w:szCs w:val="22"/>
          <w:lang w:eastAsia="en-US"/>
        </w:rPr>
        <w:t xml:space="preserve"> </w:t>
      </w:r>
      <w:r w:rsidRPr="003E5ED2">
        <w:rPr>
          <w:rFonts w:ascii="Arial" w:hAnsi="Arial" w:cs="Arial"/>
          <w:bCs/>
          <w:sz w:val="22"/>
          <w:szCs w:val="22"/>
          <w:lang w:eastAsia="en-US"/>
        </w:rPr>
        <w:t>145.934,43</w:t>
      </w:r>
      <w:r w:rsidR="00760703" w:rsidRPr="003E5ED2">
        <w:rPr>
          <w:rFonts w:ascii="Arial" w:hAnsi="Arial" w:cs="Arial"/>
          <w:bCs/>
          <w:sz w:val="22"/>
          <w:szCs w:val="22"/>
          <w:lang w:eastAsia="en-US"/>
        </w:rPr>
        <w:t xml:space="preserve"> eura</w:t>
      </w:r>
      <w:r w:rsidR="006D7CC4" w:rsidRPr="003E5ED2">
        <w:rPr>
          <w:rFonts w:ascii="Arial" w:hAnsi="Arial" w:cs="Arial"/>
          <w:bCs/>
          <w:sz w:val="22"/>
          <w:szCs w:val="22"/>
          <w:lang w:eastAsia="en-US"/>
        </w:rPr>
        <w:t xml:space="preserve"> potraživanja za kazne i upravne mjere te ostale prihode (račun 168, refundacije troškova, prekršajni nalozi, </w:t>
      </w:r>
      <w:proofErr w:type="spellStart"/>
      <w:r w:rsidR="006D7CC4" w:rsidRPr="003E5ED2">
        <w:rPr>
          <w:rFonts w:ascii="Arial" w:hAnsi="Arial" w:cs="Arial"/>
          <w:bCs/>
          <w:sz w:val="22"/>
          <w:szCs w:val="22"/>
          <w:lang w:eastAsia="en-US"/>
        </w:rPr>
        <w:t>pr</w:t>
      </w:r>
      <w:r w:rsidRPr="003E5ED2">
        <w:rPr>
          <w:rFonts w:ascii="Arial" w:hAnsi="Arial" w:cs="Arial"/>
          <w:bCs/>
          <w:sz w:val="22"/>
          <w:szCs w:val="22"/>
          <w:lang w:eastAsia="en-US"/>
        </w:rPr>
        <w:t>edstečajne</w:t>
      </w:r>
      <w:proofErr w:type="spellEnd"/>
      <w:r w:rsidRPr="003E5ED2">
        <w:rPr>
          <w:rFonts w:ascii="Arial" w:hAnsi="Arial" w:cs="Arial"/>
          <w:bCs/>
          <w:sz w:val="22"/>
          <w:szCs w:val="22"/>
          <w:lang w:eastAsia="en-US"/>
        </w:rPr>
        <w:t xml:space="preserve"> nagodbe),</w:t>
      </w:r>
      <w:r w:rsidR="00E54A55" w:rsidRPr="003E5ED2">
        <w:rPr>
          <w:rFonts w:ascii="Arial" w:hAnsi="Arial" w:cs="Arial"/>
          <w:bCs/>
          <w:sz w:val="22"/>
          <w:szCs w:val="22"/>
          <w:lang w:eastAsia="en-US"/>
        </w:rPr>
        <w:t xml:space="preserve"> </w:t>
      </w:r>
      <w:r w:rsidRPr="003E5ED2">
        <w:rPr>
          <w:rFonts w:ascii="Arial" w:hAnsi="Arial" w:cs="Arial"/>
          <w:bCs/>
          <w:sz w:val="22"/>
          <w:szCs w:val="22"/>
          <w:lang w:eastAsia="en-US"/>
        </w:rPr>
        <w:t>0,43</w:t>
      </w:r>
      <w:r w:rsidR="00760703" w:rsidRPr="003E5ED2">
        <w:rPr>
          <w:rFonts w:ascii="Arial" w:hAnsi="Arial" w:cs="Arial"/>
          <w:bCs/>
          <w:sz w:val="22"/>
          <w:szCs w:val="22"/>
          <w:lang w:eastAsia="en-US"/>
        </w:rPr>
        <w:t xml:space="preserve"> eura</w:t>
      </w:r>
      <w:r w:rsidR="006D7CC4" w:rsidRPr="003E5ED2">
        <w:rPr>
          <w:rFonts w:ascii="Arial" w:hAnsi="Arial" w:cs="Arial"/>
          <w:bCs/>
          <w:sz w:val="22"/>
          <w:szCs w:val="22"/>
          <w:lang w:eastAsia="en-US"/>
        </w:rPr>
        <w:t xml:space="preserve"> za potraživanja od prodaje </w:t>
      </w:r>
      <w:proofErr w:type="spellStart"/>
      <w:r w:rsidRPr="003E5ED2">
        <w:rPr>
          <w:rFonts w:ascii="Arial" w:hAnsi="Arial" w:cs="Arial"/>
          <w:bCs/>
          <w:sz w:val="22"/>
          <w:szCs w:val="22"/>
          <w:lang w:eastAsia="en-US"/>
        </w:rPr>
        <w:t>ne</w:t>
      </w:r>
      <w:r w:rsidR="006D7CC4" w:rsidRPr="003E5ED2">
        <w:rPr>
          <w:rFonts w:ascii="Arial" w:hAnsi="Arial" w:cs="Arial"/>
          <w:bCs/>
          <w:sz w:val="22"/>
          <w:szCs w:val="22"/>
          <w:lang w:eastAsia="en-US"/>
        </w:rPr>
        <w:t>proizvede</w:t>
      </w:r>
      <w:r w:rsidRPr="003E5ED2">
        <w:rPr>
          <w:rFonts w:ascii="Arial" w:hAnsi="Arial" w:cs="Arial"/>
          <w:bCs/>
          <w:sz w:val="22"/>
          <w:szCs w:val="22"/>
          <w:lang w:eastAsia="en-US"/>
        </w:rPr>
        <w:t>ne</w:t>
      </w:r>
      <w:proofErr w:type="spellEnd"/>
      <w:r w:rsidRPr="003E5ED2">
        <w:rPr>
          <w:rFonts w:ascii="Arial" w:hAnsi="Arial" w:cs="Arial"/>
          <w:bCs/>
          <w:sz w:val="22"/>
          <w:szCs w:val="22"/>
          <w:lang w:eastAsia="en-US"/>
        </w:rPr>
        <w:t xml:space="preserve"> dugotrajne imovine (račun 171, </w:t>
      </w:r>
      <w:r w:rsidR="0044132F" w:rsidRPr="003E5ED2">
        <w:rPr>
          <w:rFonts w:ascii="Arial" w:hAnsi="Arial" w:cs="Arial"/>
          <w:bCs/>
          <w:sz w:val="22"/>
          <w:szCs w:val="22"/>
          <w:lang w:eastAsia="en-US"/>
        </w:rPr>
        <w:t xml:space="preserve">prodaja </w:t>
      </w:r>
      <w:r w:rsidRPr="003E5ED2">
        <w:rPr>
          <w:rFonts w:ascii="Arial" w:hAnsi="Arial" w:cs="Arial"/>
          <w:bCs/>
          <w:sz w:val="22"/>
          <w:szCs w:val="22"/>
          <w:lang w:eastAsia="en-US"/>
        </w:rPr>
        <w:t>zemljišta) i 26,08 eura za potraživanja od prodaje proizvedene dugotrajne imovine (račun 172,</w:t>
      </w:r>
      <w:r w:rsidR="009D3882" w:rsidRPr="003E5ED2">
        <w:rPr>
          <w:rFonts w:ascii="Arial" w:hAnsi="Arial" w:cs="Arial"/>
          <w:bCs/>
          <w:sz w:val="22"/>
          <w:szCs w:val="22"/>
          <w:lang w:eastAsia="en-US"/>
        </w:rPr>
        <w:t xml:space="preserve"> </w:t>
      </w:r>
      <w:r w:rsidRPr="003E5ED2">
        <w:rPr>
          <w:rFonts w:ascii="Arial" w:hAnsi="Arial" w:cs="Arial"/>
          <w:bCs/>
          <w:sz w:val="22"/>
          <w:szCs w:val="22"/>
          <w:lang w:eastAsia="en-US"/>
        </w:rPr>
        <w:t>prodaja stanova).</w:t>
      </w:r>
      <w:r w:rsidR="006D7CC4" w:rsidRPr="003E5ED2">
        <w:rPr>
          <w:rFonts w:ascii="Arial" w:hAnsi="Arial" w:cs="Arial"/>
          <w:bCs/>
          <w:sz w:val="22"/>
          <w:szCs w:val="22"/>
          <w:lang w:eastAsia="en-US"/>
        </w:rPr>
        <w:t xml:space="preserve"> </w:t>
      </w:r>
    </w:p>
    <w:p w:rsidR="006D7CC4" w:rsidRPr="003E5ED2" w:rsidRDefault="006D7CC4" w:rsidP="006D7CC4">
      <w:pPr>
        <w:ind w:right="140"/>
        <w:jc w:val="both"/>
        <w:rPr>
          <w:rFonts w:ascii="Arial" w:hAnsi="Arial" w:cs="Arial"/>
          <w:bCs/>
          <w:sz w:val="22"/>
          <w:szCs w:val="22"/>
          <w:lang w:eastAsia="en-US"/>
        </w:rPr>
      </w:pPr>
      <w:r w:rsidRPr="003E5ED2">
        <w:rPr>
          <w:rFonts w:ascii="Arial" w:hAnsi="Arial" w:cs="Arial"/>
          <w:bCs/>
          <w:sz w:val="22"/>
          <w:szCs w:val="22"/>
          <w:lang w:eastAsia="en-US"/>
        </w:rPr>
        <w:t>Promatrajući samo glavne skupine, sveu</w:t>
      </w:r>
      <w:r w:rsidR="00760703" w:rsidRPr="003E5ED2">
        <w:rPr>
          <w:rFonts w:ascii="Arial" w:hAnsi="Arial" w:cs="Arial"/>
          <w:bCs/>
          <w:sz w:val="22"/>
          <w:szCs w:val="22"/>
          <w:lang w:eastAsia="en-US"/>
        </w:rPr>
        <w:t xml:space="preserve">kupno je otpisano </w:t>
      </w:r>
      <w:r w:rsidR="007273FF" w:rsidRPr="003E5ED2">
        <w:rPr>
          <w:rFonts w:ascii="Arial" w:hAnsi="Arial" w:cs="Arial"/>
          <w:bCs/>
          <w:sz w:val="22"/>
          <w:szCs w:val="22"/>
          <w:lang w:eastAsia="en-US"/>
        </w:rPr>
        <w:t>903.607,23</w:t>
      </w:r>
      <w:r w:rsidR="00760703" w:rsidRPr="003E5ED2">
        <w:rPr>
          <w:rFonts w:ascii="Arial" w:hAnsi="Arial" w:cs="Arial"/>
          <w:bCs/>
          <w:sz w:val="22"/>
          <w:szCs w:val="22"/>
          <w:lang w:eastAsia="en-US"/>
        </w:rPr>
        <w:t xml:space="preserve"> eura</w:t>
      </w:r>
      <w:r w:rsidRPr="003E5ED2">
        <w:rPr>
          <w:rFonts w:ascii="Arial" w:hAnsi="Arial" w:cs="Arial"/>
          <w:bCs/>
          <w:sz w:val="22"/>
          <w:szCs w:val="22"/>
          <w:lang w:eastAsia="en-US"/>
        </w:rPr>
        <w:t xml:space="preserve"> potraživanja za prihode poslovanja </w:t>
      </w:r>
      <w:r w:rsidR="00760703" w:rsidRPr="003E5ED2">
        <w:rPr>
          <w:rFonts w:ascii="Arial" w:hAnsi="Arial" w:cs="Arial"/>
          <w:bCs/>
          <w:sz w:val="22"/>
          <w:szCs w:val="22"/>
          <w:lang w:eastAsia="en-US"/>
        </w:rPr>
        <w:t xml:space="preserve">(skupina računa 16) i </w:t>
      </w:r>
      <w:r w:rsidR="007273FF" w:rsidRPr="003E5ED2">
        <w:rPr>
          <w:rFonts w:ascii="Arial" w:hAnsi="Arial" w:cs="Arial"/>
          <w:bCs/>
          <w:sz w:val="22"/>
          <w:szCs w:val="22"/>
          <w:lang w:eastAsia="en-US"/>
        </w:rPr>
        <w:t>26,51</w:t>
      </w:r>
      <w:r w:rsidR="00760703" w:rsidRPr="003E5ED2">
        <w:rPr>
          <w:rFonts w:ascii="Arial" w:hAnsi="Arial" w:cs="Arial"/>
          <w:bCs/>
          <w:sz w:val="22"/>
          <w:szCs w:val="22"/>
          <w:lang w:eastAsia="en-US"/>
        </w:rPr>
        <w:t xml:space="preserve"> eura</w:t>
      </w:r>
      <w:r w:rsidRPr="003E5ED2">
        <w:rPr>
          <w:rFonts w:ascii="Arial" w:hAnsi="Arial" w:cs="Arial"/>
          <w:bCs/>
          <w:sz w:val="22"/>
          <w:szCs w:val="22"/>
          <w:lang w:eastAsia="en-US"/>
        </w:rPr>
        <w:t xml:space="preserve"> potraživanja od prodaje nefinancijske imovine (skupina račun 17).</w:t>
      </w:r>
    </w:p>
    <w:p w:rsidR="00ED062F" w:rsidRPr="003E5ED2" w:rsidRDefault="00ED062F" w:rsidP="000E69DA">
      <w:pPr>
        <w:jc w:val="both"/>
        <w:rPr>
          <w:rFonts w:ascii="Arial" w:hAnsi="Arial" w:cs="Arial"/>
          <w:b/>
          <w:color w:val="000000" w:themeColor="text1"/>
          <w:sz w:val="22"/>
          <w:szCs w:val="22"/>
        </w:rPr>
      </w:pPr>
    </w:p>
    <w:p w:rsidR="00760703" w:rsidRPr="003E5ED2" w:rsidRDefault="00760703" w:rsidP="000E69DA">
      <w:pPr>
        <w:jc w:val="both"/>
        <w:rPr>
          <w:rFonts w:ascii="Arial" w:hAnsi="Arial" w:cs="Arial"/>
          <w:b/>
          <w:color w:val="000000" w:themeColor="text1"/>
          <w:sz w:val="22"/>
          <w:szCs w:val="22"/>
        </w:rPr>
      </w:pPr>
    </w:p>
    <w:p w:rsidR="000E69DA" w:rsidRPr="003E5ED2" w:rsidRDefault="006B5F44" w:rsidP="000E69DA">
      <w:pPr>
        <w:jc w:val="both"/>
        <w:rPr>
          <w:rFonts w:ascii="Arial" w:hAnsi="Arial" w:cs="Arial"/>
          <w:b/>
          <w:color w:val="FF0000"/>
          <w:sz w:val="22"/>
          <w:szCs w:val="22"/>
        </w:rPr>
      </w:pPr>
      <w:r w:rsidRPr="003E5ED2">
        <w:rPr>
          <w:rFonts w:ascii="Arial" w:hAnsi="Arial" w:cs="Arial"/>
          <w:b/>
          <w:color w:val="000000" w:themeColor="text1"/>
          <w:sz w:val="22"/>
          <w:szCs w:val="22"/>
        </w:rPr>
        <w:t xml:space="preserve">Bilješka broj 4 - </w:t>
      </w:r>
      <w:r w:rsidR="00BA1EFA" w:rsidRPr="003E5ED2">
        <w:rPr>
          <w:rFonts w:ascii="Arial" w:hAnsi="Arial" w:cs="Arial"/>
          <w:b/>
          <w:color w:val="000000" w:themeColor="text1"/>
          <w:sz w:val="22"/>
          <w:szCs w:val="22"/>
        </w:rPr>
        <w:t>2</w:t>
      </w:r>
      <w:r w:rsidR="000E69DA" w:rsidRPr="003E5ED2">
        <w:rPr>
          <w:rFonts w:ascii="Arial" w:hAnsi="Arial" w:cs="Arial"/>
          <w:b/>
          <w:color w:val="000000" w:themeColor="text1"/>
          <w:sz w:val="22"/>
          <w:szCs w:val="22"/>
        </w:rPr>
        <w:t xml:space="preserve">  OBVEZE</w:t>
      </w:r>
      <w:r w:rsidR="009015D8" w:rsidRPr="003E5ED2">
        <w:rPr>
          <w:rFonts w:ascii="Arial" w:hAnsi="Arial" w:cs="Arial"/>
          <w:b/>
          <w:color w:val="000000" w:themeColor="text1"/>
          <w:sz w:val="22"/>
          <w:szCs w:val="22"/>
        </w:rPr>
        <w:t xml:space="preserve"> </w:t>
      </w:r>
    </w:p>
    <w:p w:rsidR="0092651A" w:rsidRPr="003E5ED2" w:rsidRDefault="0092651A" w:rsidP="0092651A">
      <w:pPr>
        <w:jc w:val="both"/>
        <w:rPr>
          <w:rFonts w:ascii="Arial" w:hAnsi="Arial" w:cs="Arial"/>
          <w:sz w:val="22"/>
          <w:szCs w:val="22"/>
          <w:highlight w:val="yellow"/>
        </w:rPr>
      </w:pPr>
    </w:p>
    <w:p w:rsidR="00504F9C" w:rsidRPr="003E5ED2" w:rsidRDefault="0092651A" w:rsidP="00ED34A8">
      <w:pPr>
        <w:jc w:val="both"/>
        <w:rPr>
          <w:rFonts w:ascii="Arial" w:hAnsi="Arial" w:cs="Arial"/>
          <w:sz w:val="22"/>
          <w:szCs w:val="22"/>
        </w:rPr>
      </w:pPr>
      <w:r w:rsidRPr="003E5ED2">
        <w:rPr>
          <w:rFonts w:ascii="Arial" w:hAnsi="Arial" w:cs="Arial"/>
          <w:sz w:val="22"/>
          <w:szCs w:val="22"/>
        </w:rPr>
        <w:t xml:space="preserve">Stanje </w:t>
      </w:r>
      <w:r w:rsidR="00B00DA1">
        <w:rPr>
          <w:rFonts w:ascii="Arial" w:hAnsi="Arial" w:cs="Arial"/>
          <w:sz w:val="22"/>
          <w:szCs w:val="22"/>
        </w:rPr>
        <w:t xml:space="preserve">ukupnih </w:t>
      </w:r>
      <w:r w:rsidRPr="003E5ED2">
        <w:rPr>
          <w:rFonts w:ascii="Arial" w:hAnsi="Arial" w:cs="Arial"/>
          <w:sz w:val="22"/>
          <w:szCs w:val="22"/>
        </w:rPr>
        <w:t xml:space="preserve">obveza na kraju izvještajnog razdoblja iznosi </w:t>
      </w:r>
      <w:r w:rsidR="00160994" w:rsidRPr="003E5ED2">
        <w:rPr>
          <w:rFonts w:ascii="Arial" w:hAnsi="Arial" w:cs="Arial"/>
          <w:sz w:val="22"/>
          <w:szCs w:val="22"/>
        </w:rPr>
        <w:t>57.468.386,67</w:t>
      </w:r>
      <w:r w:rsidR="008C7702" w:rsidRPr="003E5ED2">
        <w:rPr>
          <w:rFonts w:ascii="Arial" w:hAnsi="Arial" w:cs="Arial"/>
          <w:sz w:val="22"/>
          <w:szCs w:val="22"/>
        </w:rPr>
        <w:t xml:space="preserve"> eura</w:t>
      </w:r>
      <w:r w:rsidR="00596C59" w:rsidRPr="003E5ED2">
        <w:rPr>
          <w:rFonts w:ascii="Arial" w:hAnsi="Arial" w:cs="Arial"/>
          <w:sz w:val="22"/>
          <w:szCs w:val="22"/>
        </w:rPr>
        <w:t xml:space="preserve"> (zajedno sa stanjem na skupini 29)</w:t>
      </w:r>
      <w:r w:rsidR="00524534" w:rsidRPr="003E5ED2">
        <w:rPr>
          <w:rFonts w:ascii="Arial" w:hAnsi="Arial" w:cs="Arial"/>
          <w:sz w:val="22"/>
          <w:szCs w:val="22"/>
        </w:rPr>
        <w:t>.</w:t>
      </w:r>
      <w:r w:rsidR="008C7702" w:rsidRPr="003E5ED2">
        <w:rPr>
          <w:rFonts w:ascii="Arial" w:hAnsi="Arial" w:cs="Arial"/>
          <w:sz w:val="22"/>
          <w:szCs w:val="22"/>
        </w:rPr>
        <w:t xml:space="preserve"> </w:t>
      </w:r>
      <w:r w:rsidR="00524534" w:rsidRPr="003E5ED2">
        <w:rPr>
          <w:rFonts w:ascii="Arial" w:hAnsi="Arial" w:cs="Arial"/>
          <w:sz w:val="22"/>
          <w:szCs w:val="22"/>
        </w:rPr>
        <w:t>D</w:t>
      </w:r>
      <w:r w:rsidRPr="003E5ED2">
        <w:rPr>
          <w:rFonts w:ascii="Arial" w:hAnsi="Arial" w:cs="Arial"/>
          <w:sz w:val="22"/>
          <w:szCs w:val="22"/>
        </w:rPr>
        <w:t>ospjel</w:t>
      </w:r>
      <w:r w:rsidR="00524534" w:rsidRPr="003E5ED2">
        <w:rPr>
          <w:rFonts w:ascii="Arial" w:hAnsi="Arial" w:cs="Arial"/>
          <w:sz w:val="22"/>
          <w:szCs w:val="22"/>
        </w:rPr>
        <w:t>e</w:t>
      </w:r>
      <w:r w:rsidRPr="003E5ED2">
        <w:rPr>
          <w:rFonts w:ascii="Arial" w:hAnsi="Arial" w:cs="Arial"/>
          <w:sz w:val="22"/>
          <w:szCs w:val="22"/>
        </w:rPr>
        <w:t xml:space="preserve"> obvez</w:t>
      </w:r>
      <w:r w:rsidR="00524534" w:rsidRPr="003E5ED2">
        <w:rPr>
          <w:rFonts w:ascii="Arial" w:hAnsi="Arial" w:cs="Arial"/>
          <w:sz w:val="22"/>
          <w:szCs w:val="22"/>
        </w:rPr>
        <w:t>e</w:t>
      </w:r>
      <w:r w:rsidR="00EC5B23" w:rsidRPr="003E5ED2">
        <w:rPr>
          <w:rFonts w:ascii="Arial" w:hAnsi="Arial" w:cs="Arial"/>
          <w:sz w:val="22"/>
          <w:szCs w:val="22"/>
        </w:rPr>
        <w:t xml:space="preserve"> po skupinama konta 23 do 26 </w:t>
      </w:r>
      <w:r w:rsidRPr="003E5ED2">
        <w:rPr>
          <w:rFonts w:ascii="Arial" w:hAnsi="Arial" w:cs="Arial"/>
          <w:sz w:val="22"/>
          <w:szCs w:val="22"/>
        </w:rPr>
        <w:t>iznos</w:t>
      </w:r>
      <w:r w:rsidR="00524534" w:rsidRPr="003E5ED2">
        <w:rPr>
          <w:rFonts w:ascii="Arial" w:hAnsi="Arial" w:cs="Arial"/>
          <w:sz w:val="22"/>
          <w:szCs w:val="22"/>
        </w:rPr>
        <w:t>e</w:t>
      </w:r>
      <w:r w:rsidRPr="003E5ED2">
        <w:rPr>
          <w:rFonts w:ascii="Arial" w:hAnsi="Arial" w:cs="Arial"/>
          <w:sz w:val="22"/>
          <w:szCs w:val="22"/>
        </w:rPr>
        <w:t xml:space="preserve"> </w:t>
      </w:r>
      <w:r w:rsidR="008D3B70" w:rsidRPr="003E5ED2">
        <w:rPr>
          <w:rFonts w:ascii="Arial" w:hAnsi="Arial" w:cs="Arial"/>
          <w:bCs/>
          <w:sz w:val="22"/>
          <w:szCs w:val="22"/>
        </w:rPr>
        <w:t xml:space="preserve">4.040.532,70 </w:t>
      </w:r>
      <w:r w:rsidRPr="003E5ED2">
        <w:rPr>
          <w:rFonts w:ascii="Arial" w:hAnsi="Arial" w:cs="Arial"/>
          <w:noProof/>
          <w:sz w:val="22"/>
          <w:szCs w:val="22"/>
        </w:rPr>
        <w:t>eura</w:t>
      </w:r>
      <w:r w:rsidR="00B15105" w:rsidRPr="003E5ED2">
        <w:rPr>
          <w:rFonts w:ascii="Arial" w:hAnsi="Arial" w:cs="Arial"/>
          <w:noProof/>
          <w:sz w:val="22"/>
          <w:szCs w:val="22"/>
        </w:rPr>
        <w:t xml:space="preserve"> (</w:t>
      </w:r>
      <w:r w:rsidR="008D3B70" w:rsidRPr="003E5ED2">
        <w:rPr>
          <w:rFonts w:ascii="Arial" w:hAnsi="Arial" w:cs="Arial"/>
          <w:noProof/>
          <w:sz w:val="22"/>
          <w:szCs w:val="22"/>
        </w:rPr>
        <w:t>7</w:t>
      </w:r>
      <w:r w:rsidR="00B15105" w:rsidRPr="003E5ED2">
        <w:rPr>
          <w:rFonts w:ascii="Arial" w:hAnsi="Arial" w:cs="Arial"/>
          <w:noProof/>
          <w:sz w:val="22"/>
          <w:szCs w:val="22"/>
        </w:rPr>
        <w:t>%)</w:t>
      </w:r>
      <w:r w:rsidRPr="003E5ED2">
        <w:rPr>
          <w:rFonts w:ascii="Arial" w:hAnsi="Arial" w:cs="Arial"/>
          <w:sz w:val="22"/>
          <w:szCs w:val="22"/>
        </w:rPr>
        <w:t>,</w:t>
      </w:r>
      <w:r w:rsidRPr="003E5ED2">
        <w:rPr>
          <w:rFonts w:ascii="Arial" w:hAnsi="Arial" w:cs="Arial"/>
          <w:bCs/>
          <w:sz w:val="22"/>
          <w:szCs w:val="22"/>
        </w:rPr>
        <w:t xml:space="preserve"> </w:t>
      </w:r>
      <w:r w:rsidRPr="003E5ED2">
        <w:rPr>
          <w:rFonts w:ascii="Arial" w:hAnsi="Arial" w:cs="Arial"/>
          <w:sz w:val="22"/>
          <w:szCs w:val="22"/>
        </w:rPr>
        <w:t>nedospjel</w:t>
      </w:r>
      <w:r w:rsidR="00504F9C" w:rsidRPr="003E5ED2">
        <w:rPr>
          <w:rFonts w:ascii="Arial" w:hAnsi="Arial" w:cs="Arial"/>
          <w:sz w:val="22"/>
          <w:szCs w:val="22"/>
        </w:rPr>
        <w:t>e</w:t>
      </w:r>
      <w:r w:rsidRPr="003E5ED2">
        <w:rPr>
          <w:rFonts w:ascii="Arial" w:hAnsi="Arial" w:cs="Arial"/>
          <w:sz w:val="22"/>
          <w:szCs w:val="22"/>
        </w:rPr>
        <w:t xml:space="preserve"> obvez</w:t>
      </w:r>
      <w:r w:rsidR="00504F9C" w:rsidRPr="003E5ED2">
        <w:rPr>
          <w:rFonts w:ascii="Arial" w:hAnsi="Arial" w:cs="Arial"/>
          <w:sz w:val="22"/>
          <w:szCs w:val="22"/>
        </w:rPr>
        <w:t>e</w:t>
      </w:r>
      <w:r w:rsidRPr="003E5ED2">
        <w:rPr>
          <w:rFonts w:ascii="Arial" w:hAnsi="Arial" w:cs="Arial"/>
          <w:sz w:val="22"/>
          <w:szCs w:val="22"/>
        </w:rPr>
        <w:t xml:space="preserve"> </w:t>
      </w:r>
      <w:r w:rsidR="008D3B70" w:rsidRPr="003E5ED2">
        <w:rPr>
          <w:rFonts w:ascii="Arial" w:hAnsi="Arial" w:cs="Arial"/>
          <w:bCs/>
          <w:sz w:val="22"/>
          <w:szCs w:val="22"/>
        </w:rPr>
        <w:t>53.363.462,03</w:t>
      </w:r>
      <w:r w:rsidRPr="003E5ED2">
        <w:rPr>
          <w:rFonts w:ascii="Arial" w:hAnsi="Arial" w:cs="Arial"/>
          <w:bCs/>
          <w:sz w:val="22"/>
          <w:szCs w:val="22"/>
        </w:rPr>
        <w:t xml:space="preserve"> </w:t>
      </w:r>
      <w:r w:rsidRPr="003E5ED2">
        <w:rPr>
          <w:rFonts w:ascii="Arial" w:hAnsi="Arial" w:cs="Arial"/>
          <w:noProof/>
          <w:sz w:val="22"/>
          <w:szCs w:val="22"/>
        </w:rPr>
        <w:t>eura</w:t>
      </w:r>
      <w:r w:rsidR="00897D8C" w:rsidRPr="003E5ED2">
        <w:rPr>
          <w:rFonts w:ascii="Arial" w:hAnsi="Arial" w:cs="Arial"/>
          <w:noProof/>
          <w:sz w:val="22"/>
          <w:szCs w:val="22"/>
        </w:rPr>
        <w:t xml:space="preserve"> </w:t>
      </w:r>
      <w:r w:rsidR="003E3725" w:rsidRPr="003E5ED2">
        <w:rPr>
          <w:rFonts w:ascii="Arial" w:hAnsi="Arial" w:cs="Arial"/>
          <w:noProof/>
          <w:sz w:val="22"/>
          <w:szCs w:val="22"/>
        </w:rPr>
        <w:t>(</w:t>
      </w:r>
      <w:r w:rsidR="008D3B70" w:rsidRPr="003E5ED2">
        <w:rPr>
          <w:rFonts w:ascii="Arial" w:hAnsi="Arial" w:cs="Arial"/>
          <w:noProof/>
          <w:sz w:val="22"/>
          <w:szCs w:val="22"/>
        </w:rPr>
        <w:t>93</w:t>
      </w:r>
      <w:r w:rsidR="003E3725" w:rsidRPr="003E5ED2">
        <w:rPr>
          <w:rFonts w:ascii="Arial" w:hAnsi="Arial" w:cs="Arial"/>
          <w:noProof/>
          <w:sz w:val="22"/>
          <w:szCs w:val="22"/>
        </w:rPr>
        <w:t>%)</w:t>
      </w:r>
      <w:r w:rsidR="00D95058" w:rsidRPr="003E5ED2">
        <w:rPr>
          <w:rFonts w:ascii="Arial" w:hAnsi="Arial" w:cs="Arial"/>
          <w:bCs/>
          <w:sz w:val="22"/>
          <w:szCs w:val="22"/>
        </w:rPr>
        <w:t>.</w:t>
      </w:r>
      <w:r w:rsidRPr="003E5ED2">
        <w:rPr>
          <w:rFonts w:ascii="Arial" w:hAnsi="Arial" w:cs="Arial"/>
          <w:sz w:val="22"/>
          <w:szCs w:val="22"/>
        </w:rPr>
        <w:t xml:space="preserve"> </w:t>
      </w:r>
      <w:r w:rsidR="00504F9C" w:rsidRPr="003E5ED2">
        <w:rPr>
          <w:rFonts w:ascii="Arial" w:hAnsi="Arial" w:cs="Arial"/>
          <w:sz w:val="22"/>
          <w:szCs w:val="22"/>
        </w:rPr>
        <w:t xml:space="preserve">Ukupne obveze bilježe </w:t>
      </w:r>
      <w:r w:rsidR="008D3B70" w:rsidRPr="003E5ED2">
        <w:rPr>
          <w:rFonts w:ascii="Arial" w:hAnsi="Arial" w:cs="Arial"/>
          <w:sz w:val="22"/>
          <w:szCs w:val="22"/>
        </w:rPr>
        <w:t>smanjenje</w:t>
      </w:r>
      <w:r w:rsidR="00504F9C" w:rsidRPr="003E5ED2">
        <w:rPr>
          <w:rFonts w:ascii="Arial" w:hAnsi="Arial" w:cs="Arial"/>
          <w:sz w:val="22"/>
          <w:szCs w:val="22"/>
        </w:rPr>
        <w:t xml:space="preserve"> od </w:t>
      </w:r>
      <w:r w:rsidR="008D3B70" w:rsidRPr="003E5ED2">
        <w:rPr>
          <w:rFonts w:ascii="Arial" w:hAnsi="Arial" w:cs="Arial"/>
          <w:sz w:val="22"/>
          <w:szCs w:val="22"/>
        </w:rPr>
        <w:t>7.221.678,25</w:t>
      </w:r>
      <w:r w:rsidR="00504F9C" w:rsidRPr="003E5ED2">
        <w:rPr>
          <w:rFonts w:ascii="Arial" w:hAnsi="Arial" w:cs="Arial"/>
          <w:sz w:val="22"/>
          <w:szCs w:val="22"/>
        </w:rPr>
        <w:t xml:space="preserve"> eura ili </w:t>
      </w:r>
      <w:r w:rsidR="008D3B70" w:rsidRPr="003E5ED2">
        <w:rPr>
          <w:rFonts w:ascii="Arial" w:hAnsi="Arial" w:cs="Arial"/>
          <w:sz w:val="22"/>
          <w:szCs w:val="22"/>
        </w:rPr>
        <w:t>11,2</w:t>
      </w:r>
      <w:r w:rsidR="00504F9C" w:rsidRPr="003E5ED2">
        <w:rPr>
          <w:rFonts w:ascii="Arial" w:hAnsi="Arial" w:cs="Arial"/>
          <w:sz w:val="22"/>
          <w:szCs w:val="22"/>
        </w:rPr>
        <w:t>% u odnosu na stanje prethodne godine</w:t>
      </w:r>
      <w:r w:rsidR="00504F9C" w:rsidRPr="003E5ED2">
        <w:rPr>
          <w:rFonts w:ascii="Arial" w:hAnsi="Arial" w:cs="Arial"/>
          <w:sz w:val="22"/>
          <w:szCs w:val="22"/>
          <w:lang w:eastAsia="en-US"/>
        </w:rPr>
        <w:t xml:space="preserve">. </w:t>
      </w:r>
      <w:r w:rsidR="00737E88" w:rsidRPr="003E5ED2">
        <w:rPr>
          <w:rFonts w:ascii="Arial" w:hAnsi="Arial" w:cs="Arial"/>
          <w:sz w:val="22"/>
          <w:szCs w:val="22"/>
        </w:rPr>
        <w:t>U donjoj Tablici 1. Obveze prikazana su stanja po skupinama obveza.</w:t>
      </w:r>
    </w:p>
    <w:p w:rsidR="00737E88" w:rsidRPr="003E5ED2" w:rsidRDefault="00B343B9" w:rsidP="00737E88">
      <w:pPr>
        <w:jc w:val="both"/>
        <w:rPr>
          <w:rFonts w:ascii="Arial" w:hAnsi="Arial" w:cs="Arial"/>
          <w:sz w:val="22"/>
          <w:szCs w:val="22"/>
          <w:lang w:eastAsia="en-US"/>
        </w:rPr>
      </w:pPr>
      <w:r w:rsidRPr="003E5ED2">
        <w:rPr>
          <w:rFonts w:ascii="Arial" w:hAnsi="Arial" w:cs="Arial"/>
          <w:sz w:val="22"/>
          <w:szCs w:val="22"/>
        </w:rPr>
        <w:t>U</w:t>
      </w:r>
      <w:r w:rsidR="00737E88" w:rsidRPr="003E5ED2">
        <w:rPr>
          <w:rFonts w:ascii="Arial" w:hAnsi="Arial" w:cs="Arial"/>
          <w:sz w:val="22"/>
          <w:szCs w:val="22"/>
        </w:rPr>
        <w:t xml:space="preserve"> okviru obveza za rashode poslovanja (23) </w:t>
      </w:r>
      <w:r w:rsidR="004637B5" w:rsidRPr="003E5ED2">
        <w:rPr>
          <w:rFonts w:ascii="Arial" w:hAnsi="Arial" w:cs="Arial"/>
          <w:sz w:val="22"/>
          <w:szCs w:val="22"/>
        </w:rPr>
        <w:t xml:space="preserve">povećanje </w:t>
      </w:r>
      <w:r w:rsidR="00737E88" w:rsidRPr="003E5ED2">
        <w:rPr>
          <w:rFonts w:ascii="Arial" w:hAnsi="Arial" w:cs="Arial"/>
          <w:sz w:val="22"/>
          <w:szCs w:val="22"/>
        </w:rPr>
        <w:t xml:space="preserve">od </w:t>
      </w:r>
      <w:r w:rsidR="000A04AB" w:rsidRPr="003E5ED2">
        <w:rPr>
          <w:rFonts w:ascii="Arial" w:hAnsi="Arial" w:cs="Arial"/>
          <w:sz w:val="22"/>
          <w:szCs w:val="22"/>
        </w:rPr>
        <w:t>794.492,68</w:t>
      </w:r>
      <w:r w:rsidR="004637B5" w:rsidRPr="003E5ED2">
        <w:rPr>
          <w:rFonts w:ascii="Arial" w:hAnsi="Arial" w:cs="Arial"/>
          <w:sz w:val="22"/>
          <w:szCs w:val="22"/>
        </w:rPr>
        <w:t xml:space="preserve"> eura</w:t>
      </w:r>
      <w:r w:rsidR="00737E88" w:rsidRPr="003E5ED2">
        <w:rPr>
          <w:rFonts w:ascii="Arial" w:hAnsi="Arial" w:cs="Arial"/>
          <w:sz w:val="22"/>
          <w:szCs w:val="22"/>
        </w:rPr>
        <w:t xml:space="preserve"> nastalo je na stavkam</w:t>
      </w:r>
      <w:r w:rsidR="004637B5" w:rsidRPr="003E5ED2">
        <w:rPr>
          <w:rFonts w:ascii="Arial" w:hAnsi="Arial" w:cs="Arial"/>
          <w:sz w:val="22"/>
          <w:szCs w:val="22"/>
        </w:rPr>
        <w:t>a obveza za</w:t>
      </w:r>
      <w:r w:rsidR="00643322" w:rsidRPr="003E5ED2">
        <w:rPr>
          <w:rFonts w:ascii="Arial" w:hAnsi="Arial" w:cs="Arial"/>
          <w:sz w:val="22"/>
          <w:szCs w:val="22"/>
        </w:rPr>
        <w:t xml:space="preserve"> zaposlene,</w:t>
      </w:r>
      <w:r w:rsidR="004637B5" w:rsidRPr="003E5ED2">
        <w:rPr>
          <w:rFonts w:ascii="Arial" w:hAnsi="Arial" w:cs="Arial"/>
          <w:sz w:val="22"/>
          <w:szCs w:val="22"/>
        </w:rPr>
        <w:t xml:space="preserve"> </w:t>
      </w:r>
      <w:r w:rsidR="00434B61" w:rsidRPr="003E5ED2">
        <w:rPr>
          <w:rFonts w:ascii="Arial" w:hAnsi="Arial" w:cs="Arial"/>
          <w:sz w:val="22"/>
          <w:szCs w:val="22"/>
        </w:rPr>
        <w:t>obveza za materijalne rashode</w:t>
      </w:r>
      <w:r w:rsidR="00604C35" w:rsidRPr="003E5ED2">
        <w:rPr>
          <w:rFonts w:ascii="Arial" w:hAnsi="Arial" w:cs="Arial"/>
          <w:sz w:val="22"/>
          <w:szCs w:val="22"/>
        </w:rPr>
        <w:t xml:space="preserve">, </w:t>
      </w:r>
      <w:r w:rsidR="004637B5" w:rsidRPr="003E5ED2">
        <w:rPr>
          <w:rFonts w:ascii="Arial" w:hAnsi="Arial" w:cs="Arial"/>
          <w:sz w:val="22"/>
          <w:szCs w:val="22"/>
        </w:rPr>
        <w:t>obveza za nakn</w:t>
      </w:r>
      <w:r w:rsidR="00643322" w:rsidRPr="003E5ED2">
        <w:rPr>
          <w:rFonts w:ascii="Arial" w:hAnsi="Arial" w:cs="Arial"/>
          <w:sz w:val="22"/>
          <w:szCs w:val="22"/>
        </w:rPr>
        <w:t xml:space="preserve">ade građanima i </w:t>
      </w:r>
      <w:r w:rsidR="00604C35" w:rsidRPr="003E5ED2">
        <w:rPr>
          <w:rFonts w:ascii="Arial" w:hAnsi="Arial" w:cs="Arial"/>
          <w:sz w:val="22"/>
          <w:szCs w:val="22"/>
        </w:rPr>
        <w:t>kućanstvima i obvezama za kazne</w:t>
      </w:r>
      <w:r w:rsidR="00643322" w:rsidRPr="003E5ED2">
        <w:rPr>
          <w:rFonts w:ascii="Arial" w:hAnsi="Arial" w:cs="Arial"/>
          <w:sz w:val="22"/>
          <w:szCs w:val="22"/>
        </w:rPr>
        <w:t>, naknade šteta i kapi</w:t>
      </w:r>
      <w:r w:rsidR="009B1CA6">
        <w:rPr>
          <w:rFonts w:ascii="Arial" w:hAnsi="Arial" w:cs="Arial"/>
          <w:sz w:val="22"/>
          <w:szCs w:val="22"/>
        </w:rPr>
        <w:t>talnih pomoći</w:t>
      </w:r>
      <w:r w:rsidR="00643322" w:rsidRPr="003E5ED2">
        <w:rPr>
          <w:rFonts w:ascii="Arial" w:hAnsi="Arial" w:cs="Arial"/>
          <w:sz w:val="22"/>
          <w:szCs w:val="22"/>
        </w:rPr>
        <w:t xml:space="preserve"> </w:t>
      </w:r>
      <w:r w:rsidR="009B1CA6">
        <w:rPr>
          <w:rFonts w:ascii="Arial" w:hAnsi="Arial" w:cs="Arial"/>
          <w:sz w:val="22"/>
          <w:szCs w:val="22"/>
        </w:rPr>
        <w:t xml:space="preserve">(obrazloženje </w:t>
      </w:r>
      <w:r w:rsidR="00B00DA1">
        <w:rPr>
          <w:rFonts w:ascii="Arial" w:hAnsi="Arial" w:cs="Arial"/>
          <w:sz w:val="22"/>
          <w:szCs w:val="22"/>
        </w:rPr>
        <w:t>povećanj</w:t>
      </w:r>
      <w:r w:rsidR="009B1CA6">
        <w:rPr>
          <w:rFonts w:ascii="Arial" w:hAnsi="Arial" w:cs="Arial"/>
          <w:sz w:val="22"/>
          <w:szCs w:val="22"/>
        </w:rPr>
        <w:t>a</w:t>
      </w:r>
      <w:r w:rsidR="00B00DA1">
        <w:rPr>
          <w:rFonts w:ascii="Arial" w:hAnsi="Arial" w:cs="Arial"/>
          <w:sz w:val="22"/>
          <w:szCs w:val="22"/>
        </w:rPr>
        <w:t xml:space="preserve"> obveza detaljno je opisano</w:t>
      </w:r>
      <w:r w:rsidR="009B1CA6">
        <w:rPr>
          <w:rFonts w:ascii="Arial" w:hAnsi="Arial" w:cs="Arial"/>
          <w:sz w:val="22"/>
          <w:szCs w:val="22"/>
        </w:rPr>
        <w:t xml:space="preserve"> </w:t>
      </w:r>
      <w:r w:rsidR="00B00DA1">
        <w:rPr>
          <w:rFonts w:ascii="Arial" w:hAnsi="Arial" w:cs="Arial"/>
          <w:sz w:val="22"/>
          <w:szCs w:val="22"/>
        </w:rPr>
        <w:t>u Bilješci broj 13. obrazl</w:t>
      </w:r>
      <w:r w:rsidR="009B1CA6">
        <w:rPr>
          <w:rFonts w:ascii="Arial" w:hAnsi="Arial" w:cs="Arial"/>
          <w:sz w:val="22"/>
          <w:szCs w:val="22"/>
        </w:rPr>
        <w:t>o</w:t>
      </w:r>
      <w:r w:rsidR="00B00DA1">
        <w:rPr>
          <w:rFonts w:ascii="Arial" w:hAnsi="Arial" w:cs="Arial"/>
          <w:sz w:val="22"/>
          <w:szCs w:val="22"/>
        </w:rPr>
        <w:t>že</w:t>
      </w:r>
      <w:r w:rsidR="009B1CA6">
        <w:rPr>
          <w:rFonts w:ascii="Arial" w:hAnsi="Arial" w:cs="Arial"/>
          <w:sz w:val="22"/>
          <w:szCs w:val="22"/>
        </w:rPr>
        <w:t>nje</w:t>
      </w:r>
      <w:r w:rsidR="00B27E21">
        <w:rPr>
          <w:rFonts w:ascii="Arial" w:hAnsi="Arial" w:cs="Arial"/>
          <w:sz w:val="22"/>
          <w:szCs w:val="22"/>
        </w:rPr>
        <w:t>m</w:t>
      </w:r>
      <w:r w:rsidR="00B00DA1">
        <w:rPr>
          <w:rFonts w:ascii="Arial" w:hAnsi="Arial" w:cs="Arial"/>
          <w:sz w:val="22"/>
          <w:szCs w:val="22"/>
        </w:rPr>
        <w:t xml:space="preserve"> povećanj</w:t>
      </w:r>
      <w:r w:rsidR="009B1CA6">
        <w:rPr>
          <w:rFonts w:ascii="Arial" w:hAnsi="Arial" w:cs="Arial"/>
          <w:sz w:val="22"/>
          <w:szCs w:val="22"/>
        </w:rPr>
        <w:t xml:space="preserve">a pojedine </w:t>
      </w:r>
      <w:r w:rsidR="00B00DA1">
        <w:rPr>
          <w:rFonts w:ascii="Arial" w:hAnsi="Arial" w:cs="Arial"/>
          <w:sz w:val="22"/>
          <w:szCs w:val="22"/>
        </w:rPr>
        <w:t>skupin</w:t>
      </w:r>
      <w:r w:rsidR="009B1CA6">
        <w:rPr>
          <w:rFonts w:ascii="Arial" w:hAnsi="Arial" w:cs="Arial"/>
          <w:sz w:val="22"/>
          <w:szCs w:val="22"/>
        </w:rPr>
        <w:t>e</w:t>
      </w:r>
      <w:r w:rsidR="00B00DA1">
        <w:rPr>
          <w:rFonts w:ascii="Arial" w:hAnsi="Arial" w:cs="Arial"/>
          <w:sz w:val="22"/>
          <w:szCs w:val="22"/>
        </w:rPr>
        <w:t xml:space="preserve"> rashoda</w:t>
      </w:r>
      <w:r w:rsidR="009B1CA6">
        <w:rPr>
          <w:rFonts w:ascii="Arial" w:hAnsi="Arial" w:cs="Arial"/>
          <w:sz w:val="22"/>
          <w:szCs w:val="22"/>
        </w:rPr>
        <w:t>)</w:t>
      </w:r>
      <w:r w:rsidR="00B00DA1">
        <w:rPr>
          <w:rFonts w:ascii="Arial" w:hAnsi="Arial" w:cs="Arial"/>
          <w:sz w:val="22"/>
          <w:szCs w:val="22"/>
        </w:rPr>
        <w:t xml:space="preserve">. </w:t>
      </w:r>
      <w:r w:rsidR="004F2FEC" w:rsidRPr="003E5ED2">
        <w:rPr>
          <w:rFonts w:ascii="Arial" w:hAnsi="Arial" w:cs="Arial"/>
          <w:sz w:val="22"/>
          <w:szCs w:val="22"/>
        </w:rPr>
        <w:t>Smanjenje se bilježi n</w:t>
      </w:r>
      <w:r w:rsidR="005F50A4" w:rsidRPr="003E5ED2">
        <w:rPr>
          <w:rFonts w:ascii="Arial" w:hAnsi="Arial" w:cs="Arial"/>
          <w:sz w:val="22"/>
          <w:szCs w:val="22"/>
        </w:rPr>
        <w:t>a obvezama za nabavu nefinancijske imovine (24), na obvezama za kredite i zajmove (26) i na odgođeno plaćanje rashoda i prihoda budućeg razdoblja (29).</w:t>
      </w:r>
    </w:p>
    <w:p w:rsidR="00224A9F" w:rsidRPr="003E5ED2" w:rsidRDefault="00224A9F" w:rsidP="00ED34A8">
      <w:pPr>
        <w:jc w:val="both"/>
        <w:rPr>
          <w:rFonts w:ascii="Arial" w:hAnsi="Arial" w:cs="Arial"/>
          <w:sz w:val="22"/>
          <w:szCs w:val="22"/>
        </w:rPr>
      </w:pPr>
    </w:p>
    <w:p w:rsidR="00ED34A8" w:rsidRPr="003E5ED2" w:rsidRDefault="00142A56" w:rsidP="00ED34A8">
      <w:pPr>
        <w:jc w:val="both"/>
        <w:rPr>
          <w:rFonts w:ascii="Arial" w:hAnsi="Arial" w:cs="Arial"/>
          <w:i/>
          <w:sz w:val="22"/>
          <w:szCs w:val="22"/>
        </w:rPr>
      </w:pPr>
      <w:r w:rsidRPr="003E5ED2">
        <w:rPr>
          <w:rFonts w:ascii="Arial" w:hAnsi="Arial" w:cs="Arial"/>
          <w:i/>
          <w:sz w:val="22"/>
          <w:szCs w:val="22"/>
        </w:rPr>
        <w:t xml:space="preserve">Više o strukturi dospjelih </w:t>
      </w:r>
      <w:r w:rsidR="00737E88" w:rsidRPr="003E5ED2">
        <w:rPr>
          <w:rFonts w:ascii="Arial" w:hAnsi="Arial" w:cs="Arial"/>
          <w:i/>
          <w:sz w:val="22"/>
          <w:szCs w:val="22"/>
        </w:rPr>
        <w:t xml:space="preserve">i nedospjelih </w:t>
      </w:r>
      <w:r w:rsidRPr="003E5ED2">
        <w:rPr>
          <w:rFonts w:ascii="Arial" w:hAnsi="Arial" w:cs="Arial"/>
          <w:i/>
          <w:sz w:val="22"/>
          <w:szCs w:val="22"/>
        </w:rPr>
        <w:t>obveza o</w:t>
      </w:r>
      <w:r w:rsidR="00714B4D" w:rsidRPr="003E5ED2">
        <w:rPr>
          <w:rFonts w:ascii="Arial" w:hAnsi="Arial" w:cs="Arial"/>
          <w:i/>
          <w:sz w:val="22"/>
          <w:szCs w:val="22"/>
        </w:rPr>
        <w:t>pisano je pod Bilješkom broj 2</w:t>
      </w:r>
      <w:r w:rsidR="009271D7" w:rsidRPr="003E5ED2">
        <w:rPr>
          <w:rFonts w:ascii="Arial" w:hAnsi="Arial" w:cs="Arial"/>
          <w:i/>
          <w:sz w:val="22"/>
          <w:szCs w:val="22"/>
        </w:rPr>
        <w:t>2</w:t>
      </w:r>
      <w:r w:rsidR="00F41593" w:rsidRPr="003E5ED2">
        <w:rPr>
          <w:rFonts w:ascii="Arial" w:hAnsi="Arial" w:cs="Arial"/>
          <w:i/>
          <w:sz w:val="22"/>
          <w:szCs w:val="22"/>
        </w:rPr>
        <w:t>.</w:t>
      </w:r>
      <w:r w:rsidR="00714B4D" w:rsidRPr="003E5ED2">
        <w:rPr>
          <w:rFonts w:ascii="Arial" w:hAnsi="Arial" w:cs="Arial"/>
          <w:i/>
          <w:sz w:val="22"/>
          <w:szCs w:val="22"/>
        </w:rPr>
        <w:t xml:space="preserve"> </w:t>
      </w:r>
      <w:r w:rsidR="00ED34A8" w:rsidRPr="003E5ED2">
        <w:rPr>
          <w:rFonts w:ascii="Arial" w:hAnsi="Arial" w:cs="Arial"/>
          <w:i/>
          <w:sz w:val="22"/>
          <w:szCs w:val="22"/>
        </w:rPr>
        <w:t xml:space="preserve">  </w:t>
      </w:r>
    </w:p>
    <w:p w:rsidR="00D41060" w:rsidRPr="003E5ED2" w:rsidRDefault="00D41060" w:rsidP="000E69DA">
      <w:pPr>
        <w:jc w:val="both"/>
        <w:rPr>
          <w:rFonts w:ascii="Arial" w:hAnsi="Arial"/>
        </w:rPr>
      </w:pPr>
    </w:p>
    <w:p w:rsidR="00D41060" w:rsidRPr="003E5ED2" w:rsidRDefault="00D41060" w:rsidP="000E69DA">
      <w:pPr>
        <w:jc w:val="both"/>
        <w:rPr>
          <w:rFonts w:ascii="Arial" w:hAnsi="Arial"/>
        </w:rPr>
      </w:pPr>
    </w:p>
    <w:p w:rsidR="000E69DA" w:rsidRPr="003E5ED2" w:rsidRDefault="009D34E1" w:rsidP="000E69DA">
      <w:pPr>
        <w:jc w:val="both"/>
        <w:rPr>
          <w:rFonts w:ascii="Arial" w:hAnsi="Arial"/>
        </w:rPr>
      </w:pPr>
      <w:r w:rsidRPr="003E5ED2">
        <w:rPr>
          <w:rFonts w:ascii="Arial" w:hAnsi="Arial"/>
        </w:rPr>
        <w:t>Tablica 1. Obveze</w:t>
      </w:r>
      <w:r w:rsidR="006E7903" w:rsidRPr="003E5ED2">
        <w:rPr>
          <w:rFonts w:ascii="Arial" w:hAnsi="Arial"/>
        </w:rPr>
        <w:tab/>
      </w:r>
      <w:r w:rsidR="006E7903" w:rsidRPr="003E5ED2">
        <w:rPr>
          <w:rFonts w:ascii="Arial" w:hAnsi="Arial"/>
        </w:rPr>
        <w:tab/>
      </w:r>
      <w:r w:rsidR="006E7903" w:rsidRPr="003E5ED2">
        <w:rPr>
          <w:rFonts w:ascii="Arial" w:hAnsi="Arial"/>
        </w:rPr>
        <w:tab/>
      </w:r>
      <w:r w:rsidR="006E7903" w:rsidRPr="003E5ED2">
        <w:rPr>
          <w:rFonts w:ascii="Arial" w:hAnsi="Arial"/>
        </w:rPr>
        <w:tab/>
      </w:r>
      <w:r w:rsidR="006E7903" w:rsidRPr="003E5ED2">
        <w:rPr>
          <w:rFonts w:ascii="Arial" w:hAnsi="Arial"/>
        </w:rPr>
        <w:tab/>
      </w:r>
      <w:r w:rsidR="006E7903" w:rsidRPr="003E5ED2">
        <w:rPr>
          <w:rFonts w:ascii="Arial" w:hAnsi="Arial"/>
        </w:rPr>
        <w:tab/>
      </w:r>
      <w:r w:rsidR="006E7903" w:rsidRPr="003E5ED2">
        <w:rPr>
          <w:rFonts w:ascii="Arial" w:hAnsi="Arial"/>
        </w:rPr>
        <w:tab/>
      </w:r>
      <w:r w:rsidR="006E7903" w:rsidRPr="003E5ED2">
        <w:rPr>
          <w:rFonts w:ascii="Arial" w:hAnsi="Arial"/>
        </w:rPr>
        <w:tab/>
      </w:r>
      <w:r w:rsidR="006E7903" w:rsidRPr="003E5ED2">
        <w:rPr>
          <w:rFonts w:ascii="Arial" w:hAnsi="Arial"/>
        </w:rPr>
        <w:tab/>
      </w:r>
      <w:r w:rsidR="006E7903" w:rsidRPr="003E5ED2">
        <w:rPr>
          <w:rFonts w:ascii="Arial" w:hAnsi="Arial"/>
        </w:rPr>
        <w:tab/>
      </w:r>
      <w:r w:rsidR="00B65454" w:rsidRPr="003E5ED2">
        <w:rPr>
          <w:rFonts w:ascii="Arial" w:hAnsi="Arial"/>
        </w:rPr>
        <w:t xml:space="preserve">    </w:t>
      </w:r>
      <w:r w:rsidR="004637B5" w:rsidRPr="003E5ED2">
        <w:rPr>
          <w:rFonts w:ascii="Arial" w:hAnsi="Arial"/>
          <w:i/>
          <w:sz w:val="16"/>
          <w:szCs w:val="16"/>
        </w:rPr>
        <w:t xml:space="preserve">u </w:t>
      </w:r>
      <w:r w:rsidR="00F81BAA" w:rsidRPr="003E5ED2">
        <w:rPr>
          <w:rFonts w:ascii="Arial" w:hAnsi="Arial"/>
          <w:i/>
          <w:sz w:val="16"/>
          <w:szCs w:val="16"/>
        </w:rPr>
        <w:t>EUR</w:t>
      </w:r>
    </w:p>
    <w:tbl>
      <w:tblPr>
        <w:tblW w:w="10124" w:type="dxa"/>
        <w:tblInd w:w="-147" w:type="dxa"/>
        <w:tblLayout w:type="fixed"/>
        <w:tblLook w:val="04A0" w:firstRow="1" w:lastRow="0" w:firstColumn="1" w:lastColumn="0" w:noHBand="0" w:noVBand="1"/>
      </w:tblPr>
      <w:tblGrid>
        <w:gridCol w:w="489"/>
        <w:gridCol w:w="3223"/>
        <w:gridCol w:w="506"/>
        <w:gridCol w:w="1428"/>
        <w:gridCol w:w="1896"/>
        <w:gridCol w:w="1010"/>
        <w:gridCol w:w="1572"/>
      </w:tblGrid>
      <w:tr w:rsidR="00B370BB" w:rsidRPr="003E5ED2" w:rsidTr="00AD3F28">
        <w:trPr>
          <w:trHeight w:val="294"/>
        </w:trPr>
        <w:tc>
          <w:tcPr>
            <w:tcW w:w="489" w:type="dxa"/>
            <w:vMerge w:val="restart"/>
            <w:tcBorders>
              <w:top w:val="single" w:sz="4" w:space="0" w:color="auto"/>
              <w:left w:val="single" w:sz="4" w:space="0" w:color="auto"/>
              <w:bottom w:val="single" w:sz="8" w:space="0" w:color="000000"/>
              <w:right w:val="nil"/>
            </w:tcBorders>
            <w:shd w:val="clear" w:color="auto" w:fill="D5DCE4" w:themeFill="text2" w:themeFillTint="33"/>
            <w:vAlign w:val="center"/>
            <w:hideMark/>
          </w:tcPr>
          <w:p w:rsidR="00B370BB" w:rsidRPr="003E5ED2" w:rsidRDefault="00AD3F28" w:rsidP="00AD3F28">
            <w:pPr>
              <w:jc w:val="both"/>
              <w:rPr>
                <w:rFonts w:ascii="Arial" w:hAnsi="Arial" w:cs="Arial"/>
                <w:b/>
                <w:color w:val="000000"/>
                <w:sz w:val="18"/>
                <w:szCs w:val="18"/>
                <w:lang w:eastAsia="en-US"/>
              </w:rPr>
            </w:pPr>
            <w:r w:rsidRPr="003E5ED2">
              <w:rPr>
                <w:rFonts w:ascii="Arial" w:hAnsi="Arial" w:cs="Arial"/>
                <w:b/>
                <w:color w:val="000000"/>
                <w:sz w:val="18"/>
                <w:szCs w:val="18"/>
                <w:lang w:eastAsia="en-US"/>
              </w:rPr>
              <w:t>Rn</w:t>
            </w:r>
            <w:r w:rsidR="00B370BB" w:rsidRPr="003E5ED2">
              <w:rPr>
                <w:rFonts w:ascii="Arial" w:hAnsi="Arial" w:cs="Arial"/>
                <w:b/>
                <w:color w:val="000000"/>
                <w:sz w:val="18"/>
                <w:szCs w:val="18"/>
                <w:lang w:eastAsia="en-US"/>
              </w:rPr>
              <w:t xml:space="preserve"> </w:t>
            </w:r>
          </w:p>
        </w:tc>
        <w:tc>
          <w:tcPr>
            <w:tcW w:w="3223" w:type="dxa"/>
            <w:vMerge w:val="restart"/>
            <w:tcBorders>
              <w:top w:val="single" w:sz="4" w:space="0" w:color="auto"/>
              <w:left w:val="nil"/>
              <w:bottom w:val="single" w:sz="8" w:space="0" w:color="000000"/>
              <w:right w:val="nil"/>
            </w:tcBorders>
            <w:shd w:val="clear" w:color="auto" w:fill="D5DCE4" w:themeFill="text2" w:themeFillTint="33"/>
            <w:noWrap/>
            <w:vAlign w:val="center"/>
            <w:hideMark/>
          </w:tcPr>
          <w:p w:rsidR="00B370BB" w:rsidRPr="003E5ED2" w:rsidRDefault="00B370BB" w:rsidP="00EC2B03">
            <w:pPr>
              <w:jc w:val="center"/>
              <w:rPr>
                <w:rFonts w:ascii="Arial" w:hAnsi="Arial" w:cs="Arial"/>
                <w:b/>
                <w:color w:val="000000"/>
                <w:sz w:val="18"/>
                <w:szCs w:val="18"/>
                <w:lang w:eastAsia="en-US"/>
              </w:rPr>
            </w:pPr>
            <w:r w:rsidRPr="003E5ED2">
              <w:rPr>
                <w:rFonts w:ascii="Arial" w:hAnsi="Arial" w:cs="Arial"/>
                <w:b/>
                <w:color w:val="000000"/>
                <w:sz w:val="18"/>
                <w:szCs w:val="18"/>
                <w:lang w:eastAsia="en-US"/>
              </w:rPr>
              <w:t>O P I S</w:t>
            </w:r>
          </w:p>
        </w:tc>
        <w:tc>
          <w:tcPr>
            <w:tcW w:w="506" w:type="dxa"/>
            <w:vMerge w:val="restart"/>
            <w:tcBorders>
              <w:top w:val="single" w:sz="4" w:space="0" w:color="auto"/>
              <w:left w:val="nil"/>
              <w:bottom w:val="single" w:sz="8" w:space="0" w:color="000000"/>
              <w:right w:val="nil"/>
            </w:tcBorders>
            <w:shd w:val="clear" w:color="auto" w:fill="D5DCE4" w:themeFill="text2" w:themeFillTint="33"/>
            <w:vAlign w:val="center"/>
            <w:hideMark/>
          </w:tcPr>
          <w:p w:rsidR="00B370BB" w:rsidRPr="003E5ED2" w:rsidRDefault="00AD3F28" w:rsidP="00EC2B03">
            <w:pPr>
              <w:jc w:val="both"/>
              <w:rPr>
                <w:rFonts w:ascii="Arial" w:hAnsi="Arial" w:cs="Arial"/>
                <w:b/>
                <w:color w:val="000000"/>
                <w:sz w:val="18"/>
                <w:szCs w:val="18"/>
                <w:lang w:eastAsia="en-US"/>
              </w:rPr>
            </w:pPr>
            <w:r w:rsidRPr="003E5ED2">
              <w:rPr>
                <w:rFonts w:ascii="Arial" w:hAnsi="Arial" w:cs="Arial"/>
                <w:b/>
                <w:color w:val="000000"/>
                <w:sz w:val="18"/>
                <w:szCs w:val="18"/>
                <w:lang w:eastAsia="en-US"/>
              </w:rPr>
              <w:t>Rn</w:t>
            </w:r>
            <w:r w:rsidR="00B370BB" w:rsidRPr="003E5ED2">
              <w:rPr>
                <w:rFonts w:ascii="Arial" w:hAnsi="Arial" w:cs="Arial"/>
                <w:b/>
                <w:color w:val="000000"/>
                <w:sz w:val="18"/>
                <w:szCs w:val="18"/>
                <w:lang w:eastAsia="en-US"/>
              </w:rPr>
              <w:t xml:space="preserve">  </w:t>
            </w:r>
          </w:p>
        </w:tc>
        <w:tc>
          <w:tcPr>
            <w:tcW w:w="1428" w:type="dxa"/>
            <w:vMerge w:val="restart"/>
            <w:tcBorders>
              <w:top w:val="single" w:sz="4" w:space="0" w:color="auto"/>
              <w:left w:val="nil"/>
              <w:bottom w:val="single" w:sz="8" w:space="0" w:color="000000"/>
              <w:right w:val="nil"/>
            </w:tcBorders>
            <w:shd w:val="clear" w:color="auto" w:fill="D5DCE4" w:themeFill="text2" w:themeFillTint="33"/>
            <w:vAlign w:val="center"/>
            <w:hideMark/>
          </w:tcPr>
          <w:p w:rsidR="00B370BB" w:rsidRPr="003E5ED2" w:rsidRDefault="006309D7" w:rsidP="00EC2B03">
            <w:pPr>
              <w:jc w:val="center"/>
              <w:rPr>
                <w:rFonts w:ascii="Arial" w:hAnsi="Arial" w:cs="Arial"/>
                <w:b/>
                <w:color w:val="000000"/>
                <w:sz w:val="18"/>
                <w:szCs w:val="18"/>
                <w:lang w:eastAsia="en-US"/>
              </w:rPr>
            </w:pPr>
            <w:r w:rsidRPr="003E5ED2">
              <w:rPr>
                <w:rFonts w:ascii="Arial" w:hAnsi="Arial" w:cs="Arial"/>
                <w:b/>
                <w:color w:val="000000"/>
                <w:sz w:val="18"/>
                <w:szCs w:val="18"/>
                <w:lang w:eastAsia="en-US"/>
              </w:rPr>
              <w:t>Stanje 1.</w:t>
            </w:r>
            <w:r w:rsidR="004B73F8" w:rsidRPr="003E5ED2">
              <w:rPr>
                <w:rFonts w:ascii="Arial" w:hAnsi="Arial" w:cs="Arial"/>
                <w:b/>
                <w:color w:val="000000"/>
                <w:sz w:val="18"/>
                <w:szCs w:val="18"/>
                <w:lang w:eastAsia="en-US"/>
              </w:rPr>
              <w:t>1.2024</w:t>
            </w:r>
            <w:r w:rsidR="00B370BB" w:rsidRPr="003E5ED2">
              <w:rPr>
                <w:rFonts w:ascii="Arial" w:hAnsi="Arial" w:cs="Arial"/>
                <w:b/>
                <w:color w:val="000000"/>
                <w:sz w:val="18"/>
                <w:szCs w:val="18"/>
                <w:lang w:eastAsia="en-US"/>
              </w:rPr>
              <w:t>.</w:t>
            </w:r>
          </w:p>
        </w:tc>
        <w:tc>
          <w:tcPr>
            <w:tcW w:w="1896" w:type="dxa"/>
            <w:vMerge w:val="restart"/>
            <w:tcBorders>
              <w:top w:val="single" w:sz="4" w:space="0" w:color="auto"/>
              <w:left w:val="nil"/>
              <w:bottom w:val="single" w:sz="8" w:space="0" w:color="000000"/>
              <w:right w:val="nil"/>
            </w:tcBorders>
            <w:shd w:val="clear" w:color="auto" w:fill="D5DCE4" w:themeFill="text2" w:themeFillTint="33"/>
            <w:vAlign w:val="center"/>
            <w:hideMark/>
          </w:tcPr>
          <w:p w:rsidR="00B370BB" w:rsidRPr="003E5ED2" w:rsidRDefault="00364464" w:rsidP="00EC2B03">
            <w:pPr>
              <w:jc w:val="center"/>
              <w:rPr>
                <w:rFonts w:ascii="Arial" w:hAnsi="Arial" w:cs="Arial"/>
                <w:b/>
                <w:color w:val="000000"/>
                <w:sz w:val="18"/>
                <w:szCs w:val="18"/>
                <w:lang w:eastAsia="en-US"/>
              </w:rPr>
            </w:pPr>
            <w:r w:rsidRPr="003E5ED2">
              <w:rPr>
                <w:rFonts w:ascii="Arial" w:hAnsi="Arial" w:cs="Arial"/>
                <w:b/>
                <w:color w:val="000000"/>
                <w:sz w:val="18"/>
                <w:szCs w:val="18"/>
                <w:lang w:eastAsia="en-US"/>
              </w:rPr>
              <w:t>Stanje 31.12.2024</w:t>
            </w:r>
            <w:r w:rsidR="00B370BB" w:rsidRPr="003E5ED2">
              <w:rPr>
                <w:rFonts w:ascii="Arial" w:hAnsi="Arial" w:cs="Arial"/>
                <w:b/>
                <w:color w:val="000000"/>
                <w:sz w:val="18"/>
                <w:szCs w:val="18"/>
                <w:lang w:eastAsia="en-US"/>
              </w:rPr>
              <w:t>.</w:t>
            </w:r>
          </w:p>
        </w:tc>
        <w:tc>
          <w:tcPr>
            <w:tcW w:w="1010" w:type="dxa"/>
            <w:vMerge w:val="restart"/>
            <w:tcBorders>
              <w:top w:val="single" w:sz="4" w:space="0" w:color="auto"/>
              <w:left w:val="nil"/>
              <w:bottom w:val="single" w:sz="8" w:space="0" w:color="000000"/>
              <w:right w:val="nil"/>
            </w:tcBorders>
            <w:shd w:val="clear" w:color="auto" w:fill="D5DCE4" w:themeFill="text2" w:themeFillTint="33"/>
            <w:vAlign w:val="center"/>
            <w:hideMark/>
          </w:tcPr>
          <w:p w:rsidR="00B370BB" w:rsidRPr="003E5ED2" w:rsidRDefault="00B370BB" w:rsidP="00EC2B03">
            <w:pPr>
              <w:jc w:val="center"/>
              <w:rPr>
                <w:rFonts w:ascii="Arial" w:hAnsi="Arial" w:cs="Arial"/>
                <w:b/>
                <w:color w:val="000000"/>
                <w:sz w:val="18"/>
                <w:szCs w:val="18"/>
                <w:lang w:eastAsia="en-US"/>
              </w:rPr>
            </w:pPr>
            <w:r w:rsidRPr="003E5ED2">
              <w:rPr>
                <w:rFonts w:ascii="Arial" w:hAnsi="Arial" w:cs="Arial"/>
                <w:b/>
                <w:color w:val="000000"/>
                <w:sz w:val="18"/>
                <w:szCs w:val="18"/>
                <w:lang w:eastAsia="en-US"/>
              </w:rPr>
              <w:t xml:space="preserve">Indeks </w:t>
            </w:r>
            <w:r w:rsidRPr="003E5ED2">
              <w:rPr>
                <w:rFonts w:ascii="Arial" w:hAnsi="Arial" w:cs="Arial"/>
                <w:b/>
                <w:color w:val="000000"/>
                <w:sz w:val="16"/>
                <w:szCs w:val="16"/>
                <w:lang w:eastAsia="en-US"/>
              </w:rPr>
              <w:t>(5/4*100)</w:t>
            </w:r>
          </w:p>
        </w:tc>
        <w:tc>
          <w:tcPr>
            <w:tcW w:w="1572" w:type="dxa"/>
            <w:tcBorders>
              <w:top w:val="single" w:sz="4" w:space="0" w:color="auto"/>
              <w:left w:val="nil"/>
              <w:bottom w:val="nil"/>
              <w:right w:val="single" w:sz="4" w:space="0" w:color="auto"/>
            </w:tcBorders>
            <w:shd w:val="clear" w:color="auto" w:fill="D5DCE4" w:themeFill="text2" w:themeFillTint="33"/>
            <w:vAlign w:val="center"/>
            <w:hideMark/>
          </w:tcPr>
          <w:p w:rsidR="00B370BB" w:rsidRPr="003E5ED2" w:rsidRDefault="00B370BB" w:rsidP="00EC2B03">
            <w:pPr>
              <w:jc w:val="center"/>
              <w:rPr>
                <w:rFonts w:ascii="Arial" w:hAnsi="Arial" w:cs="Arial"/>
                <w:b/>
                <w:color w:val="000000"/>
                <w:sz w:val="18"/>
                <w:szCs w:val="18"/>
                <w:lang w:eastAsia="en-US"/>
              </w:rPr>
            </w:pPr>
            <w:r w:rsidRPr="003E5ED2">
              <w:rPr>
                <w:rFonts w:ascii="Arial" w:hAnsi="Arial" w:cs="Arial"/>
                <w:b/>
                <w:color w:val="000000"/>
                <w:sz w:val="18"/>
                <w:szCs w:val="18"/>
                <w:lang w:eastAsia="en-US"/>
              </w:rPr>
              <w:t>Povećanje/</w:t>
            </w:r>
          </w:p>
        </w:tc>
      </w:tr>
      <w:tr w:rsidR="00B370BB" w:rsidRPr="003E5ED2" w:rsidTr="00AD3F28">
        <w:trPr>
          <w:trHeight w:val="503"/>
        </w:trPr>
        <w:tc>
          <w:tcPr>
            <w:tcW w:w="489" w:type="dxa"/>
            <w:vMerge/>
            <w:tcBorders>
              <w:top w:val="single" w:sz="8" w:space="0" w:color="auto"/>
              <w:left w:val="single" w:sz="4" w:space="0" w:color="auto"/>
              <w:bottom w:val="single" w:sz="8" w:space="0" w:color="000000"/>
              <w:right w:val="nil"/>
            </w:tcBorders>
            <w:shd w:val="clear" w:color="auto" w:fill="D5DCE4" w:themeFill="text2" w:themeFillTint="33"/>
            <w:vAlign w:val="center"/>
            <w:hideMark/>
          </w:tcPr>
          <w:p w:rsidR="00B370BB" w:rsidRPr="003E5ED2" w:rsidRDefault="00B370BB" w:rsidP="00EC2B03">
            <w:pPr>
              <w:rPr>
                <w:rFonts w:ascii="Arial" w:hAnsi="Arial" w:cs="Arial"/>
                <w:b/>
                <w:color w:val="000000"/>
                <w:sz w:val="18"/>
                <w:szCs w:val="18"/>
                <w:lang w:eastAsia="en-US"/>
              </w:rPr>
            </w:pPr>
          </w:p>
        </w:tc>
        <w:tc>
          <w:tcPr>
            <w:tcW w:w="3223" w:type="dxa"/>
            <w:vMerge/>
            <w:tcBorders>
              <w:top w:val="single" w:sz="8" w:space="0" w:color="auto"/>
              <w:left w:val="nil"/>
              <w:bottom w:val="single" w:sz="8" w:space="0" w:color="000000"/>
              <w:right w:val="nil"/>
            </w:tcBorders>
            <w:shd w:val="clear" w:color="auto" w:fill="D5DCE4" w:themeFill="text2" w:themeFillTint="33"/>
            <w:vAlign w:val="center"/>
            <w:hideMark/>
          </w:tcPr>
          <w:p w:rsidR="00B370BB" w:rsidRPr="003E5ED2" w:rsidRDefault="00B370BB" w:rsidP="00EC2B03">
            <w:pPr>
              <w:rPr>
                <w:rFonts w:ascii="Arial" w:hAnsi="Arial" w:cs="Arial"/>
                <w:b/>
                <w:color w:val="000000"/>
                <w:sz w:val="18"/>
                <w:szCs w:val="18"/>
                <w:lang w:eastAsia="en-US"/>
              </w:rPr>
            </w:pPr>
          </w:p>
        </w:tc>
        <w:tc>
          <w:tcPr>
            <w:tcW w:w="506" w:type="dxa"/>
            <w:vMerge/>
            <w:tcBorders>
              <w:top w:val="single" w:sz="8" w:space="0" w:color="auto"/>
              <w:left w:val="nil"/>
              <w:bottom w:val="single" w:sz="8" w:space="0" w:color="000000"/>
              <w:right w:val="nil"/>
            </w:tcBorders>
            <w:shd w:val="clear" w:color="auto" w:fill="D5DCE4" w:themeFill="text2" w:themeFillTint="33"/>
            <w:vAlign w:val="center"/>
            <w:hideMark/>
          </w:tcPr>
          <w:p w:rsidR="00B370BB" w:rsidRPr="003E5ED2" w:rsidRDefault="00B370BB" w:rsidP="00EC2B03">
            <w:pPr>
              <w:rPr>
                <w:rFonts w:ascii="Arial" w:hAnsi="Arial" w:cs="Arial"/>
                <w:b/>
                <w:color w:val="000000"/>
                <w:sz w:val="18"/>
                <w:szCs w:val="18"/>
                <w:lang w:eastAsia="en-US"/>
              </w:rPr>
            </w:pPr>
          </w:p>
        </w:tc>
        <w:tc>
          <w:tcPr>
            <w:tcW w:w="1428" w:type="dxa"/>
            <w:vMerge/>
            <w:tcBorders>
              <w:top w:val="single" w:sz="8" w:space="0" w:color="auto"/>
              <w:left w:val="nil"/>
              <w:bottom w:val="single" w:sz="8" w:space="0" w:color="000000"/>
              <w:right w:val="nil"/>
            </w:tcBorders>
            <w:shd w:val="clear" w:color="auto" w:fill="D5DCE4" w:themeFill="text2" w:themeFillTint="33"/>
            <w:vAlign w:val="center"/>
            <w:hideMark/>
          </w:tcPr>
          <w:p w:rsidR="00B370BB" w:rsidRPr="003E5ED2" w:rsidRDefault="00B370BB" w:rsidP="00EC2B03">
            <w:pPr>
              <w:rPr>
                <w:rFonts w:ascii="Arial" w:hAnsi="Arial" w:cs="Arial"/>
                <w:b/>
                <w:color w:val="000000"/>
                <w:sz w:val="18"/>
                <w:szCs w:val="18"/>
                <w:lang w:eastAsia="en-US"/>
              </w:rPr>
            </w:pPr>
          </w:p>
        </w:tc>
        <w:tc>
          <w:tcPr>
            <w:tcW w:w="1896" w:type="dxa"/>
            <w:vMerge/>
            <w:tcBorders>
              <w:top w:val="single" w:sz="8" w:space="0" w:color="auto"/>
              <w:left w:val="nil"/>
              <w:bottom w:val="single" w:sz="8" w:space="0" w:color="000000"/>
              <w:right w:val="nil"/>
            </w:tcBorders>
            <w:shd w:val="clear" w:color="auto" w:fill="D5DCE4" w:themeFill="text2" w:themeFillTint="33"/>
            <w:vAlign w:val="center"/>
            <w:hideMark/>
          </w:tcPr>
          <w:p w:rsidR="00B370BB" w:rsidRPr="003E5ED2" w:rsidRDefault="00B370BB" w:rsidP="00EC2B03">
            <w:pPr>
              <w:rPr>
                <w:rFonts w:ascii="Arial" w:hAnsi="Arial" w:cs="Arial"/>
                <w:b/>
                <w:color w:val="000000"/>
                <w:sz w:val="18"/>
                <w:szCs w:val="18"/>
                <w:lang w:eastAsia="en-US"/>
              </w:rPr>
            </w:pPr>
          </w:p>
        </w:tc>
        <w:tc>
          <w:tcPr>
            <w:tcW w:w="1010" w:type="dxa"/>
            <w:vMerge/>
            <w:tcBorders>
              <w:top w:val="single" w:sz="8" w:space="0" w:color="auto"/>
              <w:left w:val="nil"/>
              <w:bottom w:val="single" w:sz="8" w:space="0" w:color="000000"/>
              <w:right w:val="nil"/>
            </w:tcBorders>
            <w:shd w:val="clear" w:color="auto" w:fill="D5DCE4" w:themeFill="text2" w:themeFillTint="33"/>
            <w:vAlign w:val="center"/>
            <w:hideMark/>
          </w:tcPr>
          <w:p w:rsidR="00B370BB" w:rsidRPr="003E5ED2" w:rsidRDefault="00B370BB" w:rsidP="00EC2B03">
            <w:pPr>
              <w:rPr>
                <w:rFonts w:ascii="Arial" w:hAnsi="Arial" w:cs="Arial"/>
                <w:b/>
                <w:color w:val="000000"/>
                <w:sz w:val="18"/>
                <w:szCs w:val="18"/>
                <w:lang w:eastAsia="en-US"/>
              </w:rPr>
            </w:pPr>
          </w:p>
        </w:tc>
        <w:tc>
          <w:tcPr>
            <w:tcW w:w="1572" w:type="dxa"/>
            <w:tcBorders>
              <w:top w:val="nil"/>
              <w:left w:val="nil"/>
              <w:bottom w:val="single" w:sz="8" w:space="0" w:color="auto"/>
              <w:right w:val="single" w:sz="4" w:space="0" w:color="auto"/>
            </w:tcBorders>
            <w:shd w:val="clear" w:color="auto" w:fill="D5DCE4" w:themeFill="text2" w:themeFillTint="33"/>
            <w:vAlign w:val="center"/>
            <w:hideMark/>
          </w:tcPr>
          <w:p w:rsidR="00B370BB" w:rsidRPr="003E5ED2" w:rsidRDefault="00B370BB" w:rsidP="00EC2B03">
            <w:pPr>
              <w:jc w:val="center"/>
              <w:rPr>
                <w:rFonts w:ascii="Arial" w:hAnsi="Arial" w:cs="Arial"/>
                <w:b/>
                <w:color w:val="000000"/>
                <w:sz w:val="18"/>
                <w:szCs w:val="18"/>
                <w:lang w:eastAsia="en-US"/>
              </w:rPr>
            </w:pPr>
            <w:r w:rsidRPr="003E5ED2">
              <w:rPr>
                <w:rFonts w:ascii="Arial" w:hAnsi="Arial" w:cs="Arial"/>
                <w:b/>
                <w:color w:val="000000"/>
                <w:sz w:val="18"/>
                <w:szCs w:val="18"/>
                <w:lang w:eastAsia="en-US"/>
              </w:rPr>
              <w:t>smanjenje                 (5-4)</w:t>
            </w:r>
          </w:p>
        </w:tc>
      </w:tr>
      <w:tr w:rsidR="00B370BB" w:rsidRPr="003E5ED2" w:rsidTr="00780348">
        <w:trPr>
          <w:trHeight w:val="180"/>
        </w:trPr>
        <w:tc>
          <w:tcPr>
            <w:tcW w:w="489" w:type="dxa"/>
            <w:tcBorders>
              <w:top w:val="nil"/>
              <w:left w:val="single" w:sz="4" w:space="0" w:color="auto"/>
              <w:bottom w:val="single" w:sz="8" w:space="0" w:color="auto"/>
              <w:right w:val="nil"/>
            </w:tcBorders>
            <w:shd w:val="clear" w:color="auto" w:fill="D5DCE4" w:themeFill="text2" w:themeFillTint="33"/>
            <w:noWrap/>
            <w:vAlign w:val="center"/>
            <w:hideMark/>
          </w:tcPr>
          <w:p w:rsidR="00B370BB" w:rsidRPr="003E5ED2" w:rsidRDefault="00B370BB" w:rsidP="00EC2B03">
            <w:pPr>
              <w:jc w:val="center"/>
              <w:rPr>
                <w:rFonts w:ascii="Arial" w:hAnsi="Arial" w:cs="Arial"/>
                <w:i/>
                <w:iCs/>
                <w:color w:val="000000"/>
                <w:sz w:val="12"/>
                <w:szCs w:val="12"/>
                <w:lang w:eastAsia="en-US"/>
              </w:rPr>
            </w:pPr>
            <w:r w:rsidRPr="003E5ED2">
              <w:rPr>
                <w:rFonts w:ascii="Arial" w:hAnsi="Arial" w:cs="Arial"/>
                <w:i/>
                <w:iCs/>
                <w:color w:val="000000"/>
                <w:sz w:val="12"/>
                <w:szCs w:val="12"/>
                <w:lang w:eastAsia="en-US"/>
              </w:rPr>
              <w:t>1</w:t>
            </w:r>
          </w:p>
        </w:tc>
        <w:tc>
          <w:tcPr>
            <w:tcW w:w="3223" w:type="dxa"/>
            <w:tcBorders>
              <w:top w:val="nil"/>
              <w:left w:val="nil"/>
              <w:bottom w:val="single" w:sz="8" w:space="0" w:color="auto"/>
              <w:right w:val="nil"/>
            </w:tcBorders>
            <w:shd w:val="clear" w:color="auto" w:fill="D5DCE4" w:themeFill="text2" w:themeFillTint="33"/>
            <w:noWrap/>
            <w:vAlign w:val="center"/>
            <w:hideMark/>
          </w:tcPr>
          <w:p w:rsidR="00B370BB" w:rsidRPr="003E5ED2" w:rsidRDefault="00B370BB" w:rsidP="00EC2B03">
            <w:pPr>
              <w:jc w:val="center"/>
              <w:rPr>
                <w:rFonts w:ascii="Arial" w:hAnsi="Arial" w:cs="Arial"/>
                <w:i/>
                <w:iCs/>
                <w:color w:val="000000"/>
                <w:sz w:val="12"/>
                <w:szCs w:val="12"/>
                <w:lang w:eastAsia="en-US"/>
              </w:rPr>
            </w:pPr>
            <w:r w:rsidRPr="003E5ED2">
              <w:rPr>
                <w:rFonts w:ascii="Arial" w:hAnsi="Arial" w:cs="Arial"/>
                <w:i/>
                <w:iCs/>
                <w:color w:val="000000"/>
                <w:sz w:val="12"/>
                <w:szCs w:val="12"/>
                <w:lang w:eastAsia="en-US"/>
              </w:rPr>
              <w:t>2</w:t>
            </w:r>
          </w:p>
        </w:tc>
        <w:tc>
          <w:tcPr>
            <w:tcW w:w="506" w:type="dxa"/>
            <w:tcBorders>
              <w:top w:val="nil"/>
              <w:left w:val="nil"/>
              <w:bottom w:val="single" w:sz="8" w:space="0" w:color="auto"/>
              <w:right w:val="nil"/>
            </w:tcBorders>
            <w:shd w:val="clear" w:color="auto" w:fill="D5DCE4" w:themeFill="text2" w:themeFillTint="33"/>
            <w:noWrap/>
            <w:vAlign w:val="center"/>
            <w:hideMark/>
          </w:tcPr>
          <w:p w:rsidR="00B370BB" w:rsidRPr="003E5ED2" w:rsidRDefault="00B370BB" w:rsidP="00EC2B03">
            <w:pPr>
              <w:jc w:val="center"/>
              <w:rPr>
                <w:rFonts w:ascii="Arial" w:hAnsi="Arial" w:cs="Arial"/>
                <w:i/>
                <w:iCs/>
                <w:color w:val="000000"/>
                <w:sz w:val="12"/>
                <w:szCs w:val="12"/>
                <w:lang w:eastAsia="en-US"/>
              </w:rPr>
            </w:pPr>
            <w:r w:rsidRPr="003E5ED2">
              <w:rPr>
                <w:rFonts w:ascii="Arial" w:hAnsi="Arial" w:cs="Arial"/>
                <w:i/>
                <w:iCs/>
                <w:color w:val="000000"/>
                <w:sz w:val="12"/>
                <w:szCs w:val="12"/>
                <w:lang w:eastAsia="en-US"/>
              </w:rPr>
              <w:t>3</w:t>
            </w:r>
          </w:p>
        </w:tc>
        <w:tc>
          <w:tcPr>
            <w:tcW w:w="1428" w:type="dxa"/>
            <w:tcBorders>
              <w:top w:val="nil"/>
              <w:left w:val="nil"/>
              <w:bottom w:val="single" w:sz="8" w:space="0" w:color="auto"/>
              <w:right w:val="nil"/>
            </w:tcBorders>
            <w:shd w:val="clear" w:color="auto" w:fill="D5DCE4" w:themeFill="text2" w:themeFillTint="33"/>
            <w:noWrap/>
            <w:vAlign w:val="center"/>
            <w:hideMark/>
          </w:tcPr>
          <w:p w:rsidR="00B370BB" w:rsidRPr="003E5ED2" w:rsidRDefault="00B370BB" w:rsidP="00EC2B03">
            <w:pPr>
              <w:jc w:val="center"/>
              <w:rPr>
                <w:rFonts w:ascii="Arial" w:hAnsi="Arial" w:cs="Arial"/>
                <w:i/>
                <w:iCs/>
                <w:color w:val="000000"/>
                <w:sz w:val="12"/>
                <w:szCs w:val="12"/>
                <w:lang w:eastAsia="en-US"/>
              </w:rPr>
            </w:pPr>
            <w:r w:rsidRPr="003E5ED2">
              <w:rPr>
                <w:rFonts w:ascii="Arial" w:hAnsi="Arial" w:cs="Arial"/>
                <w:i/>
                <w:iCs/>
                <w:color w:val="000000"/>
                <w:sz w:val="12"/>
                <w:szCs w:val="12"/>
                <w:lang w:eastAsia="en-US"/>
              </w:rPr>
              <w:t>4</w:t>
            </w:r>
          </w:p>
        </w:tc>
        <w:tc>
          <w:tcPr>
            <w:tcW w:w="1896" w:type="dxa"/>
            <w:tcBorders>
              <w:top w:val="nil"/>
              <w:left w:val="nil"/>
              <w:bottom w:val="single" w:sz="8" w:space="0" w:color="auto"/>
              <w:right w:val="nil"/>
            </w:tcBorders>
            <w:shd w:val="clear" w:color="auto" w:fill="D5DCE4" w:themeFill="text2" w:themeFillTint="33"/>
            <w:noWrap/>
            <w:vAlign w:val="center"/>
            <w:hideMark/>
          </w:tcPr>
          <w:p w:rsidR="00B370BB" w:rsidRPr="003E5ED2" w:rsidRDefault="00B370BB" w:rsidP="00EC2B03">
            <w:pPr>
              <w:jc w:val="center"/>
              <w:rPr>
                <w:rFonts w:ascii="Arial" w:hAnsi="Arial" w:cs="Arial"/>
                <w:i/>
                <w:iCs/>
                <w:color w:val="000000"/>
                <w:sz w:val="12"/>
                <w:szCs w:val="12"/>
                <w:lang w:eastAsia="en-US"/>
              </w:rPr>
            </w:pPr>
            <w:r w:rsidRPr="003E5ED2">
              <w:rPr>
                <w:rFonts w:ascii="Arial" w:hAnsi="Arial" w:cs="Arial"/>
                <w:i/>
                <w:iCs/>
                <w:color w:val="000000"/>
                <w:sz w:val="12"/>
                <w:szCs w:val="12"/>
                <w:lang w:eastAsia="en-US"/>
              </w:rPr>
              <w:t>5</w:t>
            </w:r>
          </w:p>
        </w:tc>
        <w:tc>
          <w:tcPr>
            <w:tcW w:w="1010" w:type="dxa"/>
            <w:tcBorders>
              <w:top w:val="nil"/>
              <w:left w:val="nil"/>
              <w:bottom w:val="single" w:sz="8" w:space="0" w:color="auto"/>
              <w:right w:val="nil"/>
            </w:tcBorders>
            <w:shd w:val="clear" w:color="auto" w:fill="D5DCE4" w:themeFill="text2" w:themeFillTint="33"/>
            <w:noWrap/>
            <w:vAlign w:val="center"/>
            <w:hideMark/>
          </w:tcPr>
          <w:p w:rsidR="00B370BB" w:rsidRPr="003E5ED2" w:rsidRDefault="00B370BB" w:rsidP="00EC2B03">
            <w:pPr>
              <w:jc w:val="center"/>
              <w:rPr>
                <w:rFonts w:ascii="Arial" w:hAnsi="Arial" w:cs="Arial"/>
                <w:i/>
                <w:iCs/>
                <w:color w:val="000000"/>
                <w:sz w:val="12"/>
                <w:szCs w:val="12"/>
                <w:lang w:eastAsia="en-US"/>
              </w:rPr>
            </w:pPr>
            <w:r w:rsidRPr="003E5ED2">
              <w:rPr>
                <w:rFonts w:ascii="Arial" w:hAnsi="Arial" w:cs="Arial"/>
                <w:i/>
                <w:iCs/>
                <w:color w:val="000000"/>
                <w:sz w:val="12"/>
                <w:szCs w:val="12"/>
                <w:lang w:eastAsia="en-US"/>
              </w:rPr>
              <w:t>6</w:t>
            </w:r>
          </w:p>
        </w:tc>
        <w:tc>
          <w:tcPr>
            <w:tcW w:w="1572" w:type="dxa"/>
            <w:tcBorders>
              <w:top w:val="nil"/>
              <w:left w:val="nil"/>
              <w:bottom w:val="single" w:sz="8" w:space="0" w:color="auto"/>
              <w:right w:val="single" w:sz="4" w:space="0" w:color="auto"/>
            </w:tcBorders>
            <w:shd w:val="clear" w:color="auto" w:fill="D5DCE4" w:themeFill="text2" w:themeFillTint="33"/>
            <w:noWrap/>
            <w:vAlign w:val="center"/>
            <w:hideMark/>
          </w:tcPr>
          <w:p w:rsidR="00B370BB" w:rsidRPr="003E5ED2" w:rsidRDefault="00B370BB" w:rsidP="00EC2B03">
            <w:pPr>
              <w:jc w:val="center"/>
              <w:rPr>
                <w:rFonts w:ascii="Arial" w:hAnsi="Arial" w:cs="Arial"/>
                <w:i/>
                <w:iCs/>
                <w:color w:val="000000"/>
                <w:sz w:val="12"/>
                <w:szCs w:val="12"/>
                <w:lang w:eastAsia="en-US"/>
              </w:rPr>
            </w:pPr>
            <w:r w:rsidRPr="003E5ED2">
              <w:rPr>
                <w:rFonts w:ascii="Arial" w:hAnsi="Arial" w:cs="Arial"/>
                <w:i/>
                <w:iCs/>
                <w:color w:val="000000"/>
                <w:sz w:val="12"/>
                <w:szCs w:val="12"/>
                <w:lang w:eastAsia="en-US"/>
              </w:rPr>
              <w:t>7</w:t>
            </w:r>
          </w:p>
        </w:tc>
      </w:tr>
      <w:tr w:rsidR="00B370BB" w:rsidRPr="003E5ED2" w:rsidTr="00AD3F28">
        <w:trPr>
          <w:trHeight w:val="552"/>
        </w:trPr>
        <w:tc>
          <w:tcPr>
            <w:tcW w:w="489" w:type="dxa"/>
            <w:tcBorders>
              <w:top w:val="nil"/>
              <w:left w:val="single" w:sz="4" w:space="0" w:color="auto"/>
              <w:bottom w:val="single" w:sz="4" w:space="0" w:color="auto"/>
              <w:right w:val="nil"/>
            </w:tcBorders>
            <w:shd w:val="clear" w:color="auto" w:fill="auto"/>
            <w:noWrap/>
            <w:vAlign w:val="center"/>
            <w:hideMark/>
          </w:tcPr>
          <w:p w:rsidR="00B370BB" w:rsidRPr="003E5ED2" w:rsidRDefault="00B370BB" w:rsidP="005B6FA8">
            <w:pPr>
              <w:rPr>
                <w:rFonts w:ascii="Arial" w:hAnsi="Arial" w:cs="Arial"/>
                <w:b/>
                <w:color w:val="000000"/>
                <w:sz w:val="16"/>
                <w:szCs w:val="16"/>
                <w:lang w:eastAsia="en-US"/>
              </w:rPr>
            </w:pPr>
            <w:r w:rsidRPr="003E5ED2">
              <w:rPr>
                <w:rFonts w:ascii="Arial" w:hAnsi="Arial" w:cs="Arial"/>
                <w:b/>
                <w:color w:val="000000"/>
                <w:sz w:val="16"/>
                <w:szCs w:val="16"/>
                <w:lang w:eastAsia="en-US"/>
              </w:rPr>
              <w:t>2</w:t>
            </w:r>
          </w:p>
        </w:tc>
        <w:tc>
          <w:tcPr>
            <w:tcW w:w="3223" w:type="dxa"/>
            <w:tcBorders>
              <w:top w:val="nil"/>
              <w:left w:val="nil"/>
              <w:bottom w:val="single" w:sz="4" w:space="0" w:color="auto"/>
              <w:right w:val="nil"/>
            </w:tcBorders>
            <w:shd w:val="clear" w:color="auto" w:fill="auto"/>
            <w:noWrap/>
            <w:vAlign w:val="center"/>
            <w:hideMark/>
          </w:tcPr>
          <w:p w:rsidR="00B370BB" w:rsidRPr="003E5ED2" w:rsidRDefault="00B370BB" w:rsidP="005B6FA8">
            <w:pPr>
              <w:rPr>
                <w:rFonts w:ascii="Arial" w:hAnsi="Arial" w:cs="Arial"/>
                <w:b/>
                <w:color w:val="000000"/>
                <w:sz w:val="16"/>
                <w:szCs w:val="16"/>
                <w:lang w:eastAsia="en-US"/>
              </w:rPr>
            </w:pPr>
            <w:r w:rsidRPr="003E5ED2">
              <w:rPr>
                <w:rFonts w:ascii="Arial" w:hAnsi="Arial" w:cs="Arial"/>
                <w:b/>
                <w:color w:val="000000"/>
                <w:sz w:val="16"/>
                <w:szCs w:val="16"/>
                <w:lang w:eastAsia="en-US"/>
              </w:rPr>
              <w:t>Obveze</w:t>
            </w:r>
          </w:p>
        </w:tc>
        <w:tc>
          <w:tcPr>
            <w:tcW w:w="506" w:type="dxa"/>
            <w:tcBorders>
              <w:top w:val="nil"/>
              <w:left w:val="nil"/>
              <w:bottom w:val="single" w:sz="4" w:space="0" w:color="auto"/>
              <w:right w:val="nil"/>
            </w:tcBorders>
            <w:shd w:val="clear" w:color="auto" w:fill="auto"/>
            <w:noWrap/>
            <w:vAlign w:val="center"/>
            <w:hideMark/>
          </w:tcPr>
          <w:p w:rsidR="00B370BB" w:rsidRPr="003E5ED2" w:rsidRDefault="00B370BB" w:rsidP="00283114">
            <w:pPr>
              <w:jc w:val="center"/>
              <w:rPr>
                <w:rFonts w:ascii="Arial" w:hAnsi="Arial" w:cs="Arial"/>
                <w:b/>
                <w:color w:val="000000"/>
                <w:sz w:val="16"/>
                <w:szCs w:val="16"/>
                <w:lang w:eastAsia="en-US"/>
              </w:rPr>
            </w:pPr>
            <w:r w:rsidRPr="003E5ED2">
              <w:rPr>
                <w:rFonts w:ascii="Arial" w:hAnsi="Arial" w:cs="Arial"/>
                <w:b/>
                <w:color w:val="000000"/>
                <w:sz w:val="16"/>
                <w:szCs w:val="16"/>
                <w:lang w:eastAsia="en-US"/>
              </w:rPr>
              <w:t>2</w:t>
            </w:r>
          </w:p>
        </w:tc>
        <w:tc>
          <w:tcPr>
            <w:tcW w:w="1428" w:type="dxa"/>
            <w:tcBorders>
              <w:top w:val="nil"/>
              <w:left w:val="nil"/>
              <w:bottom w:val="single" w:sz="4" w:space="0" w:color="auto"/>
              <w:right w:val="nil"/>
            </w:tcBorders>
            <w:shd w:val="clear" w:color="auto" w:fill="auto"/>
            <w:noWrap/>
            <w:vAlign w:val="center"/>
            <w:hideMark/>
          </w:tcPr>
          <w:p w:rsidR="00B370BB" w:rsidRPr="003E5ED2" w:rsidRDefault="004B73F8" w:rsidP="00283114">
            <w:pPr>
              <w:rPr>
                <w:rFonts w:ascii="Arial" w:hAnsi="Arial" w:cs="Arial"/>
                <w:b/>
                <w:color w:val="000000"/>
                <w:sz w:val="16"/>
                <w:szCs w:val="16"/>
                <w:lang w:eastAsia="en-US"/>
              </w:rPr>
            </w:pPr>
            <w:r w:rsidRPr="003E5ED2">
              <w:rPr>
                <w:rFonts w:ascii="Arial" w:hAnsi="Arial" w:cs="Arial"/>
                <w:b/>
                <w:color w:val="000000"/>
                <w:sz w:val="16"/>
                <w:szCs w:val="16"/>
                <w:lang w:eastAsia="en-US"/>
              </w:rPr>
              <w:t>64.690.064,92</w:t>
            </w:r>
          </w:p>
        </w:tc>
        <w:tc>
          <w:tcPr>
            <w:tcW w:w="1896" w:type="dxa"/>
            <w:tcBorders>
              <w:top w:val="nil"/>
              <w:left w:val="nil"/>
              <w:bottom w:val="single" w:sz="4" w:space="0" w:color="auto"/>
              <w:right w:val="nil"/>
            </w:tcBorders>
            <w:shd w:val="clear" w:color="auto" w:fill="auto"/>
            <w:noWrap/>
            <w:vAlign w:val="center"/>
            <w:hideMark/>
          </w:tcPr>
          <w:p w:rsidR="00B370BB" w:rsidRPr="003E5ED2" w:rsidRDefault="00364464" w:rsidP="00283114">
            <w:pPr>
              <w:jc w:val="center"/>
              <w:rPr>
                <w:rFonts w:ascii="Arial" w:hAnsi="Arial" w:cs="Arial"/>
                <w:b/>
                <w:color w:val="000000"/>
                <w:sz w:val="16"/>
                <w:szCs w:val="16"/>
                <w:highlight w:val="yellow"/>
                <w:lang w:eastAsia="en-US"/>
              </w:rPr>
            </w:pPr>
            <w:r w:rsidRPr="003E5ED2">
              <w:rPr>
                <w:rFonts w:ascii="Arial" w:hAnsi="Arial" w:cs="Arial"/>
                <w:b/>
                <w:color w:val="000000"/>
                <w:sz w:val="16"/>
                <w:szCs w:val="16"/>
                <w:lang w:eastAsia="en-US"/>
              </w:rPr>
              <w:t>57.468.386,67</w:t>
            </w:r>
          </w:p>
        </w:tc>
        <w:tc>
          <w:tcPr>
            <w:tcW w:w="1010" w:type="dxa"/>
            <w:tcBorders>
              <w:top w:val="nil"/>
              <w:left w:val="nil"/>
              <w:bottom w:val="single" w:sz="4" w:space="0" w:color="auto"/>
              <w:right w:val="nil"/>
            </w:tcBorders>
            <w:shd w:val="clear" w:color="auto" w:fill="auto"/>
            <w:noWrap/>
            <w:vAlign w:val="center"/>
            <w:hideMark/>
          </w:tcPr>
          <w:p w:rsidR="00B370BB" w:rsidRPr="003E5ED2" w:rsidRDefault="008D3B70" w:rsidP="00283114">
            <w:pPr>
              <w:jc w:val="center"/>
              <w:rPr>
                <w:rFonts w:ascii="Arial" w:hAnsi="Arial" w:cs="Arial"/>
                <w:b/>
                <w:color w:val="000000"/>
                <w:sz w:val="16"/>
                <w:szCs w:val="16"/>
                <w:highlight w:val="yellow"/>
                <w:lang w:eastAsia="en-US"/>
              </w:rPr>
            </w:pPr>
            <w:r w:rsidRPr="003E5ED2">
              <w:rPr>
                <w:rFonts w:ascii="Arial" w:hAnsi="Arial" w:cs="Arial"/>
                <w:b/>
                <w:color w:val="000000"/>
                <w:sz w:val="16"/>
                <w:szCs w:val="16"/>
                <w:lang w:eastAsia="en-US"/>
              </w:rPr>
              <w:t>88,8</w:t>
            </w:r>
          </w:p>
        </w:tc>
        <w:tc>
          <w:tcPr>
            <w:tcW w:w="1572" w:type="dxa"/>
            <w:tcBorders>
              <w:top w:val="nil"/>
              <w:left w:val="nil"/>
              <w:bottom w:val="single" w:sz="4" w:space="0" w:color="auto"/>
              <w:right w:val="single" w:sz="4" w:space="0" w:color="auto"/>
            </w:tcBorders>
            <w:shd w:val="clear" w:color="auto" w:fill="auto"/>
            <w:noWrap/>
            <w:vAlign w:val="center"/>
            <w:hideMark/>
          </w:tcPr>
          <w:p w:rsidR="00B370BB" w:rsidRPr="003E5ED2" w:rsidRDefault="00283114" w:rsidP="008D3B70">
            <w:pPr>
              <w:jc w:val="center"/>
              <w:rPr>
                <w:rFonts w:ascii="Arial" w:hAnsi="Arial" w:cs="Arial"/>
                <w:b/>
                <w:sz w:val="16"/>
                <w:szCs w:val="16"/>
                <w:highlight w:val="yellow"/>
                <w:lang w:eastAsia="en-US"/>
              </w:rPr>
            </w:pPr>
            <w:r w:rsidRPr="003E5ED2">
              <w:rPr>
                <w:rFonts w:ascii="Arial" w:hAnsi="Arial" w:cs="Arial"/>
                <w:b/>
                <w:sz w:val="16"/>
                <w:szCs w:val="16"/>
                <w:lang w:eastAsia="en-US"/>
              </w:rPr>
              <w:t xml:space="preserve">     </w:t>
            </w:r>
            <w:r w:rsidR="00673162" w:rsidRPr="003E5ED2">
              <w:rPr>
                <w:rFonts w:ascii="Arial" w:hAnsi="Arial" w:cs="Arial"/>
                <w:b/>
                <w:sz w:val="16"/>
                <w:szCs w:val="16"/>
                <w:lang w:eastAsia="en-US"/>
              </w:rPr>
              <w:t>-</w:t>
            </w:r>
            <w:r w:rsidR="008D3B70" w:rsidRPr="003E5ED2">
              <w:rPr>
                <w:rFonts w:ascii="Arial" w:hAnsi="Arial" w:cs="Arial"/>
                <w:b/>
                <w:sz w:val="16"/>
                <w:szCs w:val="16"/>
                <w:lang w:eastAsia="en-US"/>
              </w:rPr>
              <w:t>7.221.678,25</w:t>
            </w:r>
          </w:p>
        </w:tc>
      </w:tr>
      <w:tr w:rsidR="00B370BB" w:rsidRPr="003E5ED2" w:rsidTr="00AD3F28">
        <w:trPr>
          <w:trHeight w:val="592"/>
        </w:trPr>
        <w:tc>
          <w:tcPr>
            <w:tcW w:w="489" w:type="dxa"/>
            <w:tcBorders>
              <w:top w:val="nil"/>
              <w:left w:val="single" w:sz="4" w:space="0" w:color="auto"/>
              <w:bottom w:val="single" w:sz="4" w:space="0" w:color="auto"/>
              <w:right w:val="nil"/>
            </w:tcBorders>
            <w:shd w:val="clear" w:color="auto" w:fill="auto"/>
            <w:noWrap/>
            <w:vAlign w:val="center"/>
            <w:hideMark/>
          </w:tcPr>
          <w:p w:rsidR="00B370BB" w:rsidRPr="003E5ED2" w:rsidRDefault="00B370BB" w:rsidP="00EC2B03">
            <w:pPr>
              <w:jc w:val="both"/>
              <w:rPr>
                <w:rFonts w:ascii="Arial" w:hAnsi="Arial" w:cs="Arial"/>
                <w:color w:val="000000"/>
                <w:sz w:val="16"/>
                <w:szCs w:val="16"/>
                <w:lang w:eastAsia="en-US"/>
              </w:rPr>
            </w:pPr>
            <w:r w:rsidRPr="003E5ED2">
              <w:rPr>
                <w:rFonts w:ascii="Arial" w:hAnsi="Arial" w:cs="Arial"/>
                <w:color w:val="000000"/>
                <w:sz w:val="16"/>
                <w:szCs w:val="16"/>
                <w:lang w:eastAsia="en-US"/>
              </w:rPr>
              <w:t>23</w:t>
            </w:r>
          </w:p>
        </w:tc>
        <w:tc>
          <w:tcPr>
            <w:tcW w:w="3223" w:type="dxa"/>
            <w:tcBorders>
              <w:top w:val="nil"/>
              <w:left w:val="nil"/>
              <w:bottom w:val="single" w:sz="4" w:space="0" w:color="auto"/>
              <w:right w:val="nil"/>
            </w:tcBorders>
            <w:shd w:val="clear" w:color="auto" w:fill="auto"/>
            <w:noWrap/>
            <w:vAlign w:val="center"/>
            <w:hideMark/>
          </w:tcPr>
          <w:p w:rsidR="00B370BB" w:rsidRPr="003E5ED2" w:rsidRDefault="00B370BB" w:rsidP="00EC2B03">
            <w:pPr>
              <w:jc w:val="both"/>
              <w:rPr>
                <w:rFonts w:ascii="Arial" w:hAnsi="Arial" w:cs="Arial"/>
                <w:color w:val="000000"/>
                <w:sz w:val="16"/>
                <w:szCs w:val="16"/>
                <w:lang w:eastAsia="en-US"/>
              </w:rPr>
            </w:pPr>
            <w:r w:rsidRPr="003E5ED2">
              <w:rPr>
                <w:rFonts w:ascii="Arial" w:hAnsi="Arial" w:cs="Arial"/>
                <w:color w:val="000000"/>
                <w:sz w:val="16"/>
                <w:szCs w:val="16"/>
                <w:lang w:eastAsia="en-US"/>
              </w:rPr>
              <w:t>Obveze za rashode poslovanja</w:t>
            </w:r>
          </w:p>
        </w:tc>
        <w:tc>
          <w:tcPr>
            <w:tcW w:w="506" w:type="dxa"/>
            <w:tcBorders>
              <w:top w:val="nil"/>
              <w:left w:val="nil"/>
              <w:bottom w:val="single" w:sz="4" w:space="0" w:color="auto"/>
              <w:right w:val="nil"/>
            </w:tcBorders>
            <w:shd w:val="clear" w:color="auto" w:fill="auto"/>
            <w:noWrap/>
            <w:vAlign w:val="center"/>
            <w:hideMark/>
          </w:tcPr>
          <w:p w:rsidR="00B370BB" w:rsidRPr="003E5ED2" w:rsidRDefault="00B370BB" w:rsidP="00EC2B03">
            <w:pPr>
              <w:jc w:val="center"/>
              <w:rPr>
                <w:rFonts w:ascii="Arial" w:hAnsi="Arial" w:cs="Arial"/>
                <w:color w:val="000000"/>
                <w:sz w:val="16"/>
                <w:szCs w:val="16"/>
                <w:lang w:eastAsia="en-US"/>
              </w:rPr>
            </w:pPr>
            <w:r w:rsidRPr="003E5ED2">
              <w:rPr>
                <w:rFonts w:ascii="Arial" w:hAnsi="Arial" w:cs="Arial"/>
                <w:color w:val="000000"/>
                <w:sz w:val="16"/>
                <w:szCs w:val="16"/>
                <w:lang w:eastAsia="en-US"/>
              </w:rPr>
              <w:t>23</w:t>
            </w:r>
          </w:p>
        </w:tc>
        <w:tc>
          <w:tcPr>
            <w:tcW w:w="1428" w:type="dxa"/>
            <w:tcBorders>
              <w:top w:val="nil"/>
              <w:left w:val="nil"/>
              <w:bottom w:val="single" w:sz="4" w:space="0" w:color="auto"/>
              <w:right w:val="nil"/>
            </w:tcBorders>
            <w:shd w:val="clear" w:color="auto" w:fill="auto"/>
            <w:noWrap/>
            <w:vAlign w:val="center"/>
            <w:hideMark/>
          </w:tcPr>
          <w:p w:rsidR="00B370BB" w:rsidRPr="003E5ED2" w:rsidRDefault="004B73F8" w:rsidP="00547071">
            <w:pPr>
              <w:rPr>
                <w:rFonts w:ascii="Arial" w:hAnsi="Arial" w:cs="Arial"/>
                <w:color w:val="000000"/>
                <w:sz w:val="16"/>
                <w:szCs w:val="16"/>
                <w:lang w:eastAsia="en-US"/>
              </w:rPr>
            </w:pPr>
            <w:r w:rsidRPr="003E5ED2">
              <w:rPr>
                <w:rFonts w:ascii="Arial" w:hAnsi="Arial" w:cs="Arial"/>
                <w:color w:val="000000"/>
                <w:sz w:val="16"/>
                <w:szCs w:val="16"/>
                <w:lang w:eastAsia="en-US"/>
              </w:rPr>
              <w:t>18.160.909,08</w:t>
            </w:r>
          </w:p>
        </w:tc>
        <w:tc>
          <w:tcPr>
            <w:tcW w:w="1896" w:type="dxa"/>
            <w:tcBorders>
              <w:top w:val="nil"/>
              <w:left w:val="nil"/>
              <w:bottom w:val="single" w:sz="4" w:space="0" w:color="auto"/>
              <w:right w:val="nil"/>
            </w:tcBorders>
            <w:shd w:val="clear" w:color="auto" w:fill="auto"/>
            <w:noWrap/>
            <w:vAlign w:val="center"/>
            <w:hideMark/>
          </w:tcPr>
          <w:p w:rsidR="00B370BB" w:rsidRPr="003E5ED2" w:rsidRDefault="00364464" w:rsidP="004637B5">
            <w:pPr>
              <w:jc w:val="center"/>
              <w:rPr>
                <w:rFonts w:ascii="Arial" w:hAnsi="Arial" w:cs="Arial"/>
                <w:color w:val="000000"/>
                <w:sz w:val="16"/>
                <w:szCs w:val="16"/>
                <w:highlight w:val="yellow"/>
                <w:lang w:eastAsia="en-US"/>
              </w:rPr>
            </w:pPr>
            <w:r w:rsidRPr="003E5ED2">
              <w:rPr>
                <w:rFonts w:ascii="Arial" w:hAnsi="Arial" w:cs="Arial"/>
                <w:color w:val="000000"/>
                <w:sz w:val="16"/>
                <w:szCs w:val="16"/>
                <w:lang w:eastAsia="en-US"/>
              </w:rPr>
              <w:t>18.955.401,76</w:t>
            </w:r>
          </w:p>
        </w:tc>
        <w:tc>
          <w:tcPr>
            <w:tcW w:w="1010" w:type="dxa"/>
            <w:tcBorders>
              <w:top w:val="nil"/>
              <w:left w:val="nil"/>
              <w:bottom w:val="single" w:sz="4" w:space="0" w:color="auto"/>
              <w:right w:val="nil"/>
            </w:tcBorders>
            <w:shd w:val="clear" w:color="auto" w:fill="auto"/>
            <w:noWrap/>
            <w:vAlign w:val="center"/>
            <w:hideMark/>
          </w:tcPr>
          <w:p w:rsidR="00B370BB" w:rsidRPr="003E5ED2" w:rsidRDefault="008D3B70" w:rsidP="004637B5">
            <w:pPr>
              <w:jc w:val="center"/>
              <w:rPr>
                <w:rFonts w:ascii="Arial" w:hAnsi="Arial" w:cs="Arial"/>
                <w:color w:val="000000"/>
                <w:sz w:val="16"/>
                <w:szCs w:val="16"/>
                <w:highlight w:val="yellow"/>
                <w:lang w:eastAsia="en-US"/>
              </w:rPr>
            </w:pPr>
            <w:r w:rsidRPr="003E5ED2">
              <w:rPr>
                <w:rFonts w:ascii="Arial" w:hAnsi="Arial" w:cs="Arial"/>
                <w:color w:val="000000"/>
                <w:sz w:val="16"/>
                <w:szCs w:val="16"/>
                <w:lang w:eastAsia="en-US"/>
              </w:rPr>
              <w:t>104,4</w:t>
            </w:r>
          </w:p>
        </w:tc>
        <w:tc>
          <w:tcPr>
            <w:tcW w:w="1572" w:type="dxa"/>
            <w:tcBorders>
              <w:top w:val="nil"/>
              <w:left w:val="nil"/>
              <w:bottom w:val="single" w:sz="4" w:space="0" w:color="auto"/>
              <w:right w:val="single" w:sz="4" w:space="0" w:color="auto"/>
            </w:tcBorders>
            <w:shd w:val="clear" w:color="auto" w:fill="auto"/>
            <w:noWrap/>
            <w:vAlign w:val="center"/>
            <w:hideMark/>
          </w:tcPr>
          <w:p w:rsidR="00B370BB" w:rsidRPr="003E5ED2" w:rsidRDefault="008D3B70" w:rsidP="004637B5">
            <w:pPr>
              <w:jc w:val="center"/>
              <w:rPr>
                <w:rFonts w:ascii="Arial" w:hAnsi="Arial" w:cs="Arial"/>
                <w:color w:val="000000"/>
                <w:sz w:val="16"/>
                <w:szCs w:val="16"/>
                <w:highlight w:val="yellow"/>
                <w:lang w:eastAsia="en-US"/>
              </w:rPr>
            </w:pPr>
            <w:r w:rsidRPr="003E5ED2">
              <w:rPr>
                <w:rFonts w:ascii="Arial" w:hAnsi="Arial" w:cs="Arial"/>
                <w:color w:val="000000"/>
                <w:sz w:val="16"/>
                <w:szCs w:val="16"/>
                <w:lang w:eastAsia="en-US"/>
              </w:rPr>
              <w:t xml:space="preserve">        </w:t>
            </w:r>
            <w:r w:rsidR="000A04AB" w:rsidRPr="003E5ED2">
              <w:rPr>
                <w:rFonts w:ascii="Arial" w:hAnsi="Arial" w:cs="Arial"/>
                <w:color w:val="000000"/>
                <w:sz w:val="16"/>
                <w:szCs w:val="16"/>
                <w:lang w:eastAsia="en-US"/>
              </w:rPr>
              <w:t xml:space="preserve"> </w:t>
            </w:r>
            <w:r w:rsidRPr="003E5ED2">
              <w:rPr>
                <w:rFonts w:ascii="Arial" w:hAnsi="Arial" w:cs="Arial"/>
                <w:color w:val="000000"/>
                <w:sz w:val="16"/>
                <w:szCs w:val="16"/>
                <w:lang w:eastAsia="en-US"/>
              </w:rPr>
              <w:t>794.492,68</w:t>
            </w:r>
          </w:p>
        </w:tc>
      </w:tr>
      <w:tr w:rsidR="00B370BB" w:rsidRPr="003E5ED2" w:rsidTr="00AD3F28">
        <w:trPr>
          <w:trHeight w:val="592"/>
        </w:trPr>
        <w:tc>
          <w:tcPr>
            <w:tcW w:w="489" w:type="dxa"/>
            <w:tcBorders>
              <w:top w:val="nil"/>
              <w:left w:val="single" w:sz="4" w:space="0" w:color="auto"/>
              <w:bottom w:val="single" w:sz="4" w:space="0" w:color="auto"/>
              <w:right w:val="nil"/>
            </w:tcBorders>
            <w:shd w:val="clear" w:color="auto" w:fill="auto"/>
            <w:noWrap/>
            <w:vAlign w:val="center"/>
            <w:hideMark/>
          </w:tcPr>
          <w:p w:rsidR="00B370BB" w:rsidRPr="003E5ED2" w:rsidRDefault="00B370BB" w:rsidP="00EC2B03">
            <w:pPr>
              <w:jc w:val="both"/>
              <w:rPr>
                <w:rFonts w:ascii="Arial" w:hAnsi="Arial" w:cs="Arial"/>
                <w:color w:val="000000"/>
                <w:sz w:val="16"/>
                <w:szCs w:val="16"/>
                <w:lang w:eastAsia="en-US"/>
              </w:rPr>
            </w:pPr>
            <w:r w:rsidRPr="003E5ED2">
              <w:rPr>
                <w:rFonts w:ascii="Arial" w:hAnsi="Arial" w:cs="Arial"/>
                <w:color w:val="000000"/>
                <w:sz w:val="16"/>
                <w:szCs w:val="16"/>
                <w:lang w:eastAsia="en-US"/>
              </w:rPr>
              <w:t>24</w:t>
            </w:r>
          </w:p>
        </w:tc>
        <w:tc>
          <w:tcPr>
            <w:tcW w:w="3223" w:type="dxa"/>
            <w:tcBorders>
              <w:top w:val="nil"/>
              <w:left w:val="nil"/>
              <w:bottom w:val="single" w:sz="4" w:space="0" w:color="auto"/>
              <w:right w:val="nil"/>
            </w:tcBorders>
            <w:shd w:val="clear" w:color="auto" w:fill="auto"/>
            <w:noWrap/>
            <w:vAlign w:val="center"/>
            <w:hideMark/>
          </w:tcPr>
          <w:p w:rsidR="00B370BB" w:rsidRPr="003E5ED2" w:rsidRDefault="00564FAC" w:rsidP="00EC2B03">
            <w:pPr>
              <w:jc w:val="both"/>
              <w:rPr>
                <w:rFonts w:ascii="Arial" w:hAnsi="Arial" w:cs="Arial"/>
                <w:color w:val="000000"/>
                <w:sz w:val="16"/>
                <w:szCs w:val="16"/>
                <w:lang w:eastAsia="en-US"/>
              </w:rPr>
            </w:pPr>
            <w:r w:rsidRPr="003E5ED2">
              <w:rPr>
                <w:rFonts w:ascii="Arial" w:hAnsi="Arial" w:cs="Arial"/>
                <w:color w:val="000000"/>
                <w:sz w:val="16"/>
                <w:szCs w:val="16"/>
                <w:lang w:eastAsia="en-US"/>
              </w:rPr>
              <w:t xml:space="preserve">Obveze za </w:t>
            </w:r>
            <w:r w:rsidR="00B370BB" w:rsidRPr="003E5ED2">
              <w:rPr>
                <w:rFonts w:ascii="Arial" w:hAnsi="Arial" w:cs="Arial"/>
                <w:color w:val="000000"/>
                <w:sz w:val="16"/>
                <w:szCs w:val="16"/>
                <w:lang w:eastAsia="en-US"/>
              </w:rPr>
              <w:t>nabavu nefinancijske imovine</w:t>
            </w:r>
          </w:p>
        </w:tc>
        <w:tc>
          <w:tcPr>
            <w:tcW w:w="506" w:type="dxa"/>
            <w:tcBorders>
              <w:top w:val="nil"/>
              <w:left w:val="nil"/>
              <w:bottom w:val="single" w:sz="4" w:space="0" w:color="auto"/>
              <w:right w:val="nil"/>
            </w:tcBorders>
            <w:shd w:val="clear" w:color="auto" w:fill="auto"/>
            <w:noWrap/>
            <w:vAlign w:val="center"/>
            <w:hideMark/>
          </w:tcPr>
          <w:p w:rsidR="00B370BB" w:rsidRPr="003E5ED2" w:rsidRDefault="00B370BB" w:rsidP="00EC2B03">
            <w:pPr>
              <w:jc w:val="center"/>
              <w:rPr>
                <w:rFonts w:ascii="Arial" w:hAnsi="Arial" w:cs="Arial"/>
                <w:color w:val="000000"/>
                <w:sz w:val="16"/>
                <w:szCs w:val="16"/>
                <w:lang w:eastAsia="en-US"/>
              </w:rPr>
            </w:pPr>
            <w:r w:rsidRPr="003E5ED2">
              <w:rPr>
                <w:rFonts w:ascii="Arial" w:hAnsi="Arial" w:cs="Arial"/>
                <w:color w:val="000000"/>
                <w:sz w:val="16"/>
                <w:szCs w:val="16"/>
                <w:lang w:eastAsia="en-US"/>
              </w:rPr>
              <w:t>24</w:t>
            </w:r>
          </w:p>
        </w:tc>
        <w:tc>
          <w:tcPr>
            <w:tcW w:w="1428" w:type="dxa"/>
            <w:tcBorders>
              <w:top w:val="nil"/>
              <w:left w:val="nil"/>
              <w:bottom w:val="single" w:sz="4" w:space="0" w:color="auto"/>
              <w:right w:val="nil"/>
            </w:tcBorders>
            <w:shd w:val="clear" w:color="auto" w:fill="auto"/>
            <w:noWrap/>
            <w:vAlign w:val="center"/>
            <w:hideMark/>
          </w:tcPr>
          <w:p w:rsidR="00B370BB" w:rsidRPr="003E5ED2" w:rsidRDefault="0077139A" w:rsidP="004B73F8">
            <w:pPr>
              <w:rPr>
                <w:rFonts w:ascii="Arial" w:hAnsi="Arial" w:cs="Arial"/>
                <w:color w:val="000000"/>
                <w:sz w:val="16"/>
                <w:szCs w:val="16"/>
                <w:lang w:eastAsia="en-US"/>
              </w:rPr>
            </w:pPr>
            <w:r w:rsidRPr="003E5ED2">
              <w:rPr>
                <w:rFonts w:ascii="Arial" w:hAnsi="Arial" w:cs="Arial"/>
                <w:color w:val="000000"/>
                <w:sz w:val="16"/>
                <w:szCs w:val="16"/>
                <w:lang w:eastAsia="en-US"/>
              </w:rPr>
              <w:t xml:space="preserve"> </w:t>
            </w:r>
            <w:r w:rsidR="00547071" w:rsidRPr="003E5ED2">
              <w:rPr>
                <w:rFonts w:ascii="Arial" w:hAnsi="Arial" w:cs="Arial"/>
                <w:color w:val="000000"/>
                <w:sz w:val="16"/>
                <w:szCs w:val="16"/>
                <w:lang w:eastAsia="en-US"/>
              </w:rPr>
              <w:t xml:space="preserve"> </w:t>
            </w:r>
            <w:r w:rsidR="004B73F8" w:rsidRPr="003E5ED2">
              <w:rPr>
                <w:rFonts w:ascii="Arial" w:hAnsi="Arial" w:cs="Arial"/>
                <w:color w:val="000000"/>
                <w:sz w:val="16"/>
                <w:szCs w:val="16"/>
                <w:lang w:eastAsia="en-US"/>
              </w:rPr>
              <w:t>6.459.930,21</w:t>
            </w:r>
          </w:p>
        </w:tc>
        <w:tc>
          <w:tcPr>
            <w:tcW w:w="1896" w:type="dxa"/>
            <w:tcBorders>
              <w:top w:val="nil"/>
              <w:left w:val="nil"/>
              <w:bottom w:val="single" w:sz="4" w:space="0" w:color="auto"/>
              <w:right w:val="nil"/>
            </w:tcBorders>
            <w:shd w:val="clear" w:color="auto" w:fill="auto"/>
            <w:noWrap/>
            <w:vAlign w:val="center"/>
            <w:hideMark/>
          </w:tcPr>
          <w:p w:rsidR="00B370BB" w:rsidRPr="003E5ED2" w:rsidRDefault="00364464" w:rsidP="0077139A">
            <w:pPr>
              <w:jc w:val="center"/>
              <w:rPr>
                <w:rFonts w:ascii="Arial" w:hAnsi="Arial" w:cs="Arial"/>
                <w:color w:val="000000"/>
                <w:sz w:val="16"/>
                <w:szCs w:val="16"/>
                <w:highlight w:val="yellow"/>
                <w:lang w:eastAsia="en-US"/>
              </w:rPr>
            </w:pPr>
            <w:r w:rsidRPr="003E5ED2">
              <w:rPr>
                <w:rFonts w:ascii="Arial" w:hAnsi="Arial" w:cs="Arial"/>
                <w:color w:val="000000"/>
                <w:sz w:val="16"/>
                <w:szCs w:val="16"/>
                <w:lang w:eastAsia="en-US"/>
              </w:rPr>
              <w:t xml:space="preserve"> 1.994.152,60</w:t>
            </w:r>
          </w:p>
        </w:tc>
        <w:tc>
          <w:tcPr>
            <w:tcW w:w="1010" w:type="dxa"/>
            <w:tcBorders>
              <w:top w:val="nil"/>
              <w:left w:val="nil"/>
              <w:bottom w:val="single" w:sz="4" w:space="0" w:color="auto"/>
              <w:right w:val="nil"/>
            </w:tcBorders>
            <w:shd w:val="clear" w:color="auto" w:fill="auto"/>
            <w:noWrap/>
            <w:vAlign w:val="center"/>
            <w:hideMark/>
          </w:tcPr>
          <w:p w:rsidR="00B370BB" w:rsidRPr="003E5ED2" w:rsidRDefault="008D3B70" w:rsidP="00EC2B03">
            <w:pPr>
              <w:jc w:val="center"/>
              <w:rPr>
                <w:rFonts w:ascii="Arial" w:hAnsi="Arial" w:cs="Arial"/>
                <w:color w:val="000000"/>
                <w:sz w:val="16"/>
                <w:szCs w:val="16"/>
                <w:highlight w:val="yellow"/>
                <w:lang w:eastAsia="en-US"/>
              </w:rPr>
            </w:pPr>
            <w:r w:rsidRPr="003E5ED2">
              <w:rPr>
                <w:rFonts w:ascii="Arial" w:hAnsi="Arial" w:cs="Arial"/>
                <w:color w:val="000000"/>
                <w:sz w:val="16"/>
                <w:szCs w:val="16"/>
                <w:lang w:eastAsia="en-US"/>
              </w:rPr>
              <w:t>30,9</w:t>
            </w:r>
          </w:p>
        </w:tc>
        <w:tc>
          <w:tcPr>
            <w:tcW w:w="1572" w:type="dxa"/>
            <w:tcBorders>
              <w:top w:val="nil"/>
              <w:left w:val="nil"/>
              <w:bottom w:val="single" w:sz="4" w:space="0" w:color="auto"/>
              <w:right w:val="single" w:sz="4" w:space="0" w:color="auto"/>
            </w:tcBorders>
            <w:shd w:val="clear" w:color="auto" w:fill="auto"/>
            <w:noWrap/>
            <w:vAlign w:val="center"/>
            <w:hideMark/>
          </w:tcPr>
          <w:p w:rsidR="00B370BB" w:rsidRPr="003E5ED2" w:rsidRDefault="00673162" w:rsidP="00A37CEA">
            <w:pPr>
              <w:jc w:val="center"/>
              <w:rPr>
                <w:rFonts w:ascii="Arial" w:hAnsi="Arial" w:cs="Arial"/>
                <w:color w:val="000000"/>
                <w:sz w:val="16"/>
                <w:szCs w:val="16"/>
                <w:highlight w:val="yellow"/>
                <w:lang w:eastAsia="en-US"/>
              </w:rPr>
            </w:pPr>
            <w:r w:rsidRPr="003E5ED2">
              <w:rPr>
                <w:rFonts w:ascii="Arial" w:hAnsi="Arial" w:cs="Arial"/>
                <w:color w:val="000000"/>
                <w:sz w:val="16"/>
                <w:szCs w:val="16"/>
                <w:lang w:eastAsia="en-US"/>
              </w:rPr>
              <w:t xml:space="preserve">     </w:t>
            </w:r>
            <w:r w:rsidR="00A37CEA" w:rsidRPr="003E5ED2">
              <w:rPr>
                <w:rFonts w:ascii="Arial" w:hAnsi="Arial" w:cs="Arial"/>
                <w:color w:val="000000"/>
                <w:sz w:val="16"/>
                <w:szCs w:val="16"/>
                <w:lang w:eastAsia="en-US"/>
              </w:rPr>
              <w:t>-</w:t>
            </w:r>
            <w:r w:rsidRPr="003E5ED2">
              <w:rPr>
                <w:rFonts w:ascii="Arial" w:hAnsi="Arial" w:cs="Arial"/>
                <w:color w:val="000000"/>
                <w:sz w:val="16"/>
                <w:szCs w:val="16"/>
                <w:lang w:eastAsia="en-US"/>
              </w:rPr>
              <w:t>4.465.777,61</w:t>
            </w:r>
          </w:p>
        </w:tc>
      </w:tr>
      <w:tr w:rsidR="00B370BB" w:rsidRPr="003E5ED2" w:rsidTr="00AD3F28">
        <w:trPr>
          <w:trHeight w:val="592"/>
        </w:trPr>
        <w:tc>
          <w:tcPr>
            <w:tcW w:w="489" w:type="dxa"/>
            <w:tcBorders>
              <w:top w:val="nil"/>
              <w:left w:val="single" w:sz="4" w:space="0" w:color="auto"/>
              <w:bottom w:val="single" w:sz="4" w:space="0" w:color="auto"/>
              <w:right w:val="nil"/>
            </w:tcBorders>
            <w:shd w:val="clear" w:color="auto" w:fill="auto"/>
            <w:noWrap/>
            <w:vAlign w:val="center"/>
            <w:hideMark/>
          </w:tcPr>
          <w:p w:rsidR="00B370BB" w:rsidRPr="003E5ED2" w:rsidRDefault="00B370BB" w:rsidP="00EC2B03">
            <w:pPr>
              <w:jc w:val="both"/>
              <w:rPr>
                <w:rFonts w:ascii="Arial" w:hAnsi="Arial" w:cs="Arial"/>
                <w:color w:val="000000"/>
                <w:sz w:val="16"/>
                <w:szCs w:val="16"/>
                <w:lang w:eastAsia="en-US"/>
              </w:rPr>
            </w:pPr>
            <w:r w:rsidRPr="003E5ED2">
              <w:rPr>
                <w:rFonts w:ascii="Arial" w:hAnsi="Arial" w:cs="Arial"/>
                <w:color w:val="000000"/>
                <w:sz w:val="16"/>
                <w:szCs w:val="16"/>
                <w:lang w:eastAsia="en-US"/>
              </w:rPr>
              <w:t>26</w:t>
            </w:r>
          </w:p>
        </w:tc>
        <w:tc>
          <w:tcPr>
            <w:tcW w:w="3223" w:type="dxa"/>
            <w:tcBorders>
              <w:top w:val="nil"/>
              <w:left w:val="nil"/>
              <w:bottom w:val="single" w:sz="4" w:space="0" w:color="auto"/>
              <w:right w:val="nil"/>
            </w:tcBorders>
            <w:shd w:val="clear" w:color="auto" w:fill="auto"/>
            <w:noWrap/>
            <w:vAlign w:val="center"/>
            <w:hideMark/>
          </w:tcPr>
          <w:p w:rsidR="00B370BB" w:rsidRPr="003E5ED2" w:rsidRDefault="00B370BB" w:rsidP="00EC2B03">
            <w:pPr>
              <w:jc w:val="both"/>
              <w:rPr>
                <w:rFonts w:ascii="Arial" w:hAnsi="Arial" w:cs="Arial"/>
                <w:color w:val="000000"/>
                <w:sz w:val="16"/>
                <w:szCs w:val="16"/>
                <w:lang w:eastAsia="en-US"/>
              </w:rPr>
            </w:pPr>
            <w:r w:rsidRPr="003E5ED2">
              <w:rPr>
                <w:rFonts w:ascii="Arial" w:hAnsi="Arial" w:cs="Arial"/>
                <w:color w:val="000000"/>
                <w:sz w:val="16"/>
                <w:szCs w:val="16"/>
                <w:lang w:eastAsia="en-US"/>
              </w:rPr>
              <w:t>Obveze za kredite i zajmove</w:t>
            </w:r>
          </w:p>
        </w:tc>
        <w:tc>
          <w:tcPr>
            <w:tcW w:w="506" w:type="dxa"/>
            <w:tcBorders>
              <w:top w:val="nil"/>
              <w:left w:val="nil"/>
              <w:bottom w:val="single" w:sz="4" w:space="0" w:color="auto"/>
              <w:right w:val="nil"/>
            </w:tcBorders>
            <w:shd w:val="clear" w:color="auto" w:fill="auto"/>
            <w:noWrap/>
            <w:vAlign w:val="center"/>
            <w:hideMark/>
          </w:tcPr>
          <w:p w:rsidR="00B370BB" w:rsidRPr="003E5ED2" w:rsidRDefault="00B370BB" w:rsidP="00EC2B03">
            <w:pPr>
              <w:jc w:val="center"/>
              <w:rPr>
                <w:rFonts w:ascii="Arial" w:hAnsi="Arial" w:cs="Arial"/>
                <w:color w:val="000000"/>
                <w:sz w:val="16"/>
                <w:szCs w:val="16"/>
                <w:lang w:eastAsia="en-US"/>
              </w:rPr>
            </w:pPr>
            <w:r w:rsidRPr="003E5ED2">
              <w:rPr>
                <w:rFonts w:ascii="Arial" w:hAnsi="Arial" w:cs="Arial"/>
                <w:color w:val="000000"/>
                <w:sz w:val="16"/>
                <w:szCs w:val="16"/>
                <w:lang w:eastAsia="en-US"/>
              </w:rPr>
              <w:t>26</w:t>
            </w:r>
          </w:p>
        </w:tc>
        <w:tc>
          <w:tcPr>
            <w:tcW w:w="1428" w:type="dxa"/>
            <w:tcBorders>
              <w:top w:val="nil"/>
              <w:left w:val="nil"/>
              <w:bottom w:val="single" w:sz="4" w:space="0" w:color="auto"/>
              <w:right w:val="nil"/>
            </w:tcBorders>
            <w:shd w:val="clear" w:color="auto" w:fill="auto"/>
            <w:noWrap/>
            <w:vAlign w:val="center"/>
            <w:hideMark/>
          </w:tcPr>
          <w:p w:rsidR="00B370BB" w:rsidRPr="003E5ED2" w:rsidRDefault="004B73F8" w:rsidP="00547071">
            <w:pPr>
              <w:rPr>
                <w:rFonts w:ascii="Arial" w:hAnsi="Arial" w:cs="Arial"/>
                <w:color w:val="000000"/>
                <w:sz w:val="16"/>
                <w:szCs w:val="16"/>
                <w:lang w:eastAsia="en-US"/>
              </w:rPr>
            </w:pPr>
            <w:r w:rsidRPr="003E5ED2">
              <w:rPr>
                <w:rFonts w:ascii="Arial" w:hAnsi="Arial" w:cs="Arial"/>
                <w:color w:val="000000"/>
                <w:sz w:val="16"/>
                <w:szCs w:val="16"/>
                <w:lang w:eastAsia="en-US"/>
              </w:rPr>
              <w:t>39.998.529,71</w:t>
            </w:r>
          </w:p>
        </w:tc>
        <w:tc>
          <w:tcPr>
            <w:tcW w:w="1896" w:type="dxa"/>
            <w:tcBorders>
              <w:top w:val="nil"/>
              <w:left w:val="nil"/>
              <w:bottom w:val="single" w:sz="4" w:space="0" w:color="auto"/>
              <w:right w:val="nil"/>
            </w:tcBorders>
            <w:shd w:val="clear" w:color="auto" w:fill="auto"/>
            <w:noWrap/>
            <w:vAlign w:val="center"/>
            <w:hideMark/>
          </w:tcPr>
          <w:p w:rsidR="00B370BB" w:rsidRPr="003E5ED2" w:rsidRDefault="00364464" w:rsidP="0077139A">
            <w:pPr>
              <w:rPr>
                <w:rFonts w:ascii="Arial" w:hAnsi="Arial" w:cs="Arial"/>
                <w:color w:val="000000"/>
                <w:sz w:val="16"/>
                <w:szCs w:val="16"/>
                <w:highlight w:val="yellow"/>
                <w:lang w:eastAsia="en-US"/>
              </w:rPr>
            </w:pPr>
            <w:r w:rsidRPr="003E5ED2">
              <w:rPr>
                <w:rFonts w:ascii="Arial" w:hAnsi="Arial" w:cs="Arial"/>
                <w:color w:val="000000"/>
                <w:sz w:val="16"/>
                <w:szCs w:val="16"/>
                <w:lang w:eastAsia="en-US"/>
              </w:rPr>
              <w:t xml:space="preserve">       36.454.440,37</w:t>
            </w:r>
          </w:p>
        </w:tc>
        <w:tc>
          <w:tcPr>
            <w:tcW w:w="1010" w:type="dxa"/>
            <w:tcBorders>
              <w:top w:val="nil"/>
              <w:left w:val="nil"/>
              <w:bottom w:val="single" w:sz="4" w:space="0" w:color="auto"/>
              <w:right w:val="nil"/>
            </w:tcBorders>
            <w:shd w:val="clear" w:color="auto" w:fill="auto"/>
            <w:noWrap/>
            <w:vAlign w:val="center"/>
            <w:hideMark/>
          </w:tcPr>
          <w:p w:rsidR="00B370BB" w:rsidRPr="003E5ED2" w:rsidRDefault="008D3B70" w:rsidP="00EC2B03">
            <w:pPr>
              <w:jc w:val="center"/>
              <w:rPr>
                <w:rFonts w:ascii="Arial" w:hAnsi="Arial" w:cs="Arial"/>
                <w:color w:val="000000"/>
                <w:sz w:val="16"/>
                <w:szCs w:val="16"/>
                <w:highlight w:val="yellow"/>
                <w:lang w:eastAsia="en-US"/>
              </w:rPr>
            </w:pPr>
            <w:r w:rsidRPr="003E5ED2">
              <w:rPr>
                <w:rFonts w:ascii="Arial" w:hAnsi="Arial" w:cs="Arial"/>
                <w:color w:val="000000"/>
                <w:sz w:val="16"/>
                <w:szCs w:val="16"/>
                <w:lang w:eastAsia="en-US"/>
              </w:rPr>
              <w:t>91,1</w:t>
            </w:r>
          </w:p>
        </w:tc>
        <w:tc>
          <w:tcPr>
            <w:tcW w:w="1572" w:type="dxa"/>
            <w:tcBorders>
              <w:top w:val="nil"/>
              <w:left w:val="nil"/>
              <w:bottom w:val="single" w:sz="4" w:space="0" w:color="auto"/>
              <w:right w:val="single" w:sz="4" w:space="0" w:color="auto"/>
            </w:tcBorders>
            <w:shd w:val="clear" w:color="auto" w:fill="auto"/>
            <w:noWrap/>
            <w:vAlign w:val="center"/>
            <w:hideMark/>
          </w:tcPr>
          <w:p w:rsidR="00B370BB" w:rsidRPr="003E5ED2" w:rsidRDefault="00A37CEA" w:rsidP="00A37CEA">
            <w:pPr>
              <w:rPr>
                <w:rFonts w:ascii="Arial" w:hAnsi="Arial" w:cs="Arial"/>
                <w:color w:val="000000"/>
                <w:sz w:val="16"/>
                <w:szCs w:val="16"/>
                <w:highlight w:val="yellow"/>
                <w:lang w:eastAsia="en-US"/>
              </w:rPr>
            </w:pPr>
            <w:r w:rsidRPr="003E5ED2">
              <w:rPr>
                <w:rFonts w:ascii="Arial" w:hAnsi="Arial" w:cs="Arial"/>
                <w:color w:val="000000"/>
                <w:sz w:val="16"/>
                <w:szCs w:val="16"/>
                <w:lang w:eastAsia="en-US"/>
              </w:rPr>
              <w:t xml:space="preserve">      -3.544.089,34</w:t>
            </w:r>
          </w:p>
        </w:tc>
      </w:tr>
      <w:tr w:rsidR="00B370BB" w:rsidRPr="003E5ED2" w:rsidTr="00AD3F28">
        <w:trPr>
          <w:trHeight w:val="592"/>
        </w:trPr>
        <w:tc>
          <w:tcPr>
            <w:tcW w:w="489" w:type="dxa"/>
            <w:tcBorders>
              <w:top w:val="nil"/>
              <w:left w:val="single" w:sz="4" w:space="0" w:color="auto"/>
              <w:bottom w:val="single" w:sz="4" w:space="0" w:color="auto"/>
              <w:right w:val="nil"/>
            </w:tcBorders>
            <w:shd w:val="clear" w:color="auto" w:fill="auto"/>
            <w:vAlign w:val="center"/>
            <w:hideMark/>
          </w:tcPr>
          <w:p w:rsidR="00B370BB" w:rsidRPr="003E5ED2" w:rsidRDefault="00B370BB" w:rsidP="00EC2B03">
            <w:pPr>
              <w:jc w:val="both"/>
              <w:rPr>
                <w:rFonts w:ascii="Arial" w:hAnsi="Arial" w:cs="Arial"/>
                <w:color w:val="000000"/>
                <w:sz w:val="16"/>
                <w:szCs w:val="16"/>
                <w:lang w:eastAsia="en-US"/>
              </w:rPr>
            </w:pPr>
            <w:r w:rsidRPr="003E5ED2">
              <w:rPr>
                <w:rFonts w:ascii="Arial" w:hAnsi="Arial" w:cs="Arial"/>
                <w:color w:val="000000"/>
                <w:sz w:val="16"/>
                <w:szCs w:val="16"/>
                <w:lang w:eastAsia="en-US"/>
              </w:rPr>
              <w:t>29</w:t>
            </w:r>
          </w:p>
        </w:tc>
        <w:tc>
          <w:tcPr>
            <w:tcW w:w="3223" w:type="dxa"/>
            <w:tcBorders>
              <w:top w:val="nil"/>
              <w:left w:val="nil"/>
              <w:bottom w:val="single" w:sz="4" w:space="0" w:color="auto"/>
              <w:right w:val="nil"/>
            </w:tcBorders>
            <w:shd w:val="clear" w:color="auto" w:fill="auto"/>
            <w:vAlign w:val="center"/>
            <w:hideMark/>
          </w:tcPr>
          <w:p w:rsidR="00B370BB" w:rsidRPr="003E5ED2" w:rsidRDefault="00B370BB" w:rsidP="00EC2B03">
            <w:pPr>
              <w:jc w:val="both"/>
              <w:rPr>
                <w:rFonts w:ascii="Arial" w:hAnsi="Arial" w:cs="Arial"/>
                <w:color w:val="000000"/>
                <w:sz w:val="16"/>
                <w:szCs w:val="16"/>
                <w:lang w:eastAsia="en-US"/>
              </w:rPr>
            </w:pPr>
            <w:r w:rsidRPr="003E5ED2">
              <w:rPr>
                <w:rFonts w:ascii="Arial" w:hAnsi="Arial" w:cs="Arial"/>
                <w:color w:val="000000"/>
                <w:sz w:val="16"/>
                <w:szCs w:val="16"/>
                <w:lang w:eastAsia="en-US"/>
              </w:rPr>
              <w:t>Odgođeno plaćanje rashoda i prihodi budućeg razdoblja</w:t>
            </w:r>
          </w:p>
        </w:tc>
        <w:tc>
          <w:tcPr>
            <w:tcW w:w="506" w:type="dxa"/>
            <w:tcBorders>
              <w:top w:val="nil"/>
              <w:left w:val="nil"/>
              <w:bottom w:val="single" w:sz="4" w:space="0" w:color="auto"/>
              <w:right w:val="nil"/>
            </w:tcBorders>
            <w:shd w:val="clear" w:color="auto" w:fill="auto"/>
            <w:noWrap/>
            <w:vAlign w:val="center"/>
            <w:hideMark/>
          </w:tcPr>
          <w:p w:rsidR="00B370BB" w:rsidRPr="003E5ED2" w:rsidRDefault="00B370BB" w:rsidP="00EC2B03">
            <w:pPr>
              <w:jc w:val="center"/>
              <w:rPr>
                <w:rFonts w:ascii="Arial" w:hAnsi="Arial" w:cs="Arial"/>
                <w:color w:val="000000"/>
                <w:sz w:val="16"/>
                <w:szCs w:val="16"/>
                <w:lang w:eastAsia="en-US"/>
              </w:rPr>
            </w:pPr>
            <w:r w:rsidRPr="003E5ED2">
              <w:rPr>
                <w:rFonts w:ascii="Arial" w:hAnsi="Arial" w:cs="Arial"/>
                <w:color w:val="000000"/>
                <w:sz w:val="16"/>
                <w:szCs w:val="16"/>
                <w:lang w:eastAsia="en-US"/>
              </w:rPr>
              <w:t>29</w:t>
            </w:r>
          </w:p>
        </w:tc>
        <w:tc>
          <w:tcPr>
            <w:tcW w:w="1428" w:type="dxa"/>
            <w:tcBorders>
              <w:top w:val="nil"/>
              <w:left w:val="nil"/>
              <w:bottom w:val="single" w:sz="4" w:space="0" w:color="auto"/>
              <w:right w:val="nil"/>
            </w:tcBorders>
            <w:shd w:val="clear" w:color="auto" w:fill="auto"/>
            <w:noWrap/>
            <w:vAlign w:val="center"/>
            <w:hideMark/>
          </w:tcPr>
          <w:p w:rsidR="00B370BB" w:rsidRPr="003E5ED2" w:rsidRDefault="004B73F8" w:rsidP="00547071">
            <w:pPr>
              <w:jc w:val="center"/>
              <w:rPr>
                <w:rFonts w:ascii="Arial" w:hAnsi="Arial" w:cs="Arial"/>
                <w:color w:val="000000"/>
                <w:sz w:val="16"/>
                <w:szCs w:val="16"/>
                <w:lang w:eastAsia="en-US"/>
              </w:rPr>
            </w:pPr>
            <w:r w:rsidRPr="003E5ED2">
              <w:rPr>
                <w:rFonts w:ascii="Arial" w:hAnsi="Arial" w:cs="Arial"/>
                <w:color w:val="000000"/>
                <w:sz w:val="16"/>
                <w:szCs w:val="16"/>
                <w:lang w:eastAsia="en-US"/>
              </w:rPr>
              <w:t>70.695,92</w:t>
            </w:r>
          </w:p>
        </w:tc>
        <w:tc>
          <w:tcPr>
            <w:tcW w:w="1896" w:type="dxa"/>
            <w:tcBorders>
              <w:top w:val="nil"/>
              <w:left w:val="nil"/>
              <w:bottom w:val="single" w:sz="4" w:space="0" w:color="auto"/>
              <w:right w:val="nil"/>
            </w:tcBorders>
            <w:shd w:val="clear" w:color="auto" w:fill="auto"/>
            <w:noWrap/>
            <w:vAlign w:val="center"/>
            <w:hideMark/>
          </w:tcPr>
          <w:p w:rsidR="00B370BB" w:rsidRPr="003E5ED2" w:rsidRDefault="00364464" w:rsidP="0077139A">
            <w:pPr>
              <w:jc w:val="center"/>
              <w:rPr>
                <w:rFonts w:ascii="Arial" w:hAnsi="Arial" w:cs="Arial"/>
                <w:color w:val="000000"/>
                <w:sz w:val="16"/>
                <w:szCs w:val="16"/>
                <w:highlight w:val="yellow"/>
                <w:lang w:eastAsia="en-US"/>
              </w:rPr>
            </w:pPr>
            <w:r w:rsidRPr="003E5ED2">
              <w:rPr>
                <w:rFonts w:ascii="Arial" w:hAnsi="Arial" w:cs="Arial"/>
                <w:color w:val="000000"/>
                <w:sz w:val="16"/>
                <w:szCs w:val="16"/>
                <w:lang w:eastAsia="en-US"/>
              </w:rPr>
              <w:t xml:space="preserve">    64.391,94</w:t>
            </w:r>
          </w:p>
        </w:tc>
        <w:tc>
          <w:tcPr>
            <w:tcW w:w="1010" w:type="dxa"/>
            <w:tcBorders>
              <w:top w:val="nil"/>
              <w:left w:val="nil"/>
              <w:bottom w:val="single" w:sz="4" w:space="0" w:color="auto"/>
              <w:right w:val="nil"/>
            </w:tcBorders>
            <w:shd w:val="clear" w:color="auto" w:fill="auto"/>
            <w:noWrap/>
            <w:vAlign w:val="center"/>
            <w:hideMark/>
          </w:tcPr>
          <w:p w:rsidR="00B370BB" w:rsidRPr="003E5ED2" w:rsidRDefault="008D3B70" w:rsidP="00EC2B03">
            <w:pPr>
              <w:jc w:val="center"/>
              <w:rPr>
                <w:rFonts w:ascii="Arial" w:hAnsi="Arial" w:cs="Arial"/>
                <w:color w:val="000000"/>
                <w:sz w:val="16"/>
                <w:szCs w:val="16"/>
                <w:highlight w:val="yellow"/>
                <w:lang w:eastAsia="en-US"/>
              </w:rPr>
            </w:pPr>
            <w:r w:rsidRPr="003E5ED2">
              <w:rPr>
                <w:rFonts w:ascii="Arial" w:hAnsi="Arial" w:cs="Arial"/>
                <w:color w:val="000000"/>
                <w:sz w:val="16"/>
                <w:szCs w:val="16"/>
                <w:lang w:eastAsia="en-US"/>
              </w:rPr>
              <w:t>91,1</w:t>
            </w:r>
          </w:p>
        </w:tc>
        <w:tc>
          <w:tcPr>
            <w:tcW w:w="1572" w:type="dxa"/>
            <w:tcBorders>
              <w:top w:val="nil"/>
              <w:left w:val="nil"/>
              <w:bottom w:val="single" w:sz="4" w:space="0" w:color="auto"/>
              <w:right w:val="single" w:sz="4" w:space="0" w:color="auto"/>
            </w:tcBorders>
            <w:shd w:val="clear" w:color="auto" w:fill="auto"/>
            <w:noWrap/>
            <w:vAlign w:val="center"/>
            <w:hideMark/>
          </w:tcPr>
          <w:p w:rsidR="00B370BB" w:rsidRPr="003E5ED2" w:rsidRDefault="00B370BB" w:rsidP="00EC2B03">
            <w:pPr>
              <w:jc w:val="center"/>
              <w:rPr>
                <w:rFonts w:ascii="Arial" w:hAnsi="Arial" w:cs="Arial"/>
                <w:color w:val="000000"/>
                <w:sz w:val="16"/>
                <w:szCs w:val="16"/>
                <w:highlight w:val="yellow"/>
                <w:lang w:eastAsia="en-US"/>
              </w:rPr>
            </w:pPr>
            <w:r w:rsidRPr="003E5ED2">
              <w:rPr>
                <w:rFonts w:ascii="Arial" w:hAnsi="Arial" w:cs="Arial"/>
                <w:color w:val="000000"/>
                <w:sz w:val="16"/>
                <w:szCs w:val="16"/>
                <w:highlight w:val="yellow"/>
                <w:lang w:eastAsia="en-US"/>
              </w:rPr>
              <w:t xml:space="preserve">                           </w:t>
            </w:r>
          </w:p>
          <w:p w:rsidR="00B370BB" w:rsidRPr="003E5ED2" w:rsidRDefault="00B370BB" w:rsidP="00EC2B03">
            <w:pPr>
              <w:jc w:val="center"/>
              <w:rPr>
                <w:rFonts w:ascii="Arial" w:hAnsi="Arial" w:cs="Arial"/>
                <w:color w:val="000000"/>
                <w:sz w:val="16"/>
                <w:szCs w:val="16"/>
                <w:lang w:eastAsia="en-US"/>
              </w:rPr>
            </w:pPr>
            <w:r w:rsidRPr="003E5ED2">
              <w:rPr>
                <w:rFonts w:ascii="Arial" w:hAnsi="Arial" w:cs="Arial"/>
                <w:color w:val="000000"/>
                <w:sz w:val="16"/>
                <w:szCs w:val="16"/>
                <w:lang w:eastAsia="en-US"/>
              </w:rPr>
              <w:t xml:space="preserve">         </w:t>
            </w:r>
            <w:r w:rsidR="0077139A" w:rsidRPr="003E5ED2">
              <w:rPr>
                <w:rFonts w:ascii="Arial" w:hAnsi="Arial" w:cs="Arial"/>
                <w:color w:val="000000"/>
                <w:sz w:val="16"/>
                <w:szCs w:val="16"/>
                <w:lang w:eastAsia="en-US"/>
              </w:rPr>
              <w:t xml:space="preserve">  </w:t>
            </w:r>
            <w:r w:rsidR="00A37CEA" w:rsidRPr="003E5ED2">
              <w:rPr>
                <w:rFonts w:ascii="Arial" w:hAnsi="Arial" w:cs="Arial"/>
                <w:color w:val="000000"/>
                <w:sz w:val="16"/>
                <w:szCs w:val="16"/>
                <w:lang w:eastAsia="en-US"/>
              </w:rPr>
              <w:t>-6.303,98</w:t>
            </w:r>
          </w:p>
          <w:p w:rsidR="00B370BB" w:rsidRPr="003E5ED2" w:rsidRDefault="00B370BB" w:rsidP="00EC2B03">
            <w:pPr>
              <w:jc w:val="center"/>
              <w:rPr>
                <w:rFonts w:ascii="Arial" w:hAnsi="Arial" w:cs="Arial"/>
                <w:color w:val="000000"/>
                <w:sz w:val="16"/>
                <w:szCs w:val="16"/>
                <w:highlight w:val="yellow"/>
                <w:lang w:eastAsia="en-US"/>
              </w:rPr>
            </w:pPr>
          </w:p>
        </w:tc>
      </w:tr>
    </w:tbl>
    <w:p w:rsidR="00D0635C" w:rsidRPr="003E5ED2" w:rsidRDefault="00D0635C" w:rsidP="000E69DA">
      <w:pPr>
        <w:jc w:val="both"/>
        <w:rPr>
          <w:rFonts w:ascii="Arial" w:hAnsi="Arial"/>
        </w:rPr>
      </w:pPr>
    </w:p>
    <w:p w:rsidR="00D41060" w:rsidRPr="003E5ED2" w:rsidRDefault="00D41060" w:rsidP="000E69DA">
      <w:pPr>
        <w:keepNext/>
        <w:jc w:val="both"/>
        <w:outlineLvl w:val="3"/>
        <w:rPr>
          <w:rFonts w:ascii="Arial" w:hAnsi="Arial" w:cs="Arial"/>
          <w:b/>
          <w:bCs/>
          <w:sz w:val="22"/>
          <w:szCs w:val="22"/>
        </w:rPr>
      </w:pPr>
    </w:p>
    <w:p w:rsidR="000E69DA" w:rsidRPr="003E5ED2" w:rsidRDefault="000E69DA" w:rsidP="00E3521F">
      <w:pPr>
        <w:keepNext/>
        <w:jc w:val="both"/>
        <w:outlineLvl w:val="3"/>
        <w:rPr>
          <w:rFonts w:ascii="Arial" w:hAnsi="Arial" w:cs="Arial"/>
          <w:sz w:val="22"/>
          <w:szCs w:val="22"/>
          <w:highlight w:val="yellow"/>
        </w:rPr>
      </w:pPr>
      <w:r w:rsidRPr="003E5ED2">
        <w:rPr>
          <w:rFonts w:ascii="Arial" w:hAnsi="Arial" w:cs="Arial"/>
          <w:b/>
          <w:bCs/>
          <w:sz w:val="22"/>
          <w:szCs w:val="22"/>
        </w:rPr>
        <w:t>Primljeni krediti i zajmovi</w:t>
      </w:r>
      <w:r w:rsidR="0052258A" w:rsidRPr="003E5ED2">
        <w:rPr>
          <w:rFonts w:ascii="Arial" w:hAnsi="Arial" w:cs="Arial"/>
          <w:b/>
          <w:bCs/>
          <w:sz w:val="22"/>
          <w:szCs w:val="22"/>
        </w:rPr>
        <w:t xml:space="preserve"> -</w:t>
      </w:r>
      <w:r w:rsidR="001B7B22" w:rsidRPr="003E5ED2">
        <w:rPr>
          <w:rFonts w:ascii="Arial" w:hAnsi="Arial" w:cs="Arial"/>
          <w:b/>
          <w:bCs/>
          <w:sz w:val="22"/>
          <w:szCs w:val="22"/>
        </w:rPr>
        <w:t xml:space="preserve"> dugoročni</w:t>
      </w:r>
      <w:r w:rsidR="00C84883" w:rsidRPr="003E5ED2">
        <w:rPr>
          <w:rFonts w:ascii="Arial" w:hAnsi="Arial" w:cs="Arial"/>
          <w:b/>
          <w:bCs/>
          <w:sz w:val="22"/>
          <w:szCs w:val="22"/>
        </w:rPr>
        <w:t>:</w:t>
      </w:r>
    </w:p>
    <w:p w:rsidR="00C375C1" w:rsidRPr="003E5ED2" w:rsidRDefault="00C375C1" w:rsidP="000E69DA">
      <w:pPr>
        <w:rPr>
          <w:rFonts w:ascii="Arial" w:hAnsi="Arial" w:cs="Arial"/>
          <w:sz w:val="22"/>
          <w:szCs w:val="22"/>
          <w:highlight w:val="yellow"/>
        </w:rPr>
      </w:pPr>
    </w:p>
    <w:p w:rsidR="000E69DA" w:rsidRPr="003E5ED2" w:rsidRDefault="000E69DA" w:rsidP="00D907B7">
      <w:pPr>
        <w:numPr>
          <w:ilvl w:val="0"/>
          <w:numId w:val="7"/>
        </w:numPr>
        <w:spacing w:after="160" w:line="259" w:lineRule="auto"/>
        <w:jc w:val="both"/>
        <w:rPr>
          <w:rFonts w:ascii="Arial" w:hAnsi="Arial" w:cs="Arial"/>
          <w:b/>
          <w:sz w:val="22"/>
          <w:szCs w:val="22"/>
        </w:rPr>
      </w:pPr>
      <w:r w:rsidRPr="003E5ED2">
        <w:rPr>
          <w:rFonts w:ascii="Arial" w:hAnsi="Arial" w:cs="Arial"/>
          <w:b/>
          <w:sz w:val="22"/>
          <w:szCs w:val="22"/>
        </w:rPr>
        <w:t xml:space="preserve">Zajam od RH, Ministarstvo financija, za sufinanciranje Projekta IPA ŽCGO </w:t>
      </w:r>
      <w:proofErr w:type="spellStart"/>
      <w:r w:rsidRPr="003E5ED2">
        <w:rPr>
          <w:rFonts w:ascii="Arial" w:hAnsi="Arial" w:cs="Arial"/>
          <w:b/>
          <w:sz w:val="22"/>
          <w:szCs w:val="22"/>
        </w:rPr>
        <w:t>Marišćina</w:t>
      </w:r>
      <w:proofErr w:type="spellEnd"/>
      <w:r w:rsidRPr="003E5ED2">
        <w:rPr>
          <w:rFonts w:ascii="Arial" w:hAnsi="Arial" w:cs="Arial"/>
          <w:b/>
          <w:sz w:val="22"/>
          <w:szCs w:val="22"/>
        </w:rPr>
        <w:t xml:space="preserve"> </w:t>
      </w:r>
    </w:p>
    <w:p w:rsidR="000E69DA" w:rsidRPr="003E5ED2" w:rsidRDefault="000E69DA" w:rsidP="0010399B">
      <w:pPr>
        <w:spacing w:after="160" w:line="259" w:lineRule="auto"/>
        <w:ind w:left="360"/>
        <w:jc w:val="both"/>
        <w:rPr>
          <w:rFonts w:ascii="Arial" w:hAnsi="Arial" w:cs="Arial"/>
          <w:b/>
          <w:sz w:val="22"/>
          <w:szCs w:val="22"/>
        </w:rPr>
      </w:pPr>
      <w:r w:rsidRPr="003E5ED2">
        <w:rPr>
          <w:rFonts w:ascii="Arial" w:hAnsi="Arial" w:cs="Arial"/>
          <w:sz w:val="22"/>
          <w:szCs w:val="22"/>
        </w:rPr>
        <w:t xml:space="preserve">Gradsko vijeće Grada Rijeke je na sjednici 21. prosinca 2011. godine donijelo Odluku o zaduživanju Grada Rijeke za sufinanciranje Projekta IPA ŽCGO </w:t>
      </w:r>
      <w:proofErr w:type="spellStart"/>
      <w:r w:rsidRPr="003E5ED2">
        <w:rPr>
          <w:rFonts w:ascii="Arial" w:hAnsi="Arial" w:cs="Arial"/>
          <w:sz w:val="22"/>
          <w:szCs w:val="22"/>
        </w:rPr>
        <w:t>Marišćina</w:t>
      </w:r>
      <w:proofErr w:type="spellEnd"/>
      <w:r w:rsidRPr="003E5ED2">
        <w:rPr>
          <w:rFonts w:ascii="Arial" w:hAnsi="Arial" w:cs="Arial"/>
          <w:sz w:val="22"/>
          <w:szCs w:val="22"/>
        </w:rPr>
        <w:t xml:space="preserve">. Grad Rijeka je s Ministarstvom financija 17. siječnja 2012. godine zaključio Ugovor o zajmu za sufinanciranje izgradnje Županijskog centra za gospodarenje otpadom </w:t>
      </w:r>
      <w:proofErr w:type="spellStart"/>
      <w:r w:rsidRPr="003E5ED2">
        <w:rPr>
          <w:rFonts w:ascii="Arial" w:hAnsi="Arial" w:cs="Arial"/>
          <w:sz w:val="22"/>
          <w:szCs w:val="22"/>
        </w:rPr>
        <w:t>Marišćina</w:t>
      </w:r>
      <w:proofErr w:type="spellEnd"/>
      <w:r w:rsidRPr="003E5ED2">
        <w:rPr>
          <w:rFonts w:ascii="Arial" w:hAnsi="Arial" w:cs="Arial"/>
          <w:sz w:val="22"/>
          <w:szCs w:val="22"/>
        </w:rPr>
        <w:t xml:space="preserve"> (Program IPA, komponenta III, Operativni program Zaštita okoliša), na iznos od 2.011.751 </w:t>
      </w:r>
      <w:r w:rsidR="00556BD4" w:rsidRPr="003E5ED2">
        <w:rPr>
          <w:rFonts w:ascii="Arial" w:hAnsi="Arial" w:cs="Arial"/>
          <w:sz w:val="22"/>
          <w:szCs w:val="22"/>
        </w:rPr>
        <w:t>eura</w:t>
      </w:r>
      <w:r w:rsidRPr="003E5ED2">
        <w:rPr>
          <w:rFonts w:ascii="Arial" w:hAnsi="Arial" w:cs="Arial"/>
          <w:sz w:val="22"/>
          <w:szCs w:val="22"/>
        </w:rPr>
        <w:t xml:space="preserve">. Dodatkom ugovora od 20. prosinca 2013. godine povećan je maksimalni iznos zajma na 2.290.150 </w:t>
      </w:r>
      <w:r w:rsidR="00556BD4" w:rsidRPr="003E5ED2">
        <w:rPr>
          <w:rFonts w:ascii="Arial" w:hAnsi="Arial" w:cs="Arial"/>
          <w:sz w:val="22"/>
          <w:szCs w:val="22"/>
        </w:rPr>
        <w:t>eura</w:t>
      </w:r>
      <w:r w:rsidRPr="003E5ED2">
        <w:rPr>
          <w:rFonts w:ascii="Arial" w:hAnsi="Arial" w:cs="Arial"/>
          <w:sz w:val="22"/>
          <w:szCs w:val="22"/>
        </w:rPr>
        <w:t xml:space="preserve"> dok su ostale odredbe ugovora ostale nepromijenjene.</w:t>
      </w:r>
      <w:r w:rsidR="0010399B" w:rsidRPr="003E5ED2">
        <w:rPr>
          <w:rFonts w:ascii="Arial" w:hAnsi="Arial" w:cs="Arial"/>
          <w:b/>
          <w:sz w:val="22"/>
          <w:szCs w:val="22"/>
        </w:rPr>
        <w:t xml:space="preserve"> </w:t>
      </w:r>
      <w:r w:rsidR="001E7D99" w:rsidRPr="003E5ED2">
        <w:rPr>
          <w:rFonts w:ascii="Arial" w:hAnsi="Arial" w:cs="Arial"/>
          <w:sz w:val="22"/>
          <w:szCs w:val="22"/>
        </w:rPr>
        <w:t xml:space="preserve">Sredstva zajma otplaćuju </w:t>
      </w:r>
      <w:r w:rsidRPr="003E5ED2">
        <w:rPr>
          <w:rFonts w:ascii="Arial" w:hAnsi="Arial" w:cs="Arial"/>
          <w:sz w:val="22"/>
          <w:szCs w:val="22"/>
        </w:rPr>
        <w:t>se sukcesivno u roku od 25 godina, uključujući i poček od 5 godina, u 80 jednakih tromjesečnih rata. Dospijeće prve rate je 5 godina od prvog korištenja zajma, odnosno otplata zajma započela je 30. travnja 2017. godine.</w:t>
      </w:r>
    </w:p>
    <w:p w:rsidR="000E69DA" w:rsidRPr="003E5ED2" w:rsidRDefault="000E69DA" w:rsidP="000E69DA">
      <w:pPr>
        <w:tabs>
          <w:tab w:val="center" w:pos="4320"/>
          <w:tab w:val="right" w:pos="8640"/>
        </w:tabs>
        <w:ind w:left="360"/>
        <w:jc w:val="both"/>
        <w:rPr>
          <w:rFonts w:ascii="Arial" w:hAnsi="Arial" w:cs="Arial"/>
          <w:sz w:val="22"/>
          <w:szCs w:val="22"/>
        </w:rPr>
      </w:pPr>
      <w:r w:rsidRPr="003E5ED2">
        <w:rPr>
          <w:rFonts w:ascii="Arial" w:hAnsi="Arial" w:cs="Arial"/>
          <w:sz w:val="22"/>
          <w:szCs w:val="22"/>
        </w:rPr>
        <w:tab/>
        <w:t xml:space="preserve">Povlačenje zajma je počelo u 2012. godini sukladno dinamici realizacije projekta izgradnje Županijskog centra za gospodarenje </w:t>
      </w:r>
      <w:r w:rsidR="00DA6421" w:rsidRPr="003E5ED2">
        <w:rPr>
          <w:rFonts w:ascii="Arial" w:hAnsi="Arial" w:cs="Arial"/>
          <w:sz w:val="22"/>
          <w:szCs w:val="22"/>
        </w:rPr>
        <w:t xml:space="preserve">otpadom </w:t>
      </w:r>
      <w:proofErr w:type="spellStart"/>
      <w:r w:rsidR="00DA6421" w:rsidRPr="003E5ED2">
        <w:rPr>
          <w:rFonts w:ascii="Arial" w:hAnsi="Arial" w:cs="Arial"/>
          <w:sz w:val="22"/>
          <w:szCs w:val="22"/>
        </w:rPr>
        <w:t>Marišćina</w:t>
      </w:r>
      <w:proofErr w:type="spellEnd"/>
      <w:r w:rsidR="00DA6421" w:rsidRPr="003E5ED2">
        <w:rPr>
          <w:rFonts w:ascii="Arial" w:hAnsi="Arial" w:cs="Arial"/>
          <w:sz w:val="22"/>
          <w:szCs w:val="22"/>
        </w:rPr>
        <w:t xml:space="preserve"> i ukupno je za</w:t>
      </w:r>
      <w:r w:rsidR="00787950" w:rsidRPr="003E5ED2">
        <w:rPr>
          <w:rFonts w:ascii="Arial" w:hAnsi="Arial" w:cs="Arial"/>
          <w:sz w:val="22"/>
          <w:szCs w:val="22"/>
        </w:rPr>
        <w:t xml:space="preserve"> projekt iskorišteno 14.823.521</w:t>
      </w:r>
      <w:r w:rsidR="00DF1500" w:rsidRPr="003E5ED2">
        <w:rPr>
          <w:rFonts w:ascii="Arial" w:hAnsi="Arial" w:cs="Arial"/>
          <w:sz w:val="22"/>
          <w:szCs w:val="22"/>
        </w:rPr>
        <w:t>,00</w:t>
      </w:r>
      <w:r w:rsidR="00787950" w:rsidRPr="003E5ED2">
        <w:rPr>
          <w:rFonts w:ascii="Arial" w:hAnsi="Arial" w:cs="Arial"/>
          <w:sz w:val="22"/>
          <w:szCs w:val="22"/>
        </w:rPr>
        <w:t xml:space="preserve"> </w:t>
      </w:r>
      <w:r w:rsidR="00DA6421" w:rsidRPr="003E5ED2">
        <w:rPr>
          <w:rFonts w:ascii="Arial" w:hAnsi="Arial" w:cs="Arial"/>
          <w:sz w:val="22"/>
          <w:szCs w:val="22"/>
        </w:rPr>
        <w:t>k</w:t>
      </w:r>
      <w:r w:rsidR="003E4DE6" w:rsidRPr="003E5ED2">
        <w:rPr>
          <w:rFonts w:ascii="Arial" w:hAnsi="Arial" w:cs="Arial"/>
          <w:sz w:val="22"/>
          <w:szCs w:val="22"/>
        </w:rPr>
        <w:t>una</w:t>
      </w:r>
      <w:r w:rsidR="00556BD4" w:rsidRPr="003E5ED2">
        <w:rPr>
          <w:rFonts w:ascii="Arial" w:hAnsi="Arial" w:cs="Arial"/>
          <w:sz w:val="22"/>
          <w:szCs w:val="22"/>
        </w:rPr>
        <w:t>,</w:t>
      </w:r>
      <w:r w:rsidR="00DA6421" w:rsidRPr="003E5ED2">
        <w:rPr>
          <w:rFonts w:ascii="Arial" w:hAnsi="Arial" w:cs="Arial"/>
          <w:sz w:val="22"/>
          <w:szCs w:val="22"/>
        </w:rPr>
        <w:t xml:space="preserve"> </w:t>
      </w:r>
      <w:r w:rsidR="00BC6EB2" w:rsidRPr="003E5ED2">
        <w:rPr>
          <w:rFonts w:ascii="Arial" w:hAnsi="Arial" w:cs="Arial"/>
          <w:sz w:val="22"/>
          <w:szCs w:val="22"/>
        </w:rPr>
        <w:t xml:space="preserve">odnosno 1.955.649,22 eura </w:t>
      </w:r>
      <w:r w:rsidR="00DA6421" w:rsidRPr="003E5ED2">
        <w:rPr>
          <w:rFonts w:ascii="Arial" w:hAnsi="Arial" w:cs="Arial"/>
          <w:sz w:val="22"/>
          <w:szCs w:val="22"/>
        </w:rPr>
        <w:t>kreditnih sredstava.</w:t>
      </w:r>
      <w:r w:rsidRPr="003E5ED2">
        <w:rPr>
          <w:rFonts w:ascii="Arial" w:hAnsi="Arial" w:cs="Arial"/>
          <w:sz w:val="22"/>
          <w:szCs w:val="22"/>
        </w:rPr>
        <w:t xml:space="preserve"> Kamatna stopa za cijelo vrijeme trajanja zajma je fiksna i iznosi 3,987%. Kamata se obračunava od prvog korištenja zajma, a naplaćuje se nakon isteka počeka, u 80 jednakih tromjesečnih rata.</w:t>
      </w:r>
    </w:p>
    <w:p w:rsidR="00D41060" w:rsidRPr="003E5ED2" w:rsidRDefault="00BC6EB2" w:rsidP="003E4DE6">
      <w:pPr>
        <w:ind w:firstLine="360"/>
        <w:jc w:val="both"/>
        <w:rPr>
          <w:rFonts w:ascii="Arial" w:hAnsi="Arial" w:cs="Arial"/>
          <w:b/>
          <w:sz w:val="22"/>
          <w:szCs w:val="22"/>
        </w:rPr>
      </w:pPr>
      <w:r w:rsidRPr="003E5ED2">
        <w:rPr>
          <w:rFonts w:ascii="Arial" w:hAnsi="Arial" w:cs="Arial"/>
          <w:b/>
          <w:sz w:val="22"/>
          <w:szCs w:val="22"/>
        </w:rPr>
        <w:t>Stanje</w:t>
      </w:r>
      <w:r w:rsidR="00040D9A" w:rsidRPr="003E5ED2">
        <w:rPr>
          <w:rFonts w:ascii="Arial" w:hAnsi="Arial" w:cs="Arial"/>
          <w:b/>
          <w:sz w:val="22"/>
          <w:szCs w:val="22"/>
        </w:rPr>
        <w:t xml:space="preserve"> kredita na dan 31. prosinca </w:t>
      </w:r>
      <w:r w:rsidR="003807C0" w:rsidRPr="003E5ED2">
        <w:rPr>
          <w:rFonts w:ascii="Arial" w:hAnsi="Arial" w:cs="Arial"/>
          <w:b/>
          <w:sz w:val="22"/>
          <w:szCs w:val="22"/>
        </w:rPr>
        <w:t>2024</w:t>
      </w:r>
      <w:r w:rsidR="000E69DA" w:rsidRPr="003E5ED2">
        <w:rPr>
          <w:rFonts w:ascii="Arial" w:hAnsi="Arial" w:cs="Arial"/>
          <w:b/>
          <w:sz w:val="22"/>
          <w:szCs w:val="22"/>
        </w:rPr>
        <w:t xml:space="preserve">. godine iznosi </w:t>
      </w:r>
      <w:r w:rsidRPr="003E5ED2">
        <w:rPr>
          <w:rFonts w:ascii="Arial" w:hAnsi="Arial" w:cs="Arial"/>
          <w:b/>
          <w:sz w:val="22"/>
          <w:szCs w:val="22"/>
        </w:rPr>
        <w:t>1.</w:t>
      </w:r>
      <w:r w:rsidR="00731DD4" w:rsidRPr="003E5ED2">
        <w:rPr>
          <w:rFonts w:ascii="Arial" w:hAnsi="Arial" w:cs="Arial"/>
          <w:b/>
          <w:sz w:val="22"/>
          <w:szCs w:val="22"/>
        </w:rPr>
        <w:t>186.365,77</w:t>
      </w:r>
      <w:r w:rsidRPr="003E5ED2">
        <w:rPr>
          <w:rFonts w:ascii="Arial" w:hAnsi="Arial" w:cs="Arial"/>
          <w:b/>
          <w:sz w:val="22"/>
          <w:szCs w:val="22"/>
        </w:rPr>
        <w:t xml:space="preserve"> eura</w:t>
      </w:r>
      <w:r w:rsidR="000E69DA" w:rsidRPr="003E5ED2">
        <w:rPr>
          <w:rFonts w:ascii="Arial" w:hAnsi="Arial" w:cs="Arial"/>
          <w:b/>
          <w:sz w:val="22"/>
          <w:szCs w:val="22"/>
        </w:rPr>
        <w:t>.</w:t>
      </w:r>
    </w:p>
    <w:p w:rsidR="008C21A7" w:rsidRPr="003E5ED2" w:rsidRDefault="008C21A7" w:rsidP="003E4DE6">
      <w:pPr>
        <w:ind w:firstLine="360"/>
        <w:jc w:val="both"/>
        <w:rPr>
          <w:rFonts w:ascii="Arial" w:hAnsi="Arial" w:cs="Arial"/>
          <w:b/>
          <w:sz w:val="22"/>
          <w:szCs w:val="22"/>
          <w:highlight w:val="yellow"/>
        </w:rPr>
      </w:pPr>
    </w:p>
    <w:p w:rsidR="000E69DA" w:rsidRPr="003E5ED2" w:rsidRDefault="000E69DA" w:rsidP="00D907B7">
      <w:pPr>
        <w:numPr>
          <w:ilvl w:val="0"/>
          <w:numId w:val="7"/>
        </w:numPr>
        <w:spacing w:after="160" w:line="259" w:lineRule="auto"/>
        <w:jc w:val="both"/>
        <w:rPr>
          <w:rFonts w:ascii="Arial" w:hAnsi="Arial" w:cs="Arial"/>
          <w:b/>
          <w:sz w:val="22"/>
          <w:szCs w:val="22"/>
        </w:rPr>
      </w:pPr>
      <w:r w:rsidRPr="003E5ED2">
        <w:rPr>
          <w:rFonts w:ascii="Arial" w:hAnsi="Arial" w:cs="Arial"/>
          <w:b/>
          <w:sz w:val="22"/>
          <w:szCs w:val="22"/>
        </w:rPr>
        <w:t xml:space="preserve">Kredit ERSTE&amp;STEIERMARKISCHE BANK d.d. na iznos od </w:t>
      </w:r>
      <w:r w:rsidR="00BC6EB2" w:rsidRPr="003E5ED2">
        <w:rPr>
          <w:rFonts w:ascii="Arial" w:hAnsi="Arial" w:cs="Arial"/>
          <w:b/>
          <w:sz w:val="22"/>
          <w:szCs w:val="22"/>
        </w:rPr>
        <w:t xml:space="preserve">16,4 </w:t>
      </w:r>
      <w:proofErr w:type="spellStart"/>
      <w:r w:rsidR="00BC6EB2" w:rsidRPr="003E5ED2">
        <w:rPr>
          <w:rFonts w:ascii="Arial" w:hAnsi="Arial" w:cs="Arial"/>
          <w:b/>
          <w:sz w:val="22"/>
          <w:szCs w:val="22"/>
        </w:rPr>
        <w:t>mil</w:t>
      </w:r>
      <w:proofErr w:type="spellEnd"/>
      <w:r w:rsidR="00BC6EB2" w:rsidRPr="003E5ED2">
        <w:rPr>
          <w:rFonts w:ascii="Arial" w:hAnsi="Arial" w:cs="Arial"/>
          <w:b/>
          <w:sz w:val="22"/>
          <w:szCs w:val="22"/>
        </w:rPr>
        <w:t xml:space="preserve">. eura </w:t>
      </w:r>
    </w:p>
    <w:p w:rsidR="000E69DA" w:rsidRPr="003E5ED2" w:rsidRDefault="000E69DA" w:rsidP="000E69DA">
      <w:pPr>
        <w:tabs>
          <w:tab w:val="left" w:pos="426"/>
        </w:tabs>
        <w:ind w:left="360"/>
        <w:jc w:val="both"/>
        <w:rPr>
          <w:rFonts w:ascii="Arial" w:eastAsiaTheme="minorHAnsi" w:hAnsi="Arial" w:cs="Arial"/>
          <w:sz w:val="22"/>
          <w:szCs w:val="22"/>
          <w:lang w:eastAsia="en-US"/>
        </w:rPr>
      </w:pPr>
      <w:r w:rsidRPr="003E5ED2">
        <w:rPr>
          <w:rFonts w:ascii="Arial" w:hAnsi="Arial" w:cs="Arial"/>
          <w:sz w:val="22"/>
          <w:szCs w:val="22"/>
        </w:rPr>
        <w:t xml:space="preserve">Gradsko vijeće Grada Rijeke je na sjednici 24. svibnja 2018. godine donijelo Odluku o zaduživanju Grada Rijeke za realizaciju kapitalnih projekata </w:t>
      </w:r>
      <w:r w:rsidRPr="003E5ED2">
        <w:rPr>
          <w:rFonts w:ascii="Arial" w:eastAsiaTheme="minorHAnsi" w:hAnsi="Arial" w:cs="Arial"/>
          <w:sz w:val="22"/>
          <w:szCs w:val="22"/>
          <w:lang w:eastAsia="en-US"/>
        </w:rPr>
        <w:t>u iznosu od 123.629.955</w:t>
      </w:r>
      <w:r w:rsidR="00652E99" w:rsidRPr="003E5ED2">
        <w:rPr>
          <w:rFonts w:ascii="Arial" w:eastAsiaTheme="minorHAnsi" w:hAnsi="Arial" w:cs="Arial"/>
          <w:sz w:val="22"/>
          <w:szCs w:val="22"/>
          <w:lang w:eastAsia="en-US"/>
        </w:rPr>
        <w:t>,00</w:t>
      </w:r>
      <w:r w:rsidRPr="003E5ED2">
        <w:rPr>
          <w:rFonts w:ascii="Arial" w:eastAsiaTheme="minorHAnsi" w:hAnsi="Arial" w:cs="Arial"/>
          <w:sz w:val="22"/>
          <w:szCs w:val="22"/>
          <w:lang w:eastAsia="en-US"/>
        </w:rPr>
        <w:t xml:space="preserve"> k</w:t>
      </w:r>
      <w:r w:rsidR="00B841B5" w:rsidRPr="003E5ED2">
        <w:rPr>
          <w:rFonts w:ascii="Arial" w:eastAsiaTheme="minorHAnsi" w:hAnsi="Arial" w:cs="Arial"/>
          <w:sz w:val="22"/>
          <w:szCs w:val="22"/>
          <w:lang w:eastAsia="en-US"/>
        </w:rPr>
        <w:t>u</w:t>
      </w:r>
      <w:r w:rsidRPr="003E5ED2">
        <w:rPr>
          <w:rFonts w:ascii="Arial" w:eastAsiaTheme="minorHAnsi" w:hAnsi="Arial" w:cs="Arial"/>
          <w:sz w:val="22"/>
          <w:szCs w:val="22"/>
          <w:lang w:eastAsia="en-US"/>
        </w:rPr>
        <w:t>n</w:t>
      </w:r>
      <w:r w:rsidR="00B841B5" w:rsidRPr="003E5ED2">
        <w:rPr>
          <w:rFonts w:ascii="Arial" w:eastAsiaTheme="minorHAnsi" w:hAnsi="Arial" w:cs="Arial"/>
          <w:sz w:val="22"/>
          <w:szCs w:val="22"/>
          <w:lang w:eastAsia="en-US"/>
        </w:rPr>
        <w:t>a</w:t>
      </w:r>
      <w:r w:rsidRPr="003E5ED2">
        <w:rPr>
          <w:rFonts w:ascii="Arial" w:hAnsi="Arial" w:cs="Arial"/>
          <w:sz w:val="22"/>
          <w:szCs w:val="22"/>
        </w:rPr>
        <w:t xml:space="preserve">. </w:t>
      </w:r>
      <w:r w:rsidRPr="003E5ED2">
        <w:rPr>
          <w:rFonts w:ascii="Arial" w:hAnsi="Arial" w:cs="Arial"/>
          <w:color w:val="000000" w:themeColor="text1"/>
          <w:sz w:val="22"/>
          <w:szCs w:val="22"/>
        </w:rPr>
        <w:t>Ministarstv</w:t>
      </w:r>
      <w:r w:rsidR="007D5E3A" w:rsidRPr="003E5ED2">
        <w:rPr>
          <w:rFonts w:ascii="Arial" w:hAnsi="Arial" w:cs="Arial"/>
          <w:color w:val="000000" w:themeColor="text1"/>
          <w:sz w:val="22"/>
          <w:szCs w:val="22"/>
        </w:rPr>
        <w:t>o</w:t>
      </w:r>
      <w:r w:rsidRPr="003E5ED2">
        <w:rPr>
          <w:rFonts w:ascii="Arial" w:hAnsi="Arial" w:cs="Arial"/>
          <w:color w:val="000000" w:themeColor="text1"/>
          <w:sz w:val="22"/>
          <w:szCs w:val="22"/>
        </w:rPr>
        <w:t xml:space="preserve"> financija je </w:t>
      </w:r>
      <w:r w:rsidR="007D5E3A" w:rsidRPr="003E5ED2">
        <w:rPr>
          <w:rFonts w:ascii="Arial" w:hAnsi="Arial" w:cs="Arial"/>
          <w:color w:val="000000" w:themeColor="text1"/>
          <w:sz w:val="22"/>
          <w:szCs w:val="22"/>
        </w:rPr>
        <w:t xml:space="preserve">12. srpnja 2018. dalo </w:t>
      </w:r>
      <w:r w:rsidRPr="003E5ED2">
        <w:rPr>
          <w:rFonts w:ascii="Arial" w:hAnsi="Arial" w:cs="Arial"/>
          <w:color w:val="000000" w:themeColor="text1"/>
          <w:sz w:val="22"/>
          <w:szCs w:val="22"/>
        </w:rPr>
        <w:t xml:space="preserve">suglasnost </w:t>
      </w:r>
      <w:r w:rsidR="007D5E3A" w:rsidRPr="003E5ED2">
        <w:rPr>
          <w:rFonts w:ascii="Arial" w:hAnsi="Arial" w:cs="Arial"/>
          <w:color w:val="000000" w:themeColor="text1"/>
          <w:sz w:val="22"/>
          <w:szCs w:val="22"/>
        </w:rPr>
        <w:t xml:space="preserve">za zaduženje </w:t>
      </w:r>
      <w:r w:rsidRPr="003E5ED2">
        <w:rPr>
          <w:rFonts w:ascii="Arial" w:hAnsi="Arial" w:cs="Arial"/>
          <w:color w:val="000000" w:themeColor="text1"/>
          <w:sz w:val="22"/>
          <w:szCs w:val="22"/>
        </w:rPr>
        <w:t>te je Grad Rijeka</w:t>
      </w:r>
      <w:r w:rsidRPr="003E5ED2">
        <w:rPr>
          <w:rFonts w:ascii="Arial" w:eastAsiaTheme="minorHAnsi" w:hAnsi="Arial" w:cs="Arial"/>
          <w:sz w:val="22"/>
          <w:szCs w:val="22"/>
          <w:lang w:eastAsia="en-US"/>
        </w:rPr>
        <w:t xml:space="preserve"> s </w:t>
      </w:r>
      <w:r w:rsidRPr="003E5ED2">
        <w:rPr>
          <w:rFonts w:ascii="Arial" w:hAnsi="Arial" w:cs="Arial"/>
          <w:sz w:val="22"/>
          <w:szCs w:val="22"/>
        </w:rPr>
        <w:t>ERSTE&amp;STEIERMÄRKISCHE BANK d.d. dana 31. kolovoza 2018. godine zaključio Ugovor o kreditu za f</w:t>
      </w:r>
      <w:r w:rsidRPr="003E5ED2">
        <w:rPr>
          <w:rFonts w:ascii="Arial" w:eastAsiaTheme="minorHAnsi" w:hAnsi="Arial" w:cs="Arial"/>
          <w:sz w:val="22"/>
          <w:szCs w:val="22"/>
          <w:lang w:eastAsia="en-US"/>
        </w:rPr>
        <w:t xml:space="preserve">inanciranje kapitalnog projekta Revitalizacija kompleksa Benčić - Cigleni i T-objekt i za projekte energetskih obnova osnovnih škola i dječjih vrtića. Temeljem Odluke o Izmjenama i dopunama Odluke o zaduživanju od 30. rujna 2019. i </w:t>
      </w:r>
      <w:r w:rsidR="007D5E3A" w:rsidRPr="003E5ED2">
        <w:rPr>
          <w:rFonts w:ascii="Arial" w:eastAsiaTheme="minorHAnsi" w:hAnsi="Arial" w:cs="Arial"/>
          <w:sz w:val="22"/>
          <w:szCs w:val="22"/>
          <w:lang w:eastAsia="en-US"/>
        </w:rPr>
        <w:t>dobivene s</w:t>
      </w:r>
      <w:r w:rsidRPr="003E5ED2">
        <w:rPr>
          <w:rFonts w:ascii="Arial" w:eastAsiaTheme="minorHAnsi" w:hAnsi="Arial" w:cs="Arial"/>
          <w:sz w:val="22"/>
          <w:szCs w:val="22"/>
          <w:lang w:eastAsia="en-US"/>
        </w:rPr>
        <w:t xml:space="preserve">uglasnosti Ministarstva financija od 21. studenoga 2019. </w:t>
      </w:r>
      <w:r w:rsidR="00F53BEC" w:rsidRPr="003E5ED2">
        <w:rPr>
          <w:rFonts w:ascii="Arial" w:eastAsiaTheme="minorHAnsi" w:hAnsi="Arial" w:cs="Arial"/>
          <w:sz w:val="22"/>
          <w:szCs w:val="22"/>
          <w:lang w:eastAsia="en-US"/>
        </w:rPr>
        <w:t xml:space="preserve">godine, Grad Rijeka je dana 6. prosinca </w:t>
      </w:r>
      <w:r w:rsidRPr="003E5ED2">
        <w:rPr>
          <w:rFonts w:ascii="Arial" w:eastAsiaTheme="minorHAnsi" w:hAnsi="Arial" w:cs="Arial"/>
          <w:sz w:val="22"/>
          <w:szCs w:val="22"/>
          <w:lang w:eastAsia="en-US"/>
        </w:rPr>
        <w:t xml:space="preserve">2019. godine sklopio Aneks broj 1. Ugovora o kreditu </w:t>
      </w:r>
      <w:r w:rsidR="00E54150" w:rsidRPr="003E5ED2">
        <w:rPr>
          <w:rFonts w:ascii="Arial" w:eastAsiaTheme="minorHAnsi" w:hAnsi="Arial" w:cs="Arial"/>
          <w:sz w:val="22"/>
          <w:szCs w:val="22"/>
          <w:lang w:eastAsia="en-US"/>
        </w:rPr>
        <w:t xml:space="preserve">kojim se ugovara </w:t>
      </w:r>
      <w:r w:rsidRPr="003E5ED2">
        <w:rPr>
          <w:rFonts w:ascii="Arial" w:eastAsiaTheme="minorHAnsi" w:hAnsi="Arial" w:cs="Arial"/>
          <w:sz w:val="22"/>
          <w:szCs w:val="22"/>
          <w:lang w:eastAsia="en-US"/>
        </w:rPr>
        <w:t>prenamje</w:t>
      </w:r>
      <w:r w:rsidR="006F19C1" w:rsidRPr="003E5ED2">
        <w:rPr>
          <w:rFonts w:ascii="Arial" w:eastAsiaTheme="minorHAnsi" w:hAnsi="Arial" w:cs="Arial"/>
          <w:sz w:val="22"/>
          <w:szCs w:val="22"/>
          <w:lang w:eastAsia="en-US"/>
        </w:rPr>
        <w:t>n</w:t>
      </w:r>
      <w:r w:rsidR="00E54150" w:rsidRPr="003E5ED2">
        <w:rPr>
          <w:rFonts w:ascii="Arial" w:eastAsiaTheme="minorHAnsi" w:hAnsi="Arial" w:cs="Arial"/>
          <w:sz w:val="22"/>
          <w:szCs w:val="22"/>
          <w:lang w:eastAsia="en-US"/>
        </w:rPr>
        <w:t>a</w:t>
      </w:r>
      <w:r w:rsidR="006F19C1" w:rsidRPr="003E5ED2">
        <w:rPr>
          <w:rFonts w:ascii="Arial" w:eastAsiaTheme="minorHAnsi" w:hAnsi="Arial" w:cs="Arial"/>
          <w:sz w:val="22"/>
          <w:szCs w:val="22"/>
          <w:lang w:eastAsia="en-US"/>
        </w:rPr>
        <w:t xml:space="preserve"> dijela sredstava</w:t>
      </w:r>
      <w:r w:rsidRPr="003E5ED2">
        <w:rPr>
          <w:rFonts w:ascii="Arial" w:eastAsiaTheme="minorHAnsi" w:hAnsi="Arial" w:cs="Arial"/>
          <w:sz w:val="22"/>
          <w:szCs w:val="22"/>
          <w:lang w:eastAsia="en-US"/>
        </w:rPr>
        <w:t xml:space="preserve"> za obnovu broda Galeb u sklopu projekta Turistička valorizacija reprezentativnih spomeni</w:t>
      </w:r>
      <w:r w:rsidR="001E7D99" w:rsidRPr="003E5ED2">
        <w:rPr>
          <w:rFonts w:ascii="Arial" w:eastAsiaTheme="minorHAnsi" w:hAnsi="Arial" w:cs="Arial"/>
          <w:sz w:val="22"/>
          <w:szCs w:val="22"/>
          <w:lang w:eastAsia="en-US"/>
        </w:rPr>
        <w:t>ka riječke industrijske baštine s time da je ukupan ugovoreni iznos kredita ostao neprom</w:t>
      </w:r>
      <w:r w:rsidR="00E54150" w:rsidRPr="003E5ED2">
        <w:rPr>
          <w:rFonts w:ascii="Arial" w:eastAsiaTheme="minorHAnsi" w:hAnsi="Arial" w:cs="Arial"/>
          <w:sz w:val="22"/>
          <w:szCs w:val="22"/>
          <w:lang w:eastAsia="en-US"/>
        </w:rPr>
        <w:t>i</w:t>
      </w:r>
      <w:r w:rsidR="001E7D99" w:rsidRPr="003E5ED2">
        <w:rPr>
          <w:rFonts w:ascii="Arial" w:eastAsiaTheme="minorHAnsi" w:hAnsi="Arial" w:cs="Arial"/>
          <w:sz w:val="22"/>
          <w:szCs w:val="22"/>
          <w:lang w:eastAsia="en-US"/>
        </w:rPr>
        <w:t>jenjen.</w:t>
      </w:r>
      <w:r w:rsidR="00E54150" w:rsidRPr="003E5ED2">
        <w:rPr>
          <w:rFonts w:ascii="Arial" w:eastAsiaTheme="minorHAnsi" w:hAnsi="Arial" w:cs="Arial"/>
          <w:sz w:val="22"/>
          <w:szCs w:val="22"/>
          <w:lang w:eastAsia="en-US"/>
        </w:rPr>
        <w:t xml:space="preserve"> </w:t>
      </w:r>
      <w:r w:rsidR="001E7D99" w:rsidRPr="003E5ED2">
        <w:rPr>
          <w:rFonts w:ascii="Arial" w:eastAsiaTheme="minorHAnsi" w:hAnsi="Arial" w:cs="Arial"/>
          <w:sz w:val="22"/>
          <w:szCs w:val="22"/>
          <w:lang w:eastAsia="en-US"/>
        </w:rPr>
        <w:t>Temeljem Odluke o zaduživanju od 11.</w:t>
      </w:r>
      <w:r w:rsidR="00E54150" w:rsidRPr="003E5ED2">
        <w:rPr>
          <w:rFonts w:ascii="Arial" w:eastAsiaTheme="minorHAnsi" w:hAnsi="Arial" w:cs="Arial"/>
          <w:sz w:val="22"/>
          <w:szCs w:val="22"/>
          <w:lang w:eastAsia="en-US"/>
        </w:rPr>
        <w:t xml:space="preserve"> </w:t>
      </w:r>
      <w:r w:rsidR="001E7D99" w:rsidRPr="003E5ED2">
        <w:rPr>
          <w:rFonts w:ascii="Arial" w:eastAsiaTheme="minorHAnsi" w:hAnsi="Arial" w:cs="Arial"/>
          <w:sz w:val="22"/>
          <w:szCs w:val="22"/>
          <w:lang w:eastAsia="en-US"/>
        </w:rPr>
        <w:t>ožujka 2021. godine sklopljen je Aneks broj 2 Ugovora o kreditu kojim je produlj</w:t>
      </w:r>
      <w:r w:rsidR="00201B1B" w:rsidRPr="003E5ED2">
        <w:rPr>
          <w:rFonts w:ascii="Arial" w:eastAsiaTheme="minorHAnsi" w:hAnsi="Arial" w:cs="Arial"/>
          <w:sz w:val="22"/>
          <w:szCs w:val="22"/>
          <w:lang w:eastAsia="en-US"/>
        </w:rPr>
        <w:t>en rok korištenja kredita do 31.</w:t>
      </w:r>
      <w:r w:rsidR="00F53BEC" w:rsidRPr="003E5ED2">
        <w:rPr>
          <w:rFonts w:ascii="Arial" w:eastAsiaTheme="minorHAnsi" w:hAnsi="Arial" w:cs="Arial"/>
          <w:sz w:val="22"/>
          <w:szCs w:val="22"/>
          <w:lang w:eastAsia="en-US"/>
        </w:rPr>
        <w:t xml:space="preserve"> prosinca </w:t>
      </w:r>
      <w:r w:rsidR="00F32B81" w:rsidRPr="003E5ED2">
        <w:rPr>
          <w:rFonts w:ascii="Arial" w:eastAsiaTheme="minorHAnsi" w:hAnsi="Arial" w:cs="Arial"/>
          <w:sz w:val="22"/>
          <w:szCs w:val="22"/>
          <w:lang w:eastAsia="en-US"/>
        </w:rPr>
        <w:t>2022. godine</w:t>
      </w:r>
      <w:r w:rsidR="00FE2099" w:rsidRPr="003E5ED2">
        <w:rPr>
          <w:rFonts w:ascii="Arial" w:eastAsiaTheme="minorHAnsi" w:hAnsi="Arial" w:cs="Arial"/>
          <w:sz w:val="22"/>
          <w:szCs w:val="22"/>
          <w:lang w:eastAsia="en-US"/>
        </w:rPr>
        <w:t>, a temeljem</w:t>
      </w:r>
      <w:r w:rsidR="00787950" w:rsidRPr="003E5ED2">
        <w:rPr>
          <w:rFonts w:ascii="Arial" w:eastAsiaTheme="minorHAnsi" w:hAnsi="Arial" w:cs="Arial"/>
          <w:sz w:val="22"/>
          <w:szCs w:val="22"/>
          <w:lang w:eastAsia="en-US"/>
        </w:rPr>
        <w:t xml:space="preserve"> </w:t>
      </w:r>
      <w:r w:rsidR="00FE2099" w:rsidRPr="003E5ED2">
        <w:rPr>
          <w:rFonts w:ascii="Arial" w:eastAsiaTheme="minorHAnsi" w:hAnsi="Arial" w:cs="Arial"/>
          <w:sz w:val="22"/>
          <w:szCs w:val="22"/>
          <w:lang w:eastAsia="en-US"/>
        </w:rPr>
        <w:t>Odluke o zaduživanju od 8.</w:t>
      </w:r>
      <w:r w:rsidR="00E54150" w:rsidRPr="003E5ED2">
        <w:rPr>
          <w:rFonts w:ascii="Arial" w:eastAsiaTheme="minorHAnsi" w:hAnsi="Arial" w:cs="Arial"/>
          <w:sz w:val="22"/>
          <w:szCs w:val="22"/>
          <w:lang w:eastAsia="en-US"/>
        </w:rPr>
        <w:t xml:space="preserve"> </w:t>
      </w:r>
      <w:r w:rsidR="00FE2099" w:rsidRPr="003E5ED2">
        <w:rPr>
          <w:rFonts w:ascii="Arial" w:eastAsiaTheme="minorHAnsi" w:hAnsi="Arial" w:cs="Arial"/>
          <w:sz w:val="22"/>
          <w:szCs w:val="22"/>
          <w:lang w:eastAsia="en-US"/>
        </w:rPr>
        <w:t>prosinca 2022.</w:t>
      </w:r>
      <w:r w:rsidR="00005475" w:rsidRPr="003E5ED2">
        <w:rPr>
          <w:rFonts w:ascii="Arial" w:eastAsiaTheme="minorHAnsi" w:hAnsi="Arial" w:cs="Arial"/>
          <w:sz w:val="22"/>
          <w:szCs w:val="22"/>
          <w:lang w:eastAsia="en-US"/>
        </w:rPr>
        <w:t xml:space="preserve"> </w:t>
      </w:r>
      <w:r w:rsidR="00FE2099" w:rsidRPr="003E5ED2">
        <w:rPr>
          <w:rFonts w:ascii="Arial" w:eastAsiaTheme="minorHAnsi" w:hAnsi="Arial" w:cs="Arial"/>
          <w:sz w:val="22"/>
          <w:szCs w:val="22"/>
          <w:lang w:eastAsia="en-US"/>
        </w:rPr>
        <w:t>godine sklopljen je Aneks broj 4 Ugovora o kreditu</w:t>
      </w:r>
      <w:r w:rsidR="00787950" w:rsidRPr="003E5ED2">
        <w:rPr>
          <w:rFonts w:ascii="Arial" w:eastAsiaTheme="minorHAnsi" w:hAnsi="Arial" w:cs="Arial"/>
          <w:sz w:val="22"/>
          <w:szCs w:val="22"/>
          <w:lang w:eastAsia="en-US"/>
        </w:rPr>
        <w:t xml:space="preserve"> </w:t>
      </w:r>
      <w:r w:rsidR="00FE2099" w:rsidRPr="003E5ED2">
        <w:rPr>
          <w:rFonts w:ascii="Arial" w:eastAsiaTheme="minorHAnsi" w:hAnsi="Arial" w:cs="Arial"/>
          <w:sz w:val="22"/>
          <w:szCs w:val="22"/>
          <w:lang w:eastAsia="en-US"/>
        </w:rPr>
        <w:t>kojim je produljen</w:t>
      </w:r>
      <w:r w:rsidR="00F53BEC" w:rsidRPr="003E5ED2">
        <w:rPr>
          <w:rFonts w:ascii="Arial" w:eastAsiaTheme="minorHAnsi" w:hAnsi="Arial" w:cs="Arial"/>
          <w:sz w:val="22"/>
          <w:szCs w:val="22"/>
          <w:lang w:eastAsia="en-US"/>
        </w:rPr>
        <w:t xml:space="preserve"> rok korištenja kredita do 31. prosinca </w:t>
      </w:r>
      <w:r w:rsidR="00FE2099" w:rsidRPr="003E5ED2">
        <w:rPr>
          <w:rFonts w:ascii="Arial" w:eastAsiaTheme="minorHAnsi" w:hAnsi="Arial" w:cs="Arial"/>
          <w:sz w:val="22"/>
          <w:szCs w:val="22"/>
          <w:lang w:eastAsia="en-US"/>
        </w:rPr>
        <w:t>2023. godine.</w:t>
      </w:r>
      <w:r w:rsidRPr="003E5ED2">
        <w:rPr>
          <w:rFonts w:ascii="Arial" w:eastAsiaTheme="minorHAnsi" w:hAnsi="Arial" w:cs="Arial"/>
          <w:sz w:val="22"/>
          <w:szCs w:val="22"/>
          <w:lang w:eastAsia="en-US"/>
        </w:rPr>
        <w:t xml:space="preserve"> Sredstva kredita otplaćivat će se mjesečno 14 godina</w:t>
      </w:r>
      <w:r w:rsidR="001E7D99" w:rsidRPr="003E5ED2">
        <w:rPr>
          <w:rFonts w:ascii="Arial" w:eastAsiaTheme="minorHAnsi" w:hAnsi="Arial" w:cs="Arial"/>
          <w:sz w:val="22"/>
          <w:szCs w:val="22"/>
          <w:lang w:eastAsia="en-US"/>
        </w:rPr>
        <w:t>,</w:t>
      </w:r>
      <w:r w:rsidR="00201B1B" w:rsidRPr="003E5ED2">
        <w:rPr>
          <w:rFonts w:ascii="Arial" w:eastAsiaTheme="minorHAnsi" w:hAnsi="Arial" w:cs="Arial"/>
          <w:sz w:val="22"/>
          <w:szCs w:val="22"/>
          <w:lang w:eastAsia="en-US"/>
        </w:rPr>
        <w:t xml:space="preserve"> </w:t>
      </w:r>
      <w:r w:rsidR="001E7D99" w:rsidRPr="003E5ED2">
        <w:rPr>
          <w:rFonts w:ascii="Arial" w:eastAsiaTheme="minorHAnsi" w:hAnsi="Arial" w:cs="Arial"/>
          <w:sz w:val="22"/>
          <w:szCs w:val="22"/>
          <w:lang w:eastAsia="en-US"/>
        </w:rPr>
        <w:t>od isteka roka korištenja.</w:t>
      </w:r>
      <w:r w:rsidRPr="003E5ED2">
        <w:rPr>
          <w:rFonts w:ascii="Arial" w:eastAsiaTheme="minorHAnsi" w:hAnsi="Arial" w:cs="Arial"/>
          <w:sz w:val="22"/>
          <w:szCs w:val="22"/>
          <w:lang w:eastAsia="en-US"/>
        </w:rPr>
        <w:t xml:space="preserve"> Kamatna stopa je fiksna i iznosi 1,59%.</w:t>
      </w:r>
    </w:p>
    <w:p w:rsidR="00040D9A" w:rsidRPr="003E5ED2" w:rsidRDefault="00D41060" w:rsidP="00040D9A">
      <w:pPr>
        <w:tabs>
          <w:tab w:val="left" w:pos="426"/>
        </w:tabs>
        <w:jc w:val="both"/>
        <w:rPr>
          <w:rFonts w:ascii="Arial" w:eastAsiaTheme="minorHAnsi" w:hAnsi="Arial" w:cs="Arial"/>
          <w:sz w:val="22"/>
          <w:szCs w:val="22"/>
          <w:lang w:eastAsia="en-US"/>
        </w:rPr>
      </w:pPr>
      <w:r w:rsidRPr="003E5ED2">
        <w:rPr>
          <w:rFonts w:ascii="Arial" w:eastAsiaTheme="minorHAnsi" w:hAnsi="Arial" w:cs="Arial"/>
          <w:b/>
          <w:sz w:val="22"/>
          <w:szCs w:val="22"/>
          <w:lang w:eastAsia="en-US"/>
        </w:rPr>
        <w:t xml:space="preserve">      </w:t>
      </w:r>
      <w:r w:rsidR="000E69DA" w:rsidRPr="003E5ED2">
        <w:rPr>
          <w:rFonts w:ascii="Arial" w:eastAsiaTheme="minorHAnsi" w:hAnsi="Arial" w:cs="Arial"/>
          <w:sz w:val="22"/>
          <w:szCs w:val="22"/>
          <w:lang w:eastAsia="en-US"/>
        </w:rPr>
        <w:t xml:space="preserve">Povlačenje </w:t>
      </w:r>
      <w:r w:rsidR="00690EDB" w:rsidRPr="003E5ED2">
        <w:rPr>
          <w:rFonts w:ascii="Arial" w:eastAsiaTheme="minorHAnsi" w:hAnsi="Arial" w:cs="Arial"/>
          <w:sz w:val="22"/>
          <w:szCs w:val="22"/>
          <w:lang w:eastAsia="en-US"/>
        </w:rPr>
        <w:t>kredita</w:t>
      </w:r>
      <w:r w:rsidR="00731DD4" w:rsidRPr="003E5ED2">
        <w:rPr>
          <w:rFonts w:ascii="Arial" w:eastAsiaTheme="minorHAnsi" w:hAnsi="Arial" w:cs="Arial"/>
          <w:sz w:val="22"/>
          <w:szCs w:val="22"/>
          <w:lang w:eastAsia="en-US"/>
        </w:rPr>
        <w:t xml:space="preserve"> je započelo</w:t>
      </w:r>
      <w:r w:rsidR="000E69DA" w:rsidRPr="003E5ED2">
        <w:rPr>
          <w:rFonts w:ascii="Arial" w:eastAsiaTheme="minorHAnsi" w:hAnsi="Arial" w:cs="Arial"/>
          <w:sz w:val="22"/>
          <w:szCs w:val="22"/>
          <w:lang w:eastAsia="en-US"/>
        </w:rPr>
        <w:t xml:space="preserve"> u listopadu 2018. godine i </w:t>
      </w:r>
      <w:r w:rsidR="007D5E3A" w:rsidRPr="003E5ED2">
        <w:rPr>
          <w:rFonts w:ascii="Arial" w:eastAsiaTheme="minorHAnsi" w:hAnsi="Arial" w:cs="Arial"/>
          <w:sz w:val="22"/>
          <w:szCs w:val="22"/>
          <w:lang w:eastAsia="en-US"/>
        </w:rPr>
        <w:t xml:space="preserve">do </w:t>
      </w:r>
      <w:r w:rsidR="00040D9A" w:rsidRPr="003E5ED2">
        <w:rPr>
          <w:rFonts w:ascii="Arial" w:eastAsiaTheme="minorHAnsi" w:hAnsi="Arial" w:cs="Arial"/>
          <w:sz w:val="22"/>
          <w:szCs w:val="22"/>
          <w:lang w:eastAsia="en-US"/>
        </w:rPr>
        <w:t xml:space="preserve">31. prosinca </w:t>
      </w:r>
      <w:r w:rsidR="00BC6EB2" w:rsidRPr="003E5ED2">
        <w:rPr>
          <w:rFonts w:ascii="Arial" w:eastAsiaTheme="minorHAnsi" w:hAnsi="Arial" w:cs="Arial"/>
          <w:sz w:val="22"/>
          <w:szCs w:val="22"/>
          <w:lang w:eastAsia="en-US"/>
        </w:rPr>
        <w:t>2023</w:t>
      </w:r>
      <w:r w:rsidR="00690EDB" w:rsidRPr="003E5ED2">
        <w:rPr>
          <w:rFonts w:ascii="Arial" w:eastAsiaTheme="minorHAnsi" w:hAnsi="Arial" w:cs="Arial"/>
          <w:sz w:val="22"/>
          <w:szCs w:val="22"/>
          <w:lang w:eastAsia="en-US"/>
        </w:rPr>
        <w:t>. godine</w:t>
      </w:r>
      <w:r w:rsidR="00731DD4" w:rsidRPr="003E5ED2">
        <w:rPr>
          <w:rFonts w:ascii="Arial" w:eastAsiaTheme="minorHAnsi" w:hAnsi="Arial" w:cs="Arial"/>
          <w:sz w:val="22"/>
          <w:szCs w:val="22"/>
          <w:lang w:eastAsia="en-US"/>
        </w:rPr>
        <w:t xml:space="preserve"> je u </w:t>
      </w:r>
    </w:p>
    <w:p w:rsidR="00FE2099" w:rsidRPr="003E5ED2" w:rsidRDefault="00731DD4" w:rsidP="00040D9A">
      <w:pPr>
        <w:tabs>
          <w:tab w:val="left" w:pos="426"/>
        </w:tabs>
        <w:jc w:val="both"/>
        <w:rPr>
          <w:rFonts w:ascii="Arial" w:eastAsiaTheme="minorHAnsi" w:hAnsi="Arial" w:cs="Arial"/>
          <w:sz w:val="22"/>
          <w:szCs w:val="22"/>
          <w:lang w:eastAsia="en-US"/>
        </w:rPr>
      </w:pPr>
      <w:r w:rsidRPr="003E5ED2">
        <w:rPr>
          <w:rFonts w:ascii="Arial" w:eastAsiaTheme="minorHAnsi" w:hAnsi="Arial" w:cs="Arial"/>
          <w:sz w:val="22"/>
          <w:szCs w:val="22"/>
          <w:lang w:eastAsia="en-US"/>
        </w:rPr>
        <w:t xml:space="preserve">      cijelosti povučen u iznosu</w:t>
      </w:r>
      <w:r w:rsidR="00690EDB" w:rsidRPr="003E5ED2">
        <w:rPr>
          <w:rFonts w:ascii="Arial" w:eastAsiaTheme="minorHAnsi" w:hAnsi="Arial" w:cs="Arial"/>
          <w:sz w:val="22"/>
          <w:szCs w:val="22"/>
          <w:lang w:eastAsia="en-US"/>
        </w:rPr>
        <w:t xml:space="preserve"> </w:t>
      </w:r>
      <w:r w:rsidR="00BC6EB2" w:rsidRPr="003E5ED2">
        <w:rPr>
          <w:rFonts w:ascii="Arial" w:eastAsiaTheme="minorHAnsi" w:hAnsi="Arial" w:cs="Arial"/>
          <w:sz w:val="22"/>
          <w:szCs w:val="22"/>
          <w:lang w:eastAsia="en-US"/>
        </w:rPr>
        <w:t>16.408.514,83 eura.</w:t>
      </w:r>
    </w:p>
    <w:p w:rsidR="00F07CC2" w:rsidRPr="003E5ED2" w:rsidRDefault="00731DD4" w:rsidP="00040D9A">
      <w:pPr>
        <w:tabs>
          <w:tab w:val="left" w:pos="426"/>
        </w:tabs>
        <w:jc w:val="both"/>
        <w:rPr>
          <w:rFonts w:ascii="Arial" w:eastAsiaTheme="minorHAnsi" w:hAnsi="Arial" w:cs="Arial"/>
          <w:b/>
          <w:sz w:val="22"/>
          <w:szCs w:val="22"/>
          <w:lang w:eastAsia="en-US"/>
        </w:rPr>
      </w:pPr>
      <w:r w:rsidRPr="003E5ED2">
        <w:rPr>
          <w:rFonts w:ascii="Arial" w:eastAsiaTheme="minorHAnsi" w:hAnsi="Arial" w:cs="Arial"/>
          <w:sz w:val="22"/>
          <w:szCs w:val="22"/>
          <w:lang w:eastAsia="en-US"/>
        </w:rPr>
        <w:t xml:space="preserve">      </w:t>
      </w:r>
      <w:r w:rsidRPr="003E5ED2">
        <w:rPr>
          <w:rFonts w:ascii="Arial" w:eastAsiaTheme="minorHAnsi" w:hAnsi="Arial" w:cs="Arial"/>
          <w:b/>
          <w:sz w:val="22"/>
          <w:szCs w:val="22"/>
          <w:lang w:eastAsia="en-US"/>
        </w:rPr>
        <w:t>Otplata kredita je započela u siječnju 2024. godine te stanje kredita na dan 31. prosinca</w:t>
      </w:r>
    </w:p>
    <w:p w:rsidR="00731DD4" w:rsidRPr="003E5ED2" w:rsidRDefault="00F07CC2" w:rsidP="00040D9A">
      <w:pPr>
        <w:tabs>
          <w:tab w:val="left" w:pos="426"/>
        </w:tabs>
        <w:jc w:val="both"/>
        <w:rPr>
          <w:rFonts w:ascii="Arial" w:eastAsiaTheme="minorHAnsi" w:hAnsi="Arial" w:cs="Arial"/>
          <w:b/>
          <w:color w:val="FF0000"/>
          <w:sz w:val="22"/>
          <w:szCs w:val="22"/>
          <w:lang w:eastAsia="en-US"/>
        </w:rPr>
      </w:pPr>
      <w:r w:rsidRPr="003E5ED2">
        <w:rPr>
          <w:rFonts w:ascii="Arial" w:eastAsiaTheme="minorHAnsi" w:hAnsi="Arial" w:cs="Arial"/>
          <w:b/>
          <w:sz w:val="22"/>
          <w:szCs w:val="22"/>
          <w:lang w:eastAsia="en-US"/>
        </w:rPr>
        <w:t xml:space="preserve">      </w:t>
      </w:r>
      <w:r w:rsidR="00731DD4" w:rsidRPr="003E5ED2">
        <w:rPr>
          <w:rFonts w:ascii="Arial" w:eastAsiaTheme="minorHAnsi" w:hAnsi="Arial" w:cs="Arial"/>
          <w:b/>
          <w:sz w:val="22"/>
          <w:szCs w:val="22"/>
          <w:lang w:eastAsia="en-US"/>
        </w:rPr>
        <w:t>2024. godine iznosi 15.236.478,07 eura.</w:t>
      </w:r>
    </w:p>
    <w:p w:rsidR="00D41060" w:rsidRPr="003E5ED2" w:rsidRDefault="00D41060" w:rsidP="000E69DA">
      <w:pPr>
        <w:jc w:val="both"/>
        <w:rPr>
          <w:rFonts w:ascii="Arial" w:hAnsi="Arial" w:cs="Arial"/>
          <w:b/>
          <w:sz w:val="22"/>
          <w:szCs w:val="22"/>
          <w:highlight w:val="yellow"/>
        </w:rPr>
      </w:pPr>
    </w:p>
    <w:p w:rsidR="00C375C1" w:rsidRPr="003E5ED2" w:rsidRDefault="00C375C1" w:rsidP="000E69DA">
      <w:pPr>
        <w:jc w:val="both"/>
        <w:rPr>
          <w:rFonts w:ascii="Arial" w:hAnsi="Arial" w:cs="Arial"/>
          <w:b/>
          <w:sz w:val="22"/>
          <w:szCs w:val="22"/>
          <w:highlight w:val="yellow"/>
        </w:rPr>
      </w:pPr>
    </w:p>
    <w:p w:rsidR="00434867" w:rsidRPr="003E5ED2" w:rsidRDefault="000E69DA" w:rsidP="00683096">
      <w:pPr>
        <w:numPr>
          <w:ilvl w:val="0"/>
          <w:numId w:val="7"/>
        </w:numPr>
        <w:spacing w:after="160" w:line="259" w:lineRule="auto"/>
        <w:jc w:val="both"/>
        <w:rPr>
          <w:rFonts w:ascii="Arial" w:eastAsiaTheme="minorHAnsi" w:hAnsi="Arial" w:cs="Arial"/>
          <w:sz w:val="22"/>
          <w:szCs w:val="22"/>
          <w:lang w:eastAsia="en-US"/>
        </w:rPr>
      </w:pPr>
      <w:r w:rsidRPr="003E5ED2">
        <w:rPr>
          <w:rFonts w:ascii="Arial" w:hAnsi="Arial" w:cs="Arial"/>
          <w:b/>
          <w:sz w:val="22"/>
          <w:szCs w:val="22"/>
        </w:rPr>
        <w:t>Kredit ERSTE&amp;STEIERMARKISCHE BANK d.d. na iznos od</w:t>
      </w:r>
      <w:r w:rsidR="00BC6EB2" w:rsidRPr="003E5ED2">
        <w:rPr>
          <w:rFonts w:ascii="Arial" w:hAnsi="Arial" w:cs="Arial"/>
          <w:b/>
          <w:sz w:val="22"/>
          <w:szCs w:val="22"/>
        </w:rPr>
        <w:t xml:space="preserve"> 2,5 </w:t>
      </w:r>
      <w:proofErr w:type="spellStart"/>
      <w:r w:rsidR="00BC6EB2" w:rsidRPr="003E5ED2">
        <w:rPr>
          <w:rFonts w:ascii="Arial" w:hAnsi="Arial" w:cs="Arial"/>
          <w:b/>
          <w:sz w:val="22"/>
          <w:szCs w:val="22"/>
        </w:rPr>
        <w:t>mil</w:t>
      </w:r>
      <w:proofErr w:type="spellEnd"/>
      <w:r w:rsidR="00BC6EB2" w:rsidRPr="003E5ED2">
        <w:rPr>
          <w:rFonts w:ascii="Arial" w:hAnsi="Arial" w:cs="Arial"/>
          <w:b/>
          <w:sz w:val="22"/>
          <w:szCs w:val="22"/>
        </w:rPr>
        <w:t>. eura</w:t>
      </w:r>
      <w:r w:rsidRPr="003E5ED2">
        <w:rPr>
          <w:rFonts w:ascii="Arial" w:hAnsi="Arial" w:cs="Arial"/>
          <w:b/>
          <w:sz w:val="22"/>
          <w:szCs w:val="22"/>
        </w:rPr>
        <w:t xml:space="preserve"> </w:t>
      </w:r>
    </w:p>
    <w:p w:rsidR="000E69DA" w:rsidRPr="003E5ED2" w:rsidRDefault="000E69DA" w:rsidP="00AA1D56">
      <w:pPr>
        <w:spacing w:after="160" w:line="259" w:lineRule="auto"/>
        <w:ind w:left="360"/>
        <w:jc w:val="both"/>
        <w:rPr>
          <w:rFonts w:ascii="Arial" w:eastAsiaTheme="minorHAnsi" w:hAnsi="Arial" w:cs="Arial"/>
          <w:sz w:val="22"/>
          <w:szCs w:val="22"/>
          <w:lang w:eastAsia="en-US"/>
        </w:rPr>
      </w:pPr>
      <w:r w:rsidRPr="003E5ED2">
        <w:rPr>
          <w:rFonts w:ascii="Arial" w:hAnsi="Arial" w:cs="Arial"/>
          <w:color w:val="000000" w:themeColor="text1"/>
          <w:sz w:val="22"/>
          <w:szCs w:val="22"/>
        </w:rPr>
        <w:t>Gradsko vijeće Grada Rijeke je na sjednici 28. ožujka 2019. godine donijelo Odluku o zaduživanju Grada Rijeke za projekte energetskih obnova 5 osnovnih šk</w:t>
      </w:r>
      <w:r w:rsidR="001F7908" w:rsidRPr="003E5ED2">
        <w:rPr>
          <w:rFonts w:ascii="Arial" w:hAnsi="Arial" w:cs="Arial"/>
          <w:color w:val="000000" w:themeColor="text1"/>
          <w:sz w:val="22"/>
          <w:szCs w:val="22"/>
        </w:rPr>
        <w:t>ola i dječjih vrtića te Muzeja g</w:t>
      </w:r>
      <w:r w:rsidRPr="003E5ED2">
        <w:rPr>
          <w:rFonts w:ascii="Arial" w:hAnsi="Arial" w:cs="Arial"/>
          <w:color w:val="000000" w:themeColor="text1"/>
          <w:sz w:val="22"/>
          <w:szCs w:val="22"/>
        </w:rPr>
        <w:t>rada Rijeke</w:t>
      </w:r>
      <w:r w:rsidRPr="003E5ED2">
        <w:rPr>
          <w:rFonts w:ascii="Arial" w:hAnsi="Arial" w:cs="Arial"/>
          <w:sz w:val="22"/>
          <w:szCs w:val="22"/>
        </w:rPr>
        <w:t>.</w:t>
      </w:r>
      <w:r w:rsidRPr="003E5ED2">
        <w:rPr>
          <w:rFonts w:ascii="Arial" w:hAnsi="Arial" w:cs="Arial"/>
          <w:color w:val="000000" w:themeColor="text1"/>
          <w:sz w:val="22"/>
          <w:szCs w:val="22"/>
        </w:rPr>
        <w:t xml:space="preserve"> Slijedom navedenog, 30. travnja 2019. godine </w:t>
      </w:r>
      <w:r w:rsidR="00396543" w:rsidRPr="003E5ED2">
        <w:rPr>
          <w:rFonts w:ascii="Arial" w:hAnsi="Arial" w:cs="Arial"/>
          <w:color w:val="000000" w:themeColor="text1"/>
          <w:sz w:val="22"/>
          <w:szCs w:val="22"/>
        </w:rPr>
        <w:t xml:space="preserve">dobivena je suglasnost </w:t>
      </w:r>
      <w:r w:rsidRPr="003E5ED2">
        <w:rPr>
          <w:rFonts w:ascii="Arial" w:hAnsi="Arial" w:cs="Arial"/>
          <w:color w:val="000000" w:themeColor="text1"/>
          <w:sz w:val="22"/>
          <w:szCs w:val="22"/>
        </w:rPr>
        <w:t xml:space="preserve">Ministarstva financija </w:t>
      </w:r>
      <w:r w:rsidR="00396543" w:rsidRPr="003E5ED2">
        <w:rPr>
          <w:rFonts w:ascii="Arial" w:hAnsi="Arial" w:cs="Arial"/>
          <w:color w:val="000000" w:themeColor="text1"/>
          <w:sz w:val="22"/>
          <w:szCs w:val="22"/>
        </w:rPr>
        <w:t>za zaduženje</w:t>
      </w:r>
      <w:r w:rsidRPr="003E5ED2">
        <w:rPr>
          <w:rFonts w:ascii="Arial" w:hAnsi="Arial" w:cs="Arial"/>
          <w:color w:val="000000" w:themeColor="text1"/>
          <w:sz w:val="22"/>
          <w:szCs w:val="22"/>
        </w:rPr>
        <w:t xml:space="preserve"> te je Grad Rijeka</w:t>
      </w:r>
      <w:r w:rsidRPr="003E5ED2">
        <w:rPr>
          <w:rFonts w:ascii="Arial" w:eastAsiaTheme="minorHAnsi" w:hAnsi="Arial" w:cs="Arial"/>
          <w:sz w:val="22"/>
          <w:szCs w:val="22"/>
          <w:lang w:eastAsia="en-US"/>
        </w:rPr>
        <w:t xml:space="preserve"> s </w:t>
      </w:r>
      <w:r w:rsidRPr="003E5ED2">
        <w:rPr>
          <w:rFonts w:ascii="Arial" w:hAnsi="Arial" w:cs="Arial"/>
          <w:sz w:val="22"/>
          <w:szCs w:val="22"/>
        </w:rPr>
        <w:t xml:space="preserve">ERSTE&amp;STEIERMÄRKISCHE BANK d.d. dana 1. srpnja 2019. godine zaključio Ugovor </w:t>
      </w:r>
      <w:r w:rsidRPr="003E5ED2">
        <w:rPr>
          <w:rFonts w:ascii="Arial" w:eastAsiaTheme="minorHAnsi" w:hAnsi="Arial" w:cs="Arial"/>
          <w:sz w:val="22"/>
          <w:szCs w:val="22"/>
          <w:lang w:eastAsia="en-US"/>
        </w:rPr>
        <w:t>u iznosu od 18.655.949</w:t>
      </w:r>
      <w:r w:rsidR="001B707D" w:rsidRPr="003E5ED2">
        <w:rPr>
          <w:rFonts w:ascii="Arial" w:eastAsiaTheme="minorHAnsi" w:hAnsi="Arial" w:cs="Arial"/>
          <w:sz w:val="22"/>
          <w:szCs w:val="22"/>
          <w:lang w:eastAsia="en-US"/>
        </w:rPr>
        <w:t>,00</w:t>
      </w:r>
      <w:r w:rsidRPr="003E5ED2">
        <w:rPr>
          <w:rFonts w:ascii="Arial" w:eastAsiaTheme="minorHAnsi" w:hAnsi="Arial" w:cs="Arial"/>
          <w:sz w:val="22"/>
          <w:szCs w:val="22"/>
          <w:lang w:eastAsia="en-US"/>
        </w:rPr>
        <w:t xml:space="preserve"> kuna.</w:t>
      </w:r>
      <w:r w:rsidR="00BA0FB4" w:rsidRPr="003E5ED2">
        <w:rPr>
          <w:rFonts w:ascii="Arial" w:eastAsiaTheme="minorHAnsi" w:hAnsi="Arial" w:cs="Arial"/>
          <w:sz w:val="22"/>
          <w:szCs w:val="22"/>
          <w:lang w:eastAsia="en-US"/>
        </w:rPr>
        <w:t xml:space="preserve"> Aneksom broj 1 Ugovora</w:t>
      </w:r>
      <w:r w:rsidR="00F32B81" w:rsidRPr="003E5ED2">
        <w:rPr>
          <w:rFonts w:ascii="Arial" w:eastAsiaTheme="minorHAnsi" w:hAnsi="Arial" w:cs="Arial"/>
          <w:sz w:val="22"/>
          <w:szCs w:val="22"/>
          <w:lang w:eastAsia="en-US"/>
        </w:rPr>
        <w:t xml:space="preserve"> o kreditu od 26.</w:t>
      </w:r>
      <w:r w:rsidR="001D19A9" w:rsidRPr="003E5ED2">
        <w:rPr>
          <w:rFonts w:ascii="Arial" w:eastAsiaTheme="minorHAnsi" w:hAnsi="Arial" w:cs="Arial"/>
          <w:sz w:val="22"/>
          <w:szCs w:val="22"/>
          <w:lang w:eastAsia="en-US"/>
        </w:rPr>
        <w:t xml:space="preserve"> lipnja </w:t>
      </w:r>
      <w:r w:rsidR="00BA0FB4" w:rsidRPr="003E5ED2">
        <w:rPr>
          <w:rFonts w:ascii="Arial" w:eastAsiaTheme="minorHAnsi" w:hAnsi="Arial" w:cs="Arial"/>
          <w:sz w:val="22"/>
          <w:szCs w:val="22"/>
          <w:lang w:eastAsia="en-US"/>
        </w:rPr>
        <w:t xml:space="preserve">2020. godine produljio se </w:t>
      </w:r>
      <w:r w:rsidR="001D19A9" w:rsidRPr="003E5ED2">
        <w:rPr>
          <w:rFonts w:ascii="Arial" w:eastAsiaTheme="minorHAnsi" w:hAnsi="Arial" w:cs="Arial"/>
          <w:sz w:val="22"/>
          <w:szCs w:val="22"/>
          <w:lang w:eastAsia="en-US"/>
        </w:rPr>
        <w:t xml:space="preserve">rok korištenja kredita do 31. prosinca </w:t>
      </w:r>
      <w:r w:rsidR="00BA0FB4" w:rsidRPr="003E5ED2">
        <w:rPr>
          <w:rFonts w:ascii="Arial" w:eastAsiaTheme="minorHAnsi" w:hAnsi="Arial" w:cs="Arial"/>
          <w:sz w:val="22"/>
          <w:szCs w:val="22"/>
          <w:lang w:eastAsia="en-US"/>
        </w:rPr>
        <w:t>2020.</w:t>
      </w:r>
      <w:r w:rsidR="00005475" w:rsidRPr="003E5ED2">
        <w:rPr>
          <w:rFonts w:ascii="Arial" w:eastAsiaTheme="minorHAnsi" w:hAnsi="Arial" w:cs="Arial"/>
          <w:sz w:val="22"/>
          <w:szCs w:val="22"/>
          <w:lang w:eastAsia="en-US"/>
        </w:rPr>
        <w:t xml:space="preserve"> </w:t>
      </w:r>
      <w:r w:rsidR="00BA0FB4" w:rsidRPr="003E5ED2">
        <w:rPr>
          <w:rFonts w:ascii="Arial" w:eastAsiaTheme="minorHAnsi" w:hAnsi="Arial" w:cs="Arial"/>
          <w:sz w:val="22"/>
          <w:szCs w:val="22"/>
          <w:lang w:eastAsia="en-US"/>
        </w:rPr>
        <w:t>godine.</w:t>
      </w:r>
      <w:r w:rsidR="00201B1B" w:rsidRPr="003E5ED2">
        <w:rPr>
          <w:rFonts w:ascii="Arial" w:eastAsiaTheme="minorHAnsi" w:hAnsi="Arial" w:cs="Arial"/>
          <w:sz w:val="22"/>
          <w:szCs w:val="22"/>
          <w:lang w:eastAsia="en-US"/>
        </w:rPr>
        <w:t xml:space="preserve"> Povlačenje kredita počelo je u listopadu 20</w:t>
      </w:r>
      <w:r w:rsidR="00663947" w:rsidRPr="003E5ED2">
        <w:rPr>
          <w:rFonts w:ascii="Arial" w:eastAsiaTheme="minorHAnsi" w:hAnsi="Arial" w:cs="Arial"/>
          <w:sz w:val="22"/>
          <w:szCs w:val="22"/>
          <w:lang w:eastAsia="en-US"/>
        </w:rPr>
        <w:t>19.</w:t>
      </w:r>
      <w:r w:rsidR="00BA0232" w:rsidRPr="003E5ED2">
        <w:rPr>
          <w:rFonts w:ascii="Arial" w:eastAsiaTheme="minorHAnsi" w:hAnsi="Arial" w:cs="Arial"/>
          <w:sz w:val="22"/>
          <w:szCs w:val="22"/>
          <w:lang w:eastAsia="en-US"/>
        </w:rPr>
        <w:t xml:space="preserve"> </w:t>
      </w:r>
      <w:r w:rsidR="00663947" w:rsidRPr="003E5ED2">
        <w:rPr>
          <w:rFonts w:ascii="Arial" w:eastAsiaTheme="minorHAnsi" w:hAnsi="Arial" w:cs="Arial"/>
          <w:sz w:val="22"/>
          <w:szCs w:val="22"/>
          <w:lang w:eastAsia="en-US"/>
        </w:rPr>
        <w:t xml:space="preserve">godine i ukupno za projekte </w:t>
      </w:r>
      <w:r w:rsidR="00201B1B" w:rsidRPr="003E5ED2">
        <w:rPr>
          <w:rFonts w:ascii="Arial" w:eastAsiaTheme="minorHAnsi" w:hAnsi="Arial" w:cs="Arial"/>
          <w:sz w:val="22"/>
          <w:szCs w:val="22"/>
          <w:lang w:eastAsia="en-US"/>
        </w:rPr>
        <w:t>iskorišteno je 18.649.857,88 kuna kreditnih sredstava</w:t>
      </w:r>
      <w:r w:rsidR="00BC6EB2" w:rsidRPr="003E5ED2">
        <w:rPr>
          <w:rFonts w:ascii="Arial" w:eastAsiaTheme="minorHAnsi" w:hAnsi="Arial" w:cs="Arial"/>
          <w:sz w:val="22"/>
          <w:szCs w:val="22"/>
          <w:lang w:eastAsia="en-US"/>
        </w:rPr>
        <w:t>.</w:t>
      </w:r>
      <w:r w:rsidR="00663947" w:rsidRPr="003E5ED2">
        <w:rPr>
          <w:rFonts w:ascii="Arial" w:eastAsiaTheme="minorHAnsi" w:hAnsi="Arial" w:cs="Arial"/>
          <w:sz w:val="22"/>
          <w:szCs w:val="22"/>
          <w:lang w:eastAsia="en-US"/>
        </w:rPr>
        <w:t xml:space="preserve"> Sredstva kredita otplaćuju </w:t>
      </w:r>
      <w:r w:rsidRPr="003E5ED2">
        <w:rPr>
          <w:rFonts w:ascii="Arial" w:eastAsiaTheme="minorHAnsi" w:hAnsi="Arial" w:cs="Arial"/>
          <w:sz w:val="22"/>
          <w:szCs w:val="22"/>
          <w:lang w:eastAsia="en-US"/>
        </w:rPr>
        <w:t>se mjesečno 10 godina,</w:t>
      </w:r>
      <w:r w:rsidR="00201B1B" w:rsidRPr="003E5ED2">
        <w:rPr>
          <w:rFonts w:ascii="Arial" w:eastAsiaTheme="minorHAnsi" w:hAnsi="Arial" w:cs="Arial"/>
          <w:sz w:val="22"/>
          <w:szCs w:val="22"/>
          <w:lang w:eastAsia="en-US"/>
        </w:rPr>
        <w:t xml:space="preserve"> od isteka roka korištenja, odnosno otplata kredita započela je od siječnja 2021. godine.</w:t>
      </w:r>
      <w:r w:rsidR="00BA0FB4" w:rsidRPr="003E5ED2">
        <w:rPr>
          <w:rFonts w:ascii="Arial" w:eastAsiaTheme="minorHAnsi" w:hAnsi="Arial" w:cs="Arial"/>
          <w:sz w:val="22"/>
          <w:szCs w:val="22"/>
          <w:lang w:eastAsia="en-US"/>
        </w:rPr>
        <w:t xml:space="preserve"> </w:t>
      </w:r>
      <w:r w:rsidRPr="003E5ED2">
        <w:rPr>
          <w:rFonts w:ascii="Arial" w:eastAsiaTheme="minorHAnsi" w:hAnsi="Arial" w:cs="Arial"/>
          <w:sz w:val="22"/>
          <w:szCs w:val="22"/>
          <w:lang w:eastAsia="en-US"/>
        </w:rPr>
        <w:t>Kamatna stopa je fiksna i iznosi 1,27%.</w:t>
      </w:r>
      <w:r w:rsidR="00201B1B" w:rsidRPr="003E5ED2">
        <w:rPr>
          <w:rFonts w:ascii="Arial" w:eastAsiaTheme="minorHAnsi" w:hAnsi="Arial" w:cs="Arial"/>
          <w:sz w:val="22"/>
          <w:szCs w:val="22"/>
          <w:lang w:eastAsia="en-US"/>
        </w:rPr>
        <w:t xml:space="preserve"> </w:t>
      </w:r>
    </w:p>
    <w:p w:rsidR="006F4D1A" w:rsidRPr="003E5ED2" w:rsidRDefault="006F4D1A" w:rsidP="00AA1D56">
      <w:pPr>
        <w:tabs>
          <w:tab w:val="left" w:pos="426"/>
        </w:tabs>
        <w:ind w:left="360"/>
        <w:jc w:val="both"/>
        <w:rPr>
          <w:rFonts w:ascii="Arial" w:hAnsi="Arial" w:cs="Arial"/>
          <w:color w:val="000000" w:themeColor="text1"/>
          <w:sz w:val="22"/>
          <w:szCs w:val="22"/>
        </w:rPr>
      </w:pPr>
      <w:r w:rsidRPr="003E5ED2">
        <w:rPr>
          <w:rFonts w:ascii="Arial" w:hAnsi="Arial" w:cs="Arial"/>
          <w:color w:val="000000" w:themeColor="text1"/>
          <w:sz w:val="22"/>
          <w:szCs w:val="22"/>
        </w:rPr>
        <w:t>Na Javni poziv Ministarstva regionalnog razvoja i fondova Europske unije za sufinanciranje provedbe EU projekata na regionalnoj i lokalnoj razini objavljen krajem 2020. godine, Grad je za sufinanciranje vlastite komponente prijavio 6 projekata energetske obnove koji su završeni u 2020. godini, te su Gradu krajem 2021. godine odobrena bespovratna sredstva pomoći u iznosu od 7.498.038,49 k</w:t>
      </w:r>
      <w:r w:rsidR="002A2F45" w:rsidRPr="003E5ED2">
        <w:rPr>
          <w:rFonts w:ascii="Arial" w:hAnsi="Arial" w:cs="Arial"/>
          <w:color w:val="000000" w:themeColor="text1"/>
          <w:sz w:val="22"/>
          <w:szCs w:val="22"/>
        </w:rPr>
        <w:t>u</w:t>
      </w:r>
      <w:r w:rsidRPr="003E5ED2">
        <w:rPr>
          <w:rFonts w:ascii="Arial" w:hAnsi="Arial" w:cs="Arial"/>
          <w:color w:val="000000" w:themeColor="text1"/>
          <w:sz w:val="22"/>
          <w:szCs w:val="22"/>
        </w:rPr>
        <w:t>n</w:t>
      </w:r>
      <w:r w:rsidR="002A2F45" w:rsidRPr="003E5ED2">
        <w:rPr>
          <w:rFonts w:ascii="Arial" w:hAnsi="Arial" w:cs="Arial"/>
          <w:color w:val="000000" w:themeColor="text1"/>
          <w:sz w:val="22"/>
          <w:szCs w:val="22"/>
        </w:rPr>
        <w:t>a</w:t>
      </w:r>
      <w:r w:rsidRPr="003E5ED2">
        <w:rPr>
          <w:rFonts w:ascii="Arial" w:hAnsi="Arial" w:cs="Arial"/>
          <w:color w:val="000000" w:themeColor="text1"/>
          <w:sz w:val="22"/>
          <w:szCs w:val="22"/>
        </w:rPr>
        <w:t>.</w:t>
      </w:r>
    </w:p>
    <w:p w:rsidR="006F4D1A" w:rsidRPr="003E5ED2" w:rsidRDefault="006F4D1A" w:rsidP="00AA1D56">
      <w:pPr>
        <w:tabs>
          <w:tab w:val="left" w:pos="426"/>
        </w:tabs>
        <w:ind w:left="360"/>
        <w:jc w:val="both"/>
        <w:rPr>
          <w:rFonts w:ascii="Arial" w:hAnsi="Arial" w:cs="Arial"/>
          <w:sz w:val="22"/>
          <w:szCs w:val="22"/>
          <w:highlight w:val="yellow"/>
        </w:rPr>
      </w:pPr>
      <w:r w:rsidRPr="003E5ED2">
        <w:rPr>
          <w:rFonts w:ascii="Arial" w:hAnsi="Arial" w:cs="Arial"/>
          <w:color w:val="000000" w:themeColor="text1"/>
          <w:sz w:val="22"/>
          <w:szCs w:val="22"/>
        </w:rPr>
        <w:t>Obzirom da je vlastita komponenta 6 realiziranih projekata energetske obnove prethodno financirana iz kredita Erste banke, Grad je po primitku navedenih bespovratnih sredstava izvršio prijevremenu djelomičnu otplatu navedenog kredita te je</w:t>
      </w:r>
      <w:r w:rsidR="001D19A9" w:rsidRPr="003E5ED2">
        <w:rPr>
          <w:rFonts w:ascii="Arial" w:hAnsi="Arial" w:cs="Arial"/>
          <w:color w:val="000000" w:themeColor="text1"/>
          <w:sz w:val="22"/>
          <w:szCs w:val="22"/>
        </w:rPr>
        <w:t xml:space="preserve"> dana 24. prosinca </w:t>
      </w:r>
      <w:r w:rsidRPr="003E5ED2">
        <w:rPr>
          <w:rFonts w:ascii="Arial" w:hAnsi="Arial" w:cs="Arial"/>
          <w:color w:val="000000" w:themeColor="text1"/>
          <w:sz w:val="22"/>
          <w:szCs w:val="22"/>
        </w:rPr>
        <w:t>2021. godine sklopljen Aneks broj 2 Ugovora o kreditu na novi iznos glavnice kredita u visini 9.442.249,11 kuna.</w:t>
      </w:r>
    </w:p>
    <w:p w:rsidR="005E03DC" w:rsidRPr="003E5ED2" w:rsidRDefault="002545DC" w:rsidP="00AA1D56">
      <w:pPr>
        <w:ind w:left="360"/>
        <w:jc w:val="both"/>
        <w:rPr>
          <w:rFonts w:ascii="Arial" w:eastAsiaTheme="minorHAnsi" w:hAnsi="Arial" w:cs="Arial"/>
          <w:b/>
          <w:sz w:val="22"/>
          <w:szCs w:val="22"/>
          <w:lang w:eastAsia="en-US"/>
        </w:rPr>
      </w:pPr>
      <w:r w:rsidRPr="003E5ED2">
        <w:rPr>
          <w:rFonts w:ascii="Arial" w:eastAsiaTheme="minorHAnsi" w:hAnsi="Arial" w:cs="Arial"/>
          <w:b/>
          <w:sz w:val="22"/>
          <w:szCs w:val="22"/>
          <w:lang w:eastAsia="en-US"/>
        </w:rPr>
        <w:t>T</w:t>
      </w:r>
      <w:r w:rsidR="008F060B" w:rsidRPr="003E5ED2">
        <w:rPr>
          <w:rFonts w:ascii="Arial" w:eastAsiaTheme="minorHAnsi" w:hAnsi="Arial" w:cs="Arial"/>
          <w:b/>
          <w:sz w:val="22"/>
          <w:szCs w:val="22"/>
          <w:lang w:eastAsia="en-US"/>
        </w:rPr>
        <w:t>ijekom 2024</w:t>
      </w:r>
      <w:r w:rsidR="00DA66DA" w:rsidRPr="003E5ED2">
        <w:rPr>
          <w:rFonts w:ascii="Arial" w:eastAsiaTheme="minorHAnsi" w:hAnsi="Arial" w:cs="Arial"/>
          <w:b/>
          <w:sz w:val="22"/>
          <w:szCs w:val="22"/>
          <w:lang w:eastAsia="en-US"/>
        </w:rPr>
        <w:t xml:space="preserve">. </w:t>
      </w:r>
      <w:r w:rsidRPr="003E5ED2">
        <w:rPr>
          <w:rFonts w:ascii="Arial" w:eastAsiaTheme="minorHAnsi" w:hAnsi="Arial" w:cs="Arial"/>
          <w:b/>
          <w:sz w:val="22"/>
          <w:szCs w:val="22"/>
          <w:lang w:eastAsia="en-US"/>
        </w:rPr>
        <w:t>godine ot</w:t>
      </w:r>
      <w:r w:rsidR="00DA66DA" w:rsidRPr="003E5ED2">
        <w:rPr>
          <w:rFonts w:ascii="Arial" w:eastAsiaTheme="minorHAnsi" w:hAnsi="Arial" w:cs="Arial"/>
          <w:b/>
          <w:sz w:val="22"/>
          <w:szCs w:val="22"/>
          <w:lang w:eastAsia="en-US"/>
        </w:rPr>
        <w:t xml:space="preserve">plaćeno je </w:t>
      </w:r>
      <w:r w:rsidR="00BC6EB2" w:rsidRPr="003E5ED2">
        <w:rPr>
          <w:rFonts w:ascii="Arial" w:eastAsiaTheme="minorHAnsi" w:hAnsi="Arial" w:cs="Arial"/>
          <w:b/>
          <w:sz w:val="22"/>
          <w:szCs w:val="22"/>
          <w:lang w:eastAsia="en-US"/>
        </w:rPr>
        <w:t>137.967,</w:t>
      </w:r>
      <w:r w:rsidR="00E13379" w:rsidRPr="003E5ED2">
        <w:rPr>
          <w:rFonts w:ascii="Arial" w:eastAsiaTheme="minorHAnsi" w:hAnsi="Arial" w:cs="Arial"/>
          <w:b/>
          <w:sz w:val="22"/>
          <w:szCs w:val="22"/>
          <w:lang w:eastAsia="en-US"/>
        </w:rPr>
        <w:t>12</w:t>
      </w:r>
      <w:r w:rsidR="00BC6EB2" w:rsidRPr="003E5ED2">
        <w:rPr>
          <w:rFonts w:ascii="Arial" w:eastAsiaTheme="minorHAnsi" w:hAnsi="Arial" w:cs="Arial"/>
          <w:b/>
          <w:sz w:val="22"/>
          <w:szCs w:val="22"/>
          <w:lang w:eastAsia="en-US"/>
        </w:rPr>
        <w:t xml:space="preserve"> eura </w:t>
      </w:r>
      <w:r w:rsidRPr="003E5ED2">
        <w:rPr>
          <w:rFonts w:ascii="Arial" w:eastAsiaTheme="minorHAnsi" w:hAnsi="Arial" w:cs="Arial"/>
          <w:b/>
          <w:sz w:val="22"/>
          <w:szCs w:val="22"/>
          <w:lang w:eastAsia="en-US"/>
        </w:rPr>
        <w:t>te st</w:t>
      </w:r>
      <w:r w:rsidR="00DA66DA" w:rsidRPr="003E5ED2">
        <w:rPr>
          <w:rFonts w:ascii="Arial" w:eastAsiaTheme="minorHAnsi" w:hAnsi="Arial" w:cs="Arial"/>
          <w:b/>
          <w:sz w:val="22"/>
          <w:szCs w:val="22"/>
          <w:lang w:eastAsia="en-US"/>
        </w:rPr>
        <w:t>anje obveze ovog kredita na dan</w:t>
      </w:r>
      <w:r w:rsidRPr="003E5ED2">
        <w:rPr>
          <w:rFonts w:ascii="Arial" w:eastAsiaTheme="minorHAnsi" w:hAnsi="Arial" w:cs="Arial"/>
          <w:b/>
          <w:sz w:val="22"/>
          <w:szCs w:val="22"/>
          <w:lang w:eastAsia="en-US"/>
        </w:rPr>
        <w:t xml:space="preserve"> </w:t>
      </w:r>
    </w:p>
    <w:p w:rsidR="000E69DA" w:rsidRPr="003E5ED2" w:rsidRDefault="006F4D1A" w:rsidP="00AA1D56">
      <w:pPr>
        <w:ind w:left="360"/>
        <w:jc w:val="both"/>
        <w:rPr>
          <w:rFonts w:ascii="Arial" w:eastAsiaTheme="minorHAnsi" w:hAnsi="Arial" w:cs="Arial"/>
          <w:b/>
          <w:sz w:val="22"/>
          <w:szCs w:val="22"/>
          <w:lang w:eastAsia="en-US"/>
        </w:rPr>
      </w:pPr>
      <w:r w:rsidRPr="003E5ED2">
        <w:rPr>
          <w:rFonts w:ascii="Arial" w:eastAsiaTheme="minorHAnsi" w:hAnsi="Arial" w:cs="Arial"/>
          <w:b/>
          <w:sz w:val="22"/>
          <w:szCs w:val="22"/>
          <w:lang w:eastAsia="en-US"/>
        </w:rPr>
        <w:t>3</w:t>
      </w:r>
      <w:r w:rsidR="00040D9A" w:rsidRPr="003E5ED2">
        <w:rPr>
          <w:rFonts w:ascii="Arial" w:eastAsiaTheme="minorHAnsi" w:hAnsi="Arial" w:cs="Arial"/>
          <w:b/>
          <w:sz w:val="22"/>
          <w:szCs w:val="22"/>
          <w:lang w:eastAsia="en-US"/>
        </w:rPr>
        <w:t xml:space="preserve">1. prosinca </w:t>
      </w:r>
      <w:r w:rsidR="008F060B" w:rsidRPr="003E5ED2">
        <w:rPr>
          <w:rFonts w:ascii="Arial" w:eastAsiaTheme="minorHAnsi" w:hAnsi="Arial" w:cs="Arial"/>
          <w:b/>
          <w:sz w:val="22"/>
          <w:szCs w:val="22"/>
          <w:lang w:eastAsia="en-US"/>
        </w:rPr>
        <w:t>2024</w:t>
      </w:r>
      <w:r w:rsidR="00DA66DA" w:rsidRPr="003E5ED2">
        <w:rPr>
          <w:rFonts w:ascii="Arial" w:eastAsiaTheme="minorHAnsi" w:hAnsi="Arial" w:cs="Arial"/>
          <w:b/>
          <w:sz w:val="22"/>
          <w:szCs w:val="22"/>
          <w:lang w:eastAsia="en-US"/>
        </w:rPr>
        <w:t xml:space="preserve">. </w:t>
      </w:r>
      <w:r w:rsidR="002545DC" w:rsidRPr="003E5ED2">
        <w:rPr>
          <w:rFonts w:ascii="Arial" w:eastAsiaTheme="minorHAnsi" w:hAnsi="Arial" w:cs="Arial"/>
          <w:b/>
          <w:sz w:val="22"/>
          <w:szCs w:val="22"/>
          <w:lang w:eastAsia="en-US"/>
        </w:rPr>
        <w:t xml:space="preserve">godine iznosi </w:t>
      </w:r>
      <w:r w:rsidR="008F060B" w:rsidRPr="003E5ED2">
        <w:rPr>
          <w:rFonts w:ascii="Arial" w:eastAsiaTheme="minorHAnsi" w:hAnsi="Arial" w:cs="Arial"/>
          <w:b/>
          <w:sz w:val="22"/>
          <w:szCs w:val="22"/>
          <w:lang w:eastAsia="en-US"/>
        </w:rPr>
        <w:t>827.803,20</w:t>
      </w:r>
      <w:r w:rsidR="002545DC" w:rsidRPr="003E5ED2">
        <w:rPr>
          <w:rFonts w:ascii="Arial" w:eastAsiaTheme="minorHAnsi" w:hAnsi="Arial" w:cs="Arial"/>
          <w:b/>
          <w:sz w:val="22"/>
          <w:szCs w:val="22"/>
          <w:lang w:eastAsia="en-US"/>
        </w:rPr>
        <w:t xml:space="preserve"> </w:t>
      </w:r>
      <w:r w:rsidR="00BC6EB2" w:rsidRPr="003E5ED2">
        <w:rPr>
          <w:rFonts w:ascii="Arial" w:eastAsiaTheme="minorHAnsi" w:hAnsi="Arial" w:cs="Arial"/>
          <w:b/>
          <w:sz w:val="22"/>
          <w:szCs w:val="22"/>
          <w:lang w:eastAsia="en-US"/>
        </w:rPr>
        <w:t>eura</w:t>
      </w:r>
      <w:r w:rsidR="002545DC" w:rsidRPr="003E5ED2">
        <w:rPr>
          <w:rFonts w:ascii="Arial" w:eastAsiaTheme="minorHAnsi" w:hAnsi="Arial" w:cs="Arial"/>
          <w:b/>
          <w:sz w:val="22"/>
          <w:szCs w:val="22"/>
          <w:lang w:eastAsia="en-US"/>
        </w:rPr>
        <w:t>.</w:t>
      </w:r>
    </w:p>
    <w:p w:rsidR="00F86965" w:rsidRPr="003E5ED2" w:rsidRDefault="00F86965" w:rsidP="00AA1D56">
      <w:pPr>
        <w:ind w:left="360"/>
        <w:jc w:val="both"/>
        <w:rPr>
          <w:rFonts w:ascii="Arial" w:eastAsiaTheme="minorHAnsi" w:hAnsi="Arial" w:cs="Arial"/>
          <w:b/>
          <w:sz w:val="22"/>
          <w:szCs w:val="22"/>
          <w:lang w:eastAsia="en-US"/>
        </w:rPr>
      </w:pPr>
    </w:p>
    <w:p w:rsidR="00F86965" w:rsidRPr="003E5ED2" w:rsidRDefault="00F86965" w:rsidP="000E69DA">
      <w:pPr>
        <w:jc w:val="both"/>
        <w:rPr>
          <w:rFonts w:ascii="Arial" w:hAnsi="Arial" w:cs="Arial"/>
          <w:b/>
          <w:sz w:val="22"/>
          <w:szCs w:val="22"/>
          <w:highlight w:val="yellow"/>
        </w:rPr>
      </w:pPr>
    </w:p>
    <w:p w:rsidR="000E69DA" w:rsidRPr="003E5ED2" w:rsidRDefault="000E69DA" w:rsidP="00D907B7">
      <w:pPr>
        <w:numPr>
          <w:ilvl w:val="0"/>
          <w:numId w:val="7"/>
        </w:numPr>
        <w:spacing w:after="160" w:line="259" w:lineRule="auto"/>
        <w:jc w:val="both"/>
        <w:rPr>
          <w:rFonts w:ascii="Arial" w:hAnsi="Arial" w:cs="Arial"/>
          <w:b/>
          <w:sz w:val="22"/>
          <w:szCs w:val="22"/>
        </w:rPr>
      </w:pPr>
      <w:r w:rsidRPr="003E5ED2">
        <w:rPr>
          <w:rFonts w:ascii="Arial" w:hAnsi="Arial" w:cs="Arial"/>
          <w:b/>
          <w:sz w:val="22"/>
          <w:szCs w:val="22"/>
        </w:rPr>
        <w:t xml:space="preserve">Kredit ERSTE&amp;STEIERMARKISCHE BANK d.d. na iznos od </w:t>
      </w:r>
      <w:r w:rsidR="00BC6EB2" w:rsidRPr="003E5ED2">
        <w:rPr>
          <w:rFonts w:ascii="Arial" w:hAnsi="Arial" w:cs="Arial"/>
          <w:b/>
          <w:sz w:val="22"/>
          <w:szCs w:val="22"/>
        </w:rPr>
        <w:t xml:space="preserve">4,6 </w:t>
      </w:r>
      <w:proofErr w:type="spellStart"/>
      <w:r w:rsidR="00BC6EB2" w:rsidRPr="003E5ED2">
        <w:rPr>
          <w:rFonts w:ascii="Arial" w:hAnsi="Arial" w:cs="Arial"/>
          <w:b/>
          <w:sz w:val="22"/>
          <w:szCs w:val="22"/>
        </w:rPr>
        <w:t>mil</w:t>
      </w:r>
      <w:proofErr w:type="spellEnd"/>
      <w:r w:rsidR="00D51A54" w:rsidRPr="003E5ED2">
        <w:rPr>
          <w:rFonts w:ascii="Arial" w:hAnsi="Arial" w:cs="Arial"/>
          <w:b/>
          <w:sz w:val="22"/>
          <w:szCs w:val="22"/>
        </w:rPr>
        <w:t>.</w:t>
      </w:r>
      <w:r w:rsidR="00BC6EB2" w:rsidRPr="003E5ED2">
        <w:rPr>
          <w:rFonts w:ascii="Arial" w:hAnsi="Arial" w:cs="Arial"/>
          <w:b/>
          <w:sz w:val="22"/>
          <w:szCs w:val="22"/>
        </w:rPr>
        <w:t xml:space="preserve"> eura </w:t>
      </w:r>
    </w:p>
    <w:p w:rsidR="000E69DA" w:rsidRPr="003E5ED2" w:rsidRDefault="000E69DA" w:rsidP="000E69DA">
      <w:pPr>
        <w:tabs>
          <w:tab w:val="left" w:pos="426"/>
        </w:tabs>
        <w:ind w:left="360"/>
        <w:jc w:val="both"/>
        <w:rPr>
          <w:rFonts w:ascii="Arial" w:eastAsiaTheme="minorHAnsi" w:hAnsi="Arial" w:cs="Arial"/>
          <w:sz w:val="22"/>
          <w:szCs w:val="22"/>
          <w:lang w:eastAsia="en-US"/>
        </w:rPr>
      </w:pPr>
      <w:r w:rsidRPr="003E5ED2">
        <w:rPr>
          <w:rFonts w:ascii="Arial" w:hAnsi="Arial" w:cs="Arial"/>
          <w:color w:val="000000" w:themeColor="text1"/>
          <w:sz w:val="22"/>
          <w:szCs w:val="22"/>
        </w:rPr>
        <w:t>Gradsko vijeće Grada Rijeke je na sjednici 24.</w:t>
      </w:r>
      <w:r w:rsidR="00873D87" w:rsidRPr="003E5ED2">
        <w:rPr>
          <w:rFonts w:ascii="Arial" w:hAnsi="Arial" w:cs="Arial"/>
          <w:color w:val="000000" w:themeColor="text1"/>
          <w:sz w:val="22"/>
          <w:szCs w:val="22"/>
        </w:rPr>
        <w:t xml:space="preserve"> </w:t>
      </w:r>
      <w:r w:rsidRPr="003E5ED2">
        <w:rPr>
          <w:rFonts w:ascii="Arial" w:hAnsi="Arial" w:cs="Arial"/>
          <w:color w:val="000000" w:themeColor="text1"/>
          <w:sz w:val="22"/>
          <w:szCs w:val="22"/>
        </w:rPr>
        <w:t xml:space="preserve">svibnja 2018. godine donijelo Odluku o zaduživanju Grada Rijeke za financiranje kapitalnog projekta „Uređenje javnih površina i izgradnja pripadajuće infrastrukture unutar bivšeg tvorničkog kompleksa Rikard Benčić“. </w:t>
      </w:r>
      <w:r w:rsidR="00684BAB" w:rsidRPr="003E5ED2">
        <w:rPr>
          <w:rFonts w:ascii="Arial" w:hAnsi="Arial" w:cs="Arial"/>
          <w:color w:val="000000" w:themeColor="text1"/>
          <w:sz w:val="22"/>
          <w:szCs w:val="22"/>
        </w:rPr>
        <w:t xml:space="preserve">Vlada Republike Hrvatske dala je </w:t>
      </w:r>
      <w:r w:rsidRPr="003E5ED2">
        <w:rPr>
          <w:rFonts w:ascii="Arial" w:hAnsi="Arial" w:cs="Arial"/>
          <w:color w:val="000000" w:themeColor="text1"/>
          <w:sz w:val="22"/>
          <w:szCs w:val="22"/>
        </w:rPr>
        <w:t xml:space="preserve">10. svibnja 2019. </w:t>
      </w:r>
      <w:r w:rsidR="00684BAB" w:rsidRPr="003E5ED2">
        <w:rPr>
          <w:rFonts w:ascii="Arial" w:hAnsi="Arial" w:cs="Arial"/>
          <w:color w:val="000000" w:themeColor="text1"/>
          <w:sz w:val="22"/>
          <w:szCs w:val="22"/>
        </w:rPr>
        <w:t xml:space="preserve">suglasnost za zaduženje </w:t>
      </w:r>
      <w:r w:rsidRPr="003E5ED2">
        <w:rPr>
          <w:rFonts w:ascii="Arial" w:hAnsi="Arial" w:cs="Arial"/>
          <w:color w:val="000000" w:themeColor="text1"/>
          <w:sz w:val="22"/>
          <w:szCs w:val="22"/>
        </w:rPr>
        <w:t xml:space="preserve">te je </w:t>
      </w:r>
      <w:r w:rsidRPr="003E5ED2">
        <w:rPr>
          <w:rFonts w:ascii="Arial" w:eastAsiaTheme="minorHAnsi" w:hAnsi="Arial" w:cs="Arial"/>
          <w:sz w:val="22"/>
          <w:szCs w:val="22"/>
          <w:lang w:eastAsia="en-US"/>
        </w:rPr>
        <w:t xml:space="preserve">Grad Rijeka s </w:t>
      </w:r>
      <w:r w:rsidRPr="003E5ED2">
        <w:rPr>
          <w:rFonts w:ascii="Arial" w:hAnsi="Arial" w:cs="Arial"/>
          <w:sz w:val="22"/>
          <w:szCs w:val="22"/>
        </w:rPr>
        <w:t xml:space="preserve">ERSTE&amp;STEIERMÄRKISCHE BANK d.d. Rijeka dana 24. svibnja 2019. godine zaključio Ugovor o kreditu </w:t>
      </w:r>
      <w:r w:rsidRPr="003E5ED2">
        <w:rPr>
          <w:rFonts w:ascii="Arial" w:eastAsiaTheme="minorHAnsi" w:hAnsi="Arial" w:cs="Arial"/>
          <w:sz w:val="22"/>
          <w:szCs w:val="22"/>
          <w:lang w:eastAsia="en-US"/>
        </w:rPr>
        <w:t>u iznosu od 35.000.000</w:t>
      </w:r>
      <w:r w:rsidR="00B56FFB" w:rsidRPr="003E5ED2">
        <w:rPr>
          <w:rFonts w:ascii="Arial" w:eastAsiaTheme="minorHAnsi" w:hAnsi="Arial" w:cs="Arial"/>
          <w:sz w:val="22"/>
          <w:szCs w:val="22"/>
          <w:lang w:eastAsia="en-US"/>
        </w:rPr>
        <w:t>,00</w:t>
      </w:r>
      <w:r w:rsidRPr="003E5ED2">
        <w:rPr>
          <w:rFonts w:ascii="Arial" w:eastAsiaTheme="minorHAnsi" w:hAnsi="Arial" w:cs="Arial"/>
          <w:sz w:val="22"/>
          <w:szCs w:val="22"/>
          <w:lang w:eastAsia="en-US"/>
        </w:rPr>
        <w:t xml:space="preserve"> kuna. </w:t>
      </w:r>
      <w:r w:rsidR="00577C6B" w:rsidRPr="003E5ED2">
        <w:rPr>
          <w:rFonts w:ascii="Arial" w:eastAsiaTheme="minorHAnsi" w:hAnsi="Arial" w:cs="Arial"/>
          <w:sz w:val="22"/>
          <w:szCs w:val="22"/>
          <w:lang w:eastAsia="en-US"/>
        </w:rPr>
        <w:t>Aneksom</w:t>
      </w:r>
      <w:r w:rsidR="001D19A9" w:rsidRPr="003E5ED2">
        <w:rPr>
          <w:rFonts w:ascii="Arial" w:eastAsiaTheme="minorHAnsi" w:hAnsi="Arial" w:cs="Arial"/>
          <w:sz w:val="22"/>
          <w:szCs w:val="22"/>
          <w:lang w:eastAsia="en-US"/>
        </w:rPr>
        <w:t xml:space="preserve"> broj 1 Ugovora o kreditu od 5. svibnja </w:t>
      </w:r>
      <w:r w:rsidR="00577C6B" w:rsidRPr="003E5ED2">
        <w:rPr>
          <w:rFonts w:ascii="Arial" w:eastAsiaTheme="minorHAnsi" w:hAnsi="Arial" w:cs="Arial"/>
          <w:sz w:val="22"/>
          <w:szCs w:val="22"/>
          <w:lang w:eastAsia="en-US"/>
        </w:rPr>
        <w:t>2020. godine produljio se</w:t>
      </w:r>
      <w:r w:rsidR="001D19A9" w:rsidRPr="003E5ED2">
        <w:rPr>
          <w:rFonts w:ascii="Arial" w:eastAsiaTheme="minorHAnsi" w:hAnsi="Arial" w:cs="Arial"/>
          <w:sz w:val="22"/>
          <w:szCs w:val="22"/>
          <w:lang w:eastAsia="en-US"/>
        </w:rPr>
        <w:t xml:space="preserve"> rok korištenja kredita do 30. lipnja </w:t>
      </w:r>
      <w:r w:rsidR="00577C6B" w:rsidRPr="003E5ED2">
        <w:rPr>
          <w:rFonts w:ascii="Arial" w:eastAsiaTheme="minorHAnsi" w:hAnsi="Arial" w:cs="Arial"/>
          <w:sz w:val="22"/>
          <w:szCs w:val="22"/>
          <w:lang w:eastAsia="en-US"/>
        </w:rPr>
        <w:t>2021. godine.</w:t>
      </w:r>
      <w:r w:rsidR="00BA0FB4" w:rsidRPr="003E5ED2">
        <w:rPr>
          <w:rFonts w:ascii="Arial" w:eastAsiaTheme="minorHAnsi" w:hAnsi="Arial" w:cs="Arial"/>
          <w:sz w:val="22"/>
          <w:szCs w:val="22"/>
          <w:lang w:eastAsia="en-US"/>
        </w:rPr>
        <w:t xml:space="preserve"> </w:t>
      </w:r>
      <w:r w:rsidR="00DA66DA" w:rsidRPr="003E5ED2">
        <w:rPr>
          <w:rFonts w:ascii="Arial" w:eastAsiaTheme="minorHAnsi" w:hAnsi="Arial" w:cs="Arial"/>
          <w:sz w:val="22"/>
          <w:szCs w:val="22"/>
          <w:lang w:eastAsia="en-US"/>
        </w:rPr>
        <w:t>Sredstva kredita otplaćuju</w:t>
      </w:r>
      <w:r w:rsidR="00577C6B" w:rsidRPr="003E5ED2">
        <w:rPr>
          <w:rFonts w:ascii="Arial" w:eastAsiaTheme="minorHAnsi" w:hAnsi="Arial" w:cs="Arial"/>
          <w:sz w:val="22"/>
          <w:szCs w:val="22"/>
          <w:lang w:eastAsia="en-US"/>
        </w:rPr>
        <w:t xml:space="preserve"> se mjesečno 14 godina, </w:t>
      </w:r>
      <w:r w:rsidR="00DA66DA" w:rsidRPr="003E5ED2">
        <w:rPr>
          <w:rFonts w:ascii="Arial" w:eastAsiaTheme="minorHAnsi" w:hAnsi="Arial" w:cs="Arial"/>
          <w:sz w:val="22"/>
          <w:szCs w:val="22"/>
          <w:lang w:eastAsia="en-US"/>
        </w:rPr>
        <w:t>odnosno otplata kredita započela je u srpnju 2021. godine.</w:t>
      </w:r>
      <w:r w:rsidR="00577C6B" w:rsidRPr="003E5ED2">
        <w:rPr>
          <w:rFonts w:ascii="Arial" w:eastAsiaTheme="minorHAnsi" w:hAnsi="Arial" w:cs="Arial"/>
          <w:sz w:val="22"/>
          <w:szCs w:val="22"/>
          <w:lang w:eastAsia="en-US"/>
        </w:rPr>
        <w:t xml:space="preserve"> </w:t>
      </w:r>
      <w:r w:rsidRPr="003E5ED2">
        <w:rPr>
          <w:rFonts w:ascii="Arial" w:eastAsiaTheme="minorHAnsi" w:hAnsi="Arial" w:cs="Arial"/>
          <w:sz w:val="22"/>
          <w:szCs w:val="22"/>
          <w:lang w:eastAsia="en-US"/>
        </w:rPr>
        <w:t>Kamatna stopa je fiksna i iznosi 1,59%.</w:t>
      </w:r>
    </w:p>
    <w:p w:rsidR="000E69DA" w:rsidRPr="003E5ED2" w:rsidRDefault="008F060B" w:rsidP="000E69DA">
      <w:pPr>
        <w:ind w:left="360"/>
        <w:jc w:val="both"/>
        <w:rPr>
          <w:rFonts w:ascii="Arial" w:eastAsiaTheme="minorHAnsi" w:hAnsi="Arial" w:cs="Arial"/>
          <w:b/>
          <w:sz w:val="22"/>
          <w:szCs w:val="22"/>
          <w:lang w:eastAsia="en-US"/>
        </w:rPr>
      </w:pPr>
      <w:r w:rsidRPr="003E5ED2">
        <w:rPr>
          <w:rFonts w:ascii="Arial" w:eastAsiaTheme="minorHAnsi" w:hAnsi="Arial" w:cs="Arial"/>
          <w:b/>
          <w:sz w:val="22"/>
          <w:szCs w:val="22"/>
          <w:lang w:eastAsia="en-US"/>
        </w:rPr>
        <w:t>Tijekom 2024.</w:t>
      </w:r>
      <w:r w:rsidR="00BC1838" w:rsidRPr="003E5ED2">
        <w:rPr>
          <w:rFonts w:ascii="Arial" w:eastAsiaTheme="minorHAnsi" w:hAnsi="Arial" w:cs="Arial"/>
          <w:b/>
          <w:sz w:val="22"/>
          <w:szCs w:val="22"/>
          <w:lang w:eastAsia="en-US"/>
        </w:rPr>
        <w:t xml:space="preserve"> </w:t>
      </w:r>
      <w:r w:rsidR="00DA66DA" w:rsidRPr="003E5ED2">
        <w:rPr>
          <w:rFonts w:ascii="Arial" w:eastAsiaTheme="minorHAnsi" w:hAnsi="Arial" w:cs="Arial"/>
          <w:b/>
          <w:sz w:val="22"/>
          <w:szCs w:val="22"/>
          <w:lang w:eastAsia="en-US"/>
        </w:rPr>
        <w:t xml:space="preserve">godine otplaćeno je </w:t>
      </w:r>
      <w:r w:rsidRPr="003E5ED2">
        <w:rPr>
          <w:rFonts w:ascii="Arial" w:eastAsiaTheme="minorHAnsi" w:hAnsi="Arial" w:cs="Arial"/>
          <w:b/>
          <w:sz w:val="22"/>
          <w:szCs w:val="22"/>
          <w:lang w:eastAsia="en-US"/>
        </w:rPr>
        <w:t xml:space="preserve">331.806,96 </w:t>
      </w:r>
      <w:r w:rsidR="00BC6EB2" w:rsidRPr="003E5ED2">
        <w:rPr>
          <w:rFonts w:ascii="Arial" w:eastAsiaTheme="minorHAnsi" w:hAnsi="Arial" w:cs="Arial"/>
          <w:b/>
          <w:sz w:val="22"/>
          <w:szCs w:val="22"/>
          <w:lang w:eastAsia="en-US"/>
        </w:rPr>
        <w:t>eura</w:t>
      </w:r>
      <w:r w:rsidR="00DA66DA" w:rsidRPr="003E5ED2">
        <w:rPr>
          <w:rFonts w:ascii="Arial" w:eastAsiaTheme="minorHAnsi" w:hAnsi="Arial" w:cs="Arial"/>
          <w:b/>
          <w:sz w:val="22"/>
          <w:szCs w:val="22"/>
          <w:lang w:eastAsia="en-US"/>
        </w:rPr>
        <w:t xml:space="preserve"> te stanje obvez</w:t>
      </w:r>
      <w:r w:rsidR="00AD724E" w:rsidRPr="003E5ED2">
        <w:rPr>
          <w:rFonts w:ascii="Arial" w:eastAsiaTheme="minorHAnsi" w:hAnsi="Arial" w:cs="Arial"/>
          <w:b/>
          <w:sz w:val="22"/>
          <w:szCs w:val="22"/>
          <w:lang w:eastAsia="en-US"/>
        </w:rPr>
        <w:t xml:space="preserve">e ovog kredita na dan 31. prosinca </w:t>
      </w:r>
      <w:r w:rsidR="00F86965" w:rsidRPr="003E5ED2">
        <w:rPr>
          <w:rFonts w:ascii="Arial" w:eastAsiaTheme="minorHAnsi" w:hAnsi="Arial" w:cs="Arial"/>
          <w:b/>
          <w:sz w:val="22"/>
          <w:szCs w:val="22"/>
          <w:lang w:eastAsia="en-US"/>
        </w:rPr>
        <w:t>2024</w:t>
      </w:r>
      <w:r w:rsidR="00DA66DA" w:rsidRPr="003E5ED2">
        <w:rPr>
          <w:rFonts w:ascii="Arial" w:eastAsiaTheme="minorHAnsi" w:hAnsi="Arial" w:cs="Arial"/>
          <w:b/>
          <w:sz w:val="22"/>
          <w:szCs w:val="22"/>
          <w:lang w:eastAsia="en-US"/>
        </w:rPr>
        <w:t xml:space="preserve">. godine iznosi </w:t>
      </w:r>
      <w:r w:rsidR="00BC6EB2" w:rsidRPr="003E5ED2">
        <w:rPr>
          <w:rFonts w:ascii="Arial" w:eastAsiaTheme="minorHAnsi" w:hAnsi="Arial" w:cs="Arial"/>
          <w:b/>
          <w:sz w:val="22"/>
          <w:szCs w:val="22"/>
          <w:lang w:eastAsia="en-US"/>
        </w:rPr>
        <w:t>3.</w:t>
      </w:r>
      <w:r w:rsidRPr="003E5ED2">
        <w:rPr>
          <w:rFonts w:ascii="Arial" w:eastAsiaTheme="minorHAnsi" w:hAnsi="Arial" w:cs="Arial"/>
          <w:b/>
          <w:sz w:val="22"/>
          <w:szCs w:val="22"/>
          <w:lang w:eastAsia="en-US"/>
        </w:rPr>
        <w:t>483.975,01</w:t>
      </w:r>
      <w:r w:rsidR="00BC6EB2" w:rsidRPr="003E5ED2">
        <w:rPr>
          <w:rFonts w:ascii="Arial" w:eastAsiaTheme="minorHAnsi" w:hAnsi="Arial" w:cs="Arial"/>
          <w:b/>
          <w:sz w:val="22"/>
          <w:szCs w:val="22"/>
          <w:lang w:eastAsia="en-US"/>
        </w:rPr>
        <w:t xml:space="preserve"> eura</w:t>
      </w:r>
      <w:r w:rsidR="00DA66DA" w:rsidRPr="003E5ED2">
        <w:rPr>
          <w:rFonts w:ascii="Arial" w:eastAsiaTheme="minorHAnsi" w:hAnsi="Arial" w:cs="Arial"/>
          <w:b/>
          <w:sz w:val="22"/>
          <w:szCs w:val="22"/>
          <w:lang w:eastAsia="en-US"/>
        </w:rPr>
        <w:t>.</w:t>
      </w:r>
    </w:p>
    <w:p w:rsidR="00B55CE8" w:rsidRPr="003E5ED2" w:rsidRDefault="00B55CE8" w:rsidP="000E69DA">
      <w:pPr>
        <w:jc w:val="both"/>
        <w:rPr>
          <w:rFonts w:ascii="Arial" w:hAnsi="Arial" w:cs="Arial"/>
          <w:b/>
          <w:sz w:val="22"/>
          <w:szCs w:val="22"/>
          <w:highlight w:val="yellow"/>
        </w:rPr>
      </w:pPr>
    </w:p>
    <w:p w:rsidR="00C375C1" w:rsidRPr="003E5ED2" w:rsidRDefault="00C375C1" w:rsidP="000E69DA">
      <w:pPr>
        <w:jc w:val="both"/>
        <w:rPr>
          <w:rFonts w:ascii="Arial" w:hAnsi="Arial" w:cs="Arial"/>
          <w:b/>
          <w:sz w:val="22"/>
          <w:szCs w:val="22"/>
          <w:highlight w:val="yellow"/>
        </w:rPr>
      </w:pPr>
    </w:p>
    <w:p w:rsidR="00292739" w:rsidRPr="003E5ED2" w:rsidRDefault="000E69DA" w:rsidP="00D907B7">
      <w:pPr>
        <w:numPr>
          <w:ilvl w:val="0"/>
          <w:numId w:val="7"/>
        </w:numPr>
        <w:spacing w:after="160" w:line="259" w:lineRule="auto"/>
        <w:jc w:val="both"/>
        <w:rPr>
          <w:rFonts w:ascii="Arial" w:hAnsi="Arial" w:cs="Arial"/>
          <w:b/>
          <w:sz w:val="22"/>
          <w:szCs w:val="22"/>
        </w:rPr>
      </w:pPr>
      <w:r w:rsidRPr="003E5ED2">
        <w:rPr>
          <w:rFonts w:ascii="Arial" w:hAnsi="Arial" w:cs="Arial"/>
          <w:b/>
          <w:sz w:val="22"/>
          <w:szCs w:val="22"/>
        </w:rPr>
        <w:t>Kredit ZAGREBAČKE BANKE d.d. na iznos od</w:t>
      </w:r>
      <w:r w:rsidR="00BC6EB2" w:rsidRPr="003E5ED2">
        <w:rPr>
          <w:rFonts w:ascii="Arial" w:hAnsi="Arial" w:cs="Arial"/>
          <w:b/>
          <w:sz w:val="22"/>
          <w:szCs w:val="22"/>
        </w:rPr>
        <w:t xml:space="preserve"> 5,8 </w:t>
      </w:r>
      <w:proofErr w:type="spellStart"/>
      <w:r w:rsidR="00BC6EB2" w:rsidRPr="003E5ED2">
        <w:rPr>
          <w:rFonts w:ascii="Arial" w:hAnsi="Arial" w:cs="Arial"/>
          <w:b/>
          <w:sz w:val="22"/>
          <w:szCs w:val="22"/>
        </w:rPr>
        <w:t>mil</w:t>
      </w:r>
      <w:proofErr w:type="spellEnd"/>
      <w:r w:rsidR="00BC6EB2" w:rsidRPr="003E5ED2">
        <w:rPr>
          <w:rFonts w:ascii="Arial" w:hAnsi="Arial" w:cs="Arial"/>
          <w:b/>
          <w:sz w:val="22"/>
          <w:szCs w:val="22"/>
        </w:rPr>
        <w:t>.</w:t>
      </w:r>
      <w:r w:rsidR="00D51A54" w:rsidRPr="003E5ED2">
        <w:rPr>
          <w:rFonts w:ascii="Arial" w:hAnsi="Arial" w:cs="Arial"/>
          <w:b/>
          <w:sz w:val="22"/>
          <w:szCs w:val="22"/>
        </w:rPr>
        <w:t xml:space="preserve"> </w:t>
      </w:r>
      <w:r w:rsidR="00BC6EB2" w:rsidRPr="003E5ED2">
        <w:rPr>
          <w:rFonts w:ascii="Arial" w:hAnsi="Arial" w:cs="Arial"/>
          <w:b/>
          <w:sz w:val="22"/>
          <w:szCs w:val="22"/>
        </w:rPr>
        <w:t xml:space="preserve">eura </w:t>
      </w:r>
    </w:p>
    <w:p w:rsidR="00577C6B" w:rsidRPr="003E5ED2" w:rsidRDefault="000E69DA" w:rsidP="006538C0">
      <w:pPr>
        <w:spacing w:line="259" w:lineRule="auto"/>
        <w:ind w:left="357"/>
        <w:jc w:val="both"/>
        <w:rPr>
          <w:rFonts w:ascii="Arial" w:eastAsiaTheme="minorHAnsi" w:hAnsi="Arial" w:cs="Arial"/>
          <w:sz w:val="22"/>
          <w:szCs w:val="22"/>
          <w:lang w:eastAsia="en-US"/>
        </w:rPr>
      </w:pPr>
      <w:r w:rsidRPr="003E5ED2">
        <w:rPr>
          <w:rFonts w:ascii="Arial" w:eastAsiaTheme="minorHAnsi" w:hAnsi="Arial" w:cs="Arial"/>
          <w:sz w:val="22"/>
          <w:szCs w:val="22"/>
          <w:lang w:eastAsia="en-US"/>
        </w:rPr>
        <w:t xml:space="preserve">Gradsko vijeće Grada Rijeke je na sjednici 30. rujna 2019. godine donijelo Odluku o zaduživanju Grada Rijeke za realizaciju kapitalnog projekta „Turistička valorizacija reprezentativnih spomenika riječke industrijske baštine“. Slijedom navedenog, 15. studenog 2019. godine </w:t>
      </w:r>
      <w:r w:rsidR="005D6173" w:rsidRPr="003E5ED2">
        <w:rPr>
          <w:rFonts w:ascii="Arial" w:eastAsiaTheme="minorHAnsi" w:hAnsi="Arial" w:cs="Arial"/>
          <w:sz w:val="22"/>
          <w:szCs w:val="22"/>
          <w:lang w:eastAsia="en-US"/>
        </w:rPr>
        <w:t xml:space="preserve">dobivena je suglasnost </w:t>
      </w:r>
      <w:r w:rsidRPr="003E5ED2">
        <w:rPr>
          <w:rFonts w:ascii="Arial" w:eastAsiaTheme="minorHAnsi" w:hAnsi="Arial" w:cs="Arial"/>
          <w:sz w:val="22"/>
          <w:szCs w:val="22"/>
          <w:lang w:eastAsia="en-US"/>
        </w:rPr>
        <w:t>Ministarstva financ</w:t>
      </w:r>
      <w:r w:rsidR="001D19A9" w:rsidRPr="003E5ED2">
        <w:rPr>
          <w:rFonts w:ascii="Arial" w:eastAsiaTheme="minorHAnsi" w:hAnsi="Arial" w:cs="Arial"/>
          <w:sz w:val="22"/>
          <w:szCs w:val="22"/>
          <w:lang w:eastAsia="en-US"/>
        </w:rPr>
        <w:t xml:space="preserve">ija te je Grad Rijeka dana 6. prosinca </w:t>
      </w:r>
      <w:r w:rsidRPr="003E5ED2">
        <w:rPr>
          <w:rFonts w:ascii="Arial" w:eastAsiaTheme="minorHAnsi" w:hAnsi="Arial" w:cs="Arial"/>
          <w:sz w:val="22"/>
          <w:szCs w:val="22"/>
          <w:lang w:eastAsia="en-US"/>
        </w:rPr>
        <w:t>2019. godine sklopio s</w:t>
      </w:r>
      <w:r w:rsidR="00AC546F" w:rsidRPr="003E5ED2">
        <w:rPr>
          <w:rFonts w:ascii="Arial" w:eastAsiaTheme="minorHAnsi" w:hAnsi="Arial" w:cs="Arial"/>
          <w:sz w:val="22"/>
          <w:szCs w:val="22"/>
          <w:lang w:eastAsia="en-US"/>
        </w:rPr>
        <w:t>a</w:t>
      </w:r>
      <w:r w:rsidRPr="003E5ED2">
        <w:rPr>
          <w:rFonts w:ascii="Arial" w:eastAsiaTheme="minorHAnsi" w:hAnsi="Arial" w:cs="Arial"/>
          <w:sz w:val="22"/>
          <w:szCs w:val="22"/>
          <w:lang w:eastAsia="en-US"/>
        </w:rPr>
        <w:t xml:space="preserve"> Zagrebačkom bankom d.d. Ugovor o kreditu u iznosu od 44.000.000</w:t>
      </w:r>
      <w:r w:rsidR="00DC1544" w:rsidRPr="003E5ED2">
        <w:rPr>
          <w:rFonts w:ascii="Arial" w:eastAsiaTheme="minorHAnsi" w:hAnsi="Arial" w:cs="Arial"/>
          <w:sz w:val="22"/>
          <w:szCs w:val="22"/>
          <w:lang w:eastAsia="en-US"/>
        </w:rPr>
        <w:t>,00</w:t>
      </w:r>
      <w:r w:rsidR="00FA25B4" w:rsidRPr="003E5ED2">
        <w:rPr>
          <w:rFonts w:ascii="Arial" w:eastAsiaTheme="minorHAnsi" w:hAnsi="Arial" w:cs="Arial"/>
          <w:sz w:val="22"/>
          <w:szCs w:val="22"/>
          <w:lang w:eastAsia="en-US"/>
        </w:rPr>
        <w:t xml:space="preserve"> kuna</w:t>
      </w:r>
      <w:r w:rsidR="008B01C8" w:rsidRPr="003E5ED2">
        <w:rPr>
          <w:rFonts w:ascii="Arial" w:eastAsiaTheme="minorHAnsi" w:hAnsi="Arial" w:cs="Arial"/>
          <w:sz w:val="22"/>
          <w:szCs w:val="22"/>
          <w:lang w:eastAsia="en-US"/>
        </w:rPr>
        <w:t>.</w:t>
      </w:r>
      <w:r w:rsidR="00BC6EB2" w:rsidRPr="003E5ED2">
        <w:rPr>
          <w:rFonts w:ascii="Arial" w:eastAsiaTheme="minorHAnsi" w:hAnsi="Arial" w:cs="Arial"/>
          <w:sz w:val="22"/>
          <w:szCs w:val="22"/>
          <w:lang w:eastAsia="en-US"/>
        </w:rPr>
        <w:t xml:space="preserve"> </w:t>
      </w:r>
      <w:r w:rsidR="00577C6B" w:rsidRPr="003E5ED2">
        <w:rPr>
          <w:rFonts w:ascii="Arial" w:eastAsiaTheme="minorHAnsi" w:hAnsi="Arial" w:cs="Arial"/>
          <w:sz w:val="22"/>
          <w:szCs w:val="22"/>
          <w:lang w:eastAsia="en-US"/>
        </w:rPr>
        <w:t>Dodatkom b</w:t>
      </w:r>
      <w:r w:rsidR="001D19A9" w:rsidRPr="003E5ED2">
        <w:rPr>
          <w:rFonts w:ascii="Arial" w:eastAsiaTheme="minorHAnsi" w:hAnsi="Arial" w:cs="Arial"/>
          <w:sz w:val="22"/>
          <w:szCs w:val="22"/>
          <w:lang w:eastAsia="en-US"/>
        </w:rPr>
        <w:t xml:space="preserve">roj 1 Ugovora o kreditu od 2. prosinca </w:t>
      </w:r>
      <w:r w:rsidR="00577C6B" w:rsidRPr="003E5ED2">
        <w:rPr>
          <w:rFonts w:ascii="Arial" w:eastAsiaTheme="minorHAnsi" w:hAnsi="Arial" w:cs="Arial"/>
          <w:sz w:val="22"/>
          <w:szCs w:val="22"/>
          <w:lang w:eastAsia="en-US"/>
        </w:rPr>
        <w:t>2020. godine produl</w:t>
      </w:r>
      <w:r w:rsidR="009B6CB9" w:rsidRPr="003E5ED2">
        <w:rPr>
          <w:rFonts w:ascii="Arial" w:eastAsiaTheme="minorHAnsi" w:hAnsi="Arial" w:cs="Arial"/>
          <w:sz w:val="22"/>
          <w:szCs w:val="22"/>
          <w:lang w:eastAsia="en-US"/>
        </w:rPr>
        <w:t>jio se rok korištenja kredita do</w:t>
      </w:r>
      <w:r w:rsidR="001D19A9" w:rsidRPr="003E5ED2">
        <w:rPr>
          <w:rFonts w:ascii="Arial" w:eastAsiaTheme="minorHAnsi" w:hAnsi="Arial" w:cs="Arial"/>
          <w:sz w:val="22"/>
          <w:szCs w:val="22"/>
          <w:lang w:eastAsia="en-US"/>
        </w:rPr>
        <w:t xml:space="preserve"> 31. prosinca </w:t>
      </w:r>
      <w:r w:rsidR="00577C6B" w:rsidRPr="003E5ED2">
        <w:rPr>
          <w:rFonts w:ascii="Arial" w:eastAsiaTheme="minorHAnsi" w:hAnsi="Arial" w:cs="Arial"/>
          <w:sz w:val="22"/>
          <w:szCs w:val="22"/>
          <w:lang w:eastAsia="en-US"/>
        </w:rPr>
        <w:t>2021. godine.</w:t>
      </w:r>
      <w:r w:rsidR="00313DEC" w:rsidRPr="003E5ED2">
        <w:rPr>
          <w:rFonts w:ascii="Arial" w:eastAsiaTheme="minorHAnsi" w:hAnsi="Arial" w:cs="Arial"/>
          <w:sz w:val="22"/>
          <w:szCs w:val="22"/>
          <w:lang w:eastAsia="en-US"/>
        </w:rPr>
        <w:t xml:space="preserve"> Unatoč istom</w:t>
      </w:r>
      <w:r w:rsidR="003A2EF3" w:rsidRPr="003E5ED2">
        <w:rPr>
          <w:rFonts w:ascii="Arial" w:eastAsiaTheme="minorHAnsi" w:hAnsi="Arial" w:cs="Arial"/>
          <w:sz w:val="22"/>
          <w:szCs w:val="22"/>
          <w:lang w:eastAsia="en-US"/>
        </w:rPr>
        <w:t xml:space="preserve">, </w:t>
      </w:r>
      <w:r w:rsidR="00313DEC" w:rsidRPr="003E5ED2">
        <w:rPr>
          <w:rFonts w:ascii="Arial" w:eastAsiaTheme="minorHAnsi" w:hAnsi="Arial" w:cs="Arial"/>
          <w:sz w:val="22"/>
          <w:szCs w:val="22"/>
          <w:lang w:eastAsia="en-US"/>
        </w:rPr>
        <w:t>za produljenje</w:t>
      </w:r>
      <w:r w:rsidR="001D19A9" w:rsidRPr="003E5ED2">
        <w:rPr>
          <w:rFonts w:ascii="Arial" w:eastAsiaTheme="minorHAnsi" w:hAnsi="Arial" w:cs="Arial"/>
          <w:sz w:val="22"/>
          <w:szCs w:val="22"/>
          <w:lang w:eastAsia="en-US"/>
        </w:rPr>
        <w:t xml:space="preserve"> roka korištenja do 31. prosinca </w:t>
      </w:r>
      <w:r w:rsidR="00174DD7" w:rsidRPr="003E5ED2">
        <w:rPr>
          <w:rFonts w:ascii="Arial" w:eastAsiaTheme="minorHAnsi" w:hAnsi="Arial" w:cs="Arial"/>
          <w:sz w:val="22"/>
          <w:szCs w:val="22"/>
          <w:lang w:eastAsia="en-US"/>
        </w:rPr>
        <w:t xml:space="preserve">2022. godine, sklopljen je Dodatak </w:t>
      </w:r>
      <w:r w:rsidR="001D19A9" w:rsidRPr="003E5ED2">
        <w:rPr>
          <w:rFonts w:ascii="Arial" w:eastAsiaTheme="minorHAnsi" w:hAnsi="Arial" w:cs="Arial"/>
          <w:sz w:val="22"/>
          <w:szCs w:val="22"/>
          <w:lang w:eastAsia="en-US"/>
        </w:rPr>
        <w:t xml:space="preserve">2. Ugovora o kreditu dana 01. prosinca </w:t>
      </w:r>
      <w:r w:rsidR="00174DD7" w:rsidRPr="003E5ED2">
        <w:rPr>
          <w:rFonts w:ascii="Arial" w:eastAsiaTheme="minorHAnsi" w:hAnsi="Arial" w:cs="Arial"/>
          <w:sz w:val="22"/>
          <w:szCs w:val="22"/>
          <w:lang w:eastAsia="en-US"/>
        </w:rPr>
        <w:t>2021. godine.</w:t>
      </w:r>
    </w:p>
    <w:p w:rsidR="00BC6EB2" w:rsidRPr="003E5ED2" w:rsidRDefault="00BC6EB2" w:rsidP="006538C0">
      <w:pPr>
        <w:spacing w:line="259" w:lineRule="auto"/>
        <w:ind w:left="357"/>
        <w:jc w:val="both"/>
        <w:rPr>
          <w:rFonts w:ascii="Arial" w:eastAsiaTheme="minorHAnsi" w:hAnsi="Arial" w:cs="Arial"/>
          <w:sz w:val="22"/>
          <w:szCs w:val="22"/>
          <w:lang w:eastAsia="en-US"/>
        </w:rPr>
      </w:pPr>
      <w:r w:rsidRPr="003E5ED2">
        <w:rPr>
          <w:rFonts w:ascii="Arial" w:eastAsiaTheme="minorHAnsi" w:hAnsi="Arial" w:cs="Arial"/>
          <w:sz w:val="22"/>
          <w:szCs w:val="22"/>
          <w:lang w:eastAsia="en-US"/>
        </w:rPr>
        <w:t>Povlačenje kredita započelo je u prosincu 2019. godine i ukupno je iskorišteno 5.839.803,57 eura.</w:t>
      </w:r>
    </w:p>
    <w:p w:rsidR="004038CA" w:rsidRPr="003E5ED2" w:rsidRDefault="009E0A79" w:rsidP="006538C0">
      <w:pPr>
        <w:spacing w:line="259" w:lineRule="auto"/>
        <w:ind w:left="357"/>
        <w:jc w:val="both"/>
        <w:rPr>
          <w:rFonts w:ascii="Arial" w:eastAsiaTheme="minorHAnsi" w:hAnsi="Arial" w:cs="Arial"/>
          <w:sz w:val="22"/>
          <w:szCs w:val="22"/>
          <w:lang w:eastAsia="en-US"/>
        </w:rPr>
      </w:pPr>
      <w:r w:rsidRPr="003E5ED2">
        <w:rPr>
          <w:rFonts w:ascii="Arial" w:eastAsiaTheme="minorHAnsi" w:hAnsi="Arial" w:cs="Arial"/>
          <w:sz w:val="22"/>
          <w:szCs w:val="22"/>
          <w:lang w:eastAsia="en-US"/>
        </w:rPr>
        <w:t xml:space="preserve">Sredstva kredita otplaćuju </w:t>
      </w:r>
      <w:r w:rsidR="000E69DA" w:rsidRPr="003E5ED2">
        <w:rPr>
          <w:rFonts w:ascii="Arial" w:eastAsiaTheme="minorHAnsi" w:hAnsi="Arial" w:cs="Arial"/>
          <w:sz w:val="22"/>
          <w:szCs w:val="22"/>
          <w:lang w:eastAsia="en-US"/>
        </w:rPr>
        <w:t xml:space="preserve">se mjesečno 10 godina, </w:t>
      </w:r>
      <w:r w:rsidR="00FF20E5" w:rsidRPr="003E5ED2">
        <w:rPr>
          <w:rFonts w:ascii="Arial" w:eastAsiaTheme="minorHAnsi" w:hAnsi="Arial" w:cs="Arial"/>
          <w:sz w:val="22"/>
          <w:szCs w:val="22"/>
          <w:lang w:eastAsia="en-US"/>
        </w:rPr>
        <w:t>od</w:t>
      </w:r>
      <w:r w:rsidR="00BC6EB2" w:rsidRPr="003E5ED2">
        <w:rPr>
          <w:rFonts w:ascii="Arial" w:eastAsiaTheme="minorHAnsi" w:hAnsi="Arial" w:cs="Arial"/>
          <w:sz w:val="22"/>
          <w:szCs w:val="22"/>
          <w:lang w:eastAsia="en-US"/>
        </w:rPr>
        <w:t xml:space="preserve">nosno otplata kredita započela je u siječnju 2023. godine. </w:t>
      </w:r>
      <w:r w:rsidR="000E69DA" w:rsidRPr="003E5ED2">
        <w:rPr>
          <w:rFonts w:ascii="Arial" w:eastAsiaTheme="minorHAnsi" w:hAnsi="Arial" w:cs="Arial"/>
          <w:sz w:val="22"/>
          <w:szCs w:val="22"/>
          <w:lang w:eastAsia="en-US"/>
        </w:rPr>
        <w:t>Kamatna stopa je fiksna i iznosi 1,25%.</w:t>
      </w:r>
    </w:p>
    <w:p w:rsidR="000E69DA" w:rsidRPr="003E5ED2" w:rsidRDefault="008F060B" w:rsidP="006538C0">
      <w:pPr>
        <w:spacing w:line="259" w:lineRule="auto"/>
        <w:ind w:left="357"/>
        <w:jc w:val="both"/>
        <w:rPr>
          <w:rFonts w:ascii="Arial" w:eastAsiaTheme="minorHAnsi" w:hAnsi="Arial" w:cs="Arial"/>
          <w:b/>
          <w:sz w:val="22"/>
          <w:szCs w:val="22"/>
          <w:lang w:eastAsia="en-US"/>
        </w:rPr>
      </w:pPr>
      <w:r w:rsidRPr="003E5ED2">
        <w:rPr>
          <w:rFonts w:ascii="Arial" w:eastAsiaTheme="minorHAnsi" w:hAnsi="Arial" w:cs="Arial"/>
          <w:b/>
          <w:sz w:val="22"/>
          <w:szCs w:val="22"/>
          <w:lang w:eastAsia="en-US"/>
        </w:rPr>
        <w:t>Tijekom 2024</w:t>
      </w:r>
      <w:r w:rsidR="00973CDC" w:rsidRPr="003E5ED2">
        <w:rPr>
          <w:rFonts w:ascii="Arial" w:eastAsiaTheme="minorHAnsi" w:hAnsi="Arial" w:cs="Arial"/>
          <w:b/>
          <w:sz w:val="22"/>
          <w:szCs w:val="22"/>
          <w:lang w:eastAsia="en-US"/>
        </w:rPr>
        <w:t xml:space="preserve">. godine otplaćeno je 583.980,36 eura te stanje </w:t>
      </w:r>
      <w:r w:rsidR="00AD724E" w:rsidRPr="003E5ED2">
        <w:rPr>
          <w:rFonts w:ascii="Arial" w:eastAsiaTheme="minorHAnsi" w:hAnsi="Arial" w:cs="Arial"/>
          <w:b/>
          <w:sz w:val="22"/>
          <w:szCs w:val="22"/>
          <w:lang w:eastAsia="en-US"/>
        </w:rPr>
        <w:t xml:space="preserve">obveze ovog kredita na dan 31. prosinca </w:t>
      </w:r>
      <w:r w:rsidRPr="003E5ED2">
        <w:rPr>
          <w:rFonts w:ascii="Arial" w:eastAsiaTheme="minorHAnsi" w:hAnsi="Arial" w:cs="Arial"/>
          <w:b/>
          <w:sz w:val="22"/>
          <w:szCs w:val="22"/>
          <w:lang w:eastAsia="en-US"/>
        </w:rPr>
        <w:t>2024</w:t>
      </w:r>
      <w:r w:rsidR="00973CDC" w:rsidRPr="003E5ED2">
        <w:rPr>
          <w:rFonts w:ascii="Arial" w:eastAsiaTheme="minorHAnsi" w:hAnsi="Arial" w:cs="Arial"/>
          <w:b/>
          <w:sz w:val="22"/>
          <w:szCs w:val="22"/>
          <w:lang w:eastAsia="en-US"/>
        </w:rPr>
        <w:t xml:space="preserve">. godine iznosi </w:t>
      </w:r>
      <w:r w:rsidRPr="003E5ED2">
        <w:rPr>
          <w:rFonts w:ascii="Arial" w:eastAsiaTheme="minorHAnsi" w:hAnsi="Arial" w:cs="Arial"/>
          <w:b/>
          <w:sz w:val="22"/>
          <w:szCs w:val="22"/>
          <w:lang w:eastAsia="en-US"/>
        </w:rPr>
        <w:t>4.671.842,85</w:t>
      </w:r>
      <w:r w:rsidR="00973CDC" w:rsidRPr="003E5ED2">
        <w:rPr>
          <w:rFonts w:ascii="Arial" w:eastAsiaTheme="minorHAnsi" w:hAnsi="Arial" w:cs="Arial"/>
          <w:b/>
          <w:sz w:val="22"/>
          <w:szCs w:val="22"/>
          <w:lang w:eastAsia="en-US"/>
        </w:rPr>
        <w:t xml:space="preserve"> eura.</w:t>
      </w:r>
    </w:p>
    <w:p w:rsidR="00B55CE8" w:rsidRPr="003E5ED2" w:rsidRDefault="00B55CE8" w:rsidP="006538C0">
      <w:pPr>
        <w:spacing w:line="259" w:lineRule="auto"/>
        <w:ind w:left="357"/>
        <w:jc w:val="both"/>
        <w:rPr>
          <w:rFonts w:ascii="Arial" w:eastAsiaTheme="minorHAnsi" w:hAnsi="Arial" w:cs="Arial"/>
          <w:b/>
          <w:sz w:val="22"/>
          <w:szCs w:val="22"/>
          <w:highlight w:val="yellow"/>
          <w:lang w:eastAsia="en-US"/>
        </w:rPr>
      </w:pPr>
    </w:p>
    <w:p w:rsidR="00C375C1" w:rsidRPr="003E5ED2" w:rsidRDefault="00C375C1" w:rsidP="006538C0">
      <w:pPr>
        <w:spacing w:line="259" w:lineRule="auto"/>
        <w:ind w:left="357"/>
        <w:jc w:val="both"/>
        <w:rPr>
          <w:rFonts w:ascii="Arial" w:eastAsiaTheme="minorHAnsi" w:hAnsi="Arial" w:cs="Arial"/>
          <w:b/>
          <w:sz w:val="22"/>
          <w:szCs w:val="22"/>
          <w:highlight w:val="yellow"/>
          <w:lang w:eastAsia="en-US"/>
        </w:rPr>
      </w:pPr>
    </w:p>
    <w:p w:rsidR="001F5BA3" w:rsidRPr="003E5ED2" w:rsidRDefault="001F5BA3" w:rsidP="00C375C1">
      <w:pPr>
        <w:pStyle w:val="ListParagraph"/>
        <w:numPr>
          <w:ilvl w:val="0"/>
          <w:numId w:val="7"/>
        </w:numPr>
        <w:spacing w:line="259" w:lineRule="auto"/>
        <w:jc w:val="both"/>
        <w:rPr>
          <w:rFonts w:ascii="Arial" w:eastAsiaTheme="minorHAnsi" w:hAnsi="Arial" w:cs="Arial"/>
          <w:b/>
          <w:sz w:val="22"/>
          <w:szCs w:val="22"/>
          <w:lang w:eastAsia="en-US"/>
        </w:rPr>
      </w:pPr>
      <w:r w:rsidRPr="003E5ED2">
        <w:rPr>
          <w:rFonts w:ascii="Arial" w:eastAsiaTheme="minorHAnsi" w:hAnsi="Arial" w:cs="Arial"/>
          <w:b/>
          <w:sz w:val="22"/>
          <w:szCs w:val="22"/>
          <w:lang w:eastAsia="en-US"/>
        </w:rPr>
        <w:t>Kredit ERSTE&amp;STEIERMARKISCHE BANK d.d.</w:t>
      </w:r>
      <w:r w:rsidR="00AC546F" w:rsidRPr="003E5ED2">
        <w:rPr>
          <w:rFonts w:ascii="Arial" w:eastAsiaTheme="minorHAnsi" w:hAnsi="Arial" w:cs="Arial"/>
          <w:b/>
          <w:sz w:val="22"/>
          <w:szCs w:val="22"/>
          <w:lang w:eastAsia="en-US"/>
        </w:rPr>
        <w:t xml:space="preserve"> </w:t>
      </w:r>
      <w:r w:rsidRPr="003E5ED2">
        <w:rPr>
          <w:rFonts w:ascii="Arial" w:eastAsiaTheme="minorHAnsi" w:hAnsi="Arial" w:cs="Arial"/>
          <w:b/>
          <w:sz w:val="22"/>
          <w:szCs w:val="22"/>
          <w:lang w:eastAsia="en-US"/>
        </w:rPr>
        <w:t>na iznos od</w:t>
      </w:r>
      <w:r w:rsidR="00973CDC" w:rsidRPr="003E5ED2">
        <w:rPr>
          <w:rFonts w:ascii="Arial" w:eastAsiaTheme="minorHAnsi" w:hAnsi="Arial" w:cs="Arial"/>
          <w:b/>
          <w:sz w:val="22"/>
          <w:szCs w:val="22"/>
          <w:lang w:eastAsia="en-US"/>
        </w:rPr>
        <w:t xml:space="preserve"> 1,7 </w:t>
      </w:r>
      <w:proofErr w:type="spellStart"/>
      <w:r w:rsidR="00973CDC" w:rsidRPr="003E5ED2">
        <w:rPr>
          <w:rFonts w:ascii="Arial" w:eastAsiaTheme="minorHAnsi" w:hAnsi="Arial" w:cs="Arial"/>
          <w:b/>
          <w:sz w:val="22"/>
          <w:szCs w:val="22"/>
          <w:lang w:eastAsia="en-US"/>
        </w:rPr>
        <w:t>mil</w:t>
      </w:r>
      <w:proofErr w:type="spellEnd"/>
      <w:r w:rsidR="00973CDC" w:rsidRPr="003E5ED2">
        <w:rPr>
          <w:rFonts w:ascii="Arial" w:eastAsiaTheme="minorHAnsi" w:hAnsi="Arial" w:cs="Arial"/>
          <w:b/>
          <w:sz w:val="22"/>
          <w:szCs w:val="22"/>
          <w:lang w:eastAsia="en-US"/>
        </w:rPr>
        <w:t>. eura</w:t>
      </w:r>
      <w:r w:rsidRPr="003E5ED2">
        <w:rPr>
          <w:rFonts w:ascii="Arial" w:eastAsiaTheme="minorHAnsi" w:hAnsi="Arial" w:cs="Arial"/>
          <w:b/>
          <w:sz w:val="22"/>
          <w:szCs w:val="22"/>
          <w:lang w:eastAsia="en-US"/>
        </w:rPr>
        <w:t xml:space="preserve"> </w:t>
      </w:r>
    </w:p>
    <w:p w:rsidR="001F5BA3" w:rsidRPr="003E5ED2" w:rsidRDefault="001F5BA3" w:rsidP="006538C0">
      <w:pPr>
        <w:spacing w:line="259" w:lineRule="auto"/>
        <w:ind w:left="357"/>
        <w:jc w:val="both"/>
        <w:rPr>
          <w:rFonts w:ascii="Arial" w:eastAsiaTheme="minorHAnsi" w:hAnsi="Arial" w:cs="Arial"/>
          <w:sz w:val="22"/>
          <w:szCs w:val="22"/>
          <w:lang w:eastAsia="en-US"/>
        </w:rPr>
      </w:pPr>
      <w:r w:rsidRPr="003E5ED2">
        <w:rPr>
          <w:rFonts w:ascii="Arial" w:eastAsiaTheme="minorHAnsi" w:hAnsi="Arial" w:cs="Arial"/>
          <w:sz w:val="22"/>
          <w:szCs w:val="22"/>
          <w:lang w:eastAsia="en-US"/>
        </w:rPr>
        <w:t>Gradsko vijeće Grada Rijeke je na sjednici 4.</w:t>
      </w:r>
      <w:r w:rsidR="00AC546F" w:rsidRPr="003E5ED2">
        <w:rPr>
          <w:rFonts w:ascii="Arial" w:eastAsiaTheme="minorHAnsi" w:hAnsi="Arial" w:cs="Arial"/>
          <w:sz w:val="22"/>
          <w:szCs w:val="22"/>
          <w:lang w:eastAsia="en-US"/>
        </w:rPr>
        <w:t xml:space="preserve"> </w:t>
      </w:r>
      <w:r w:rsidRPr="003E5ED2">
        <w:rPr>
          <w:rFonts w:ascii="Arial" w:eastAsiaTheme="minorHAnsi" w:hAnsi="Arial" w:cs="Arial"/>
          <w:sz w:val="22"/>
          <w:szCs w:val="22"/>
          <w:lang w:eastAsia="en-US"/>
        </w:rPr>
        <w:t>svibnja 2022. godine</w:t>
      </w:r>
      <w:r w:rsidR="00787950" w:rsidRPr="003E5ED2">
        <w:rPr>
          <w:rFonts w:ascii="Arial" w:eastAsiaTheme="minorHAnsi" w:hAnsi="Arial" w:cs="Arial"/>
          <w:sz w:val="22"/>
          <w:szCs w:val="22"/>
          <w:lang w:eastAsia="en-US"/>
        </w:rPr>
        <w:t xml:space="preserve"> donijelo</w:t>
      </w:r>
      <w:r w:rsidRPr="003E5ED2">
        <w:rPr>
          <w:rFonts w:ascii="Arial" w:eastAsiaTheme="minorHAnsi" w:hAnsi="Arial" w:cs="Arial"/>
          <w:sz w:val="22"/>
          <w:szCs w:val="22"/>
          <w:lang w:eastAsia="en-US"/>
        </w:rPr>
        <w:t xml:space="preserve"> Odluku o zaduživanju Grada Rijeke za sufinanciranje kapitalnog projekta Energana</w:t>
      </w:r>
      <w:r w:rsidR="00AC546F" w:rsidRPr="003E5ED2">
        <w:rPr>
          <w:rFonts w:ascii="Arial" w:eastAsiaTheme="minorHAnsi" w:hAnsi="Arial" w:cs="Arial"/>
          <w:sz w:val="22"/>
          <w:szCs w:val="22"/>
          <w:lang w:eastAsia="en-US"/>
        </w:rPr>
        <w:t xml:space="preserve"> </w:t>
      </w:r>
      <w:r w:rsidRPr="003E5ED2">
        <w:rPr>
          <w:rFonts w:ascii="Arial" w:eastAsiaTheme="minorHAnsi" w:hAnsi="Arial" w:cs="Arial"/>
          <w:sz w:val="22"/>
          <w:szCs w:val="22"/>
          <w:lang w:eastAsia="en-US"/>
        </w:rPr>
        <w:t>-</w:t>
      </w:r>
      <w:r w:rsidR="00AC546F" w:rsidRPr="003E5ED2">
        <w:rPr>
          <w:rFonts w:ascii="Arial" w:eastAsiaTheme="minorHAnsi" w:hAnsi="Arial" w:cs="Arial"/>
          <w:sz w:val="22"/>
          <w:szCs w:val="22"/>
          <w:lang w:eastAsia="en-US"/>
        </w:rPr>
        <w:t xml:space="preserve"> </w:t>
      </w:r>
      <w:r w:rsidRPr="003E5ED2">
        <w:rPr>
          <w:rFonts w:ascii="Arial" w:eastAsiaTheme="minorHAnsi" w:hAnsi="Arial" w:cs="Arial"/>
          <w:sz w:val="22"/>
          <w:szCs w:val="22"/>
          <w:lang w:eastAsia="en-US"/>
        </w:rPr>
        <w:t xml:space="preserve">Start </w:t>
      </w:r>
      <w:proofErr w:type="spellStart"/>
      <w:r w:rsidRPr="003E5ED2">
        <w:rPr>
          <w:rFonts w:ascii="Arial" w:eastAsiaTheme="minorHAnsi" w:hAnsi="Arial" w:cs="Arial"/>
          <w:sz w:val="22"/>
          <w:szCs w:val="22"/>
          <w:lang w:eastAsia="en-US"/>
        </w:rPr>
        <w:t>Up</w:t>
      </w:r>
      <w:proofErr w:type="spellEnd"/>
      <w:r w:rsidRPr="003E5ED2">
        <w:rPr>
          <w:rFonts w:ascii="Arial" w:eastAsiaTheme="minorHAnsi" w:hAnsi="Arial" w:cs="Arial"/>
          <w:sz w:val="22"/>
          <w:szCs w:val="22"/>
          <w:lang w:eastAsia="en-US"/>
        </w:rPr>
        <w:t xml:space="preserve"> inkubator za kreativne tehnologije i IT industriju. Vlada Repu</w:t>
      </w:r>
      <w:r w:rsidR="00212FC8" w:rsidRPr="003E5ED2">
        <w:rPr>
          <w:rFonts w:ascii="Arial" w:eastAsiaTheme="minorHAnsi" w:hAnsi="Arial" w:cs="Arial"/>
          <w:sz w:val="22"/>
          <w:szCs w:val="22"/>
          <w:lang w:eastAsia="en-US"/>
        </w:rPr>
        <w:t>blike Hrvatske dala je 25. kolo</w:t>
      </w:r>
      <w:r w:rsidRPr="003E5ED2">
        <w:rPr>
          <w:rFonts w:ascii="Arial" w:eastAsiaTheme="minorHAnsi" w:hAnsi="Arial" w:cs="Arial"/>
          <w:sz w:val="22"/>
          <w:szCs w:val="22"/>
          <w:lang w:eastAsia="en-US"/>
        </w:rPr>
        <w:t>voza 2022. godine</w:t>
      </w:r>
      <w:r w:rsidR="00787950" w:rsidRPr="003E5ED2">
        <w:rPr>
          <w:rFonts w:ascii="Arial" w:eastAsiaTheme="minorHAnsi" w:hAnsi="Arial" w:cs="Arial"/>
          <w:sz w:val="22"/>
          <w:szCs w:val="22"/>
          <w:lang w:eastAsia="en-US"/>
        </w:rPr>
        <w:t xml:space="preserve"> </w:t>
      </w:r>
      <w:r w:rsidRPr="003E5ED2">
        <w:rPr>
          <w:rFonts w:ascii="Arial" w:eastAsiaTheme="minorHAnsi" w:hAnsi="Arial" w:cs="Arial"/>
          <w:sz w:val="22"/>
          <w:szCs w:val="22"/>
          <w:lang w:eastAsia="en-US"/>
        </w:rPr>
        <w:t>suglasnost za zaduženje te je Grad Rijeka s ERSTE&amp;STEIERMAKISCHE BANK d.d. dana 19.</w:t>
      </w:r>
      <w:r w:rsidR="008B01C8" w:rsidRPr="003E5ED2">
        <w:rPr>
          <w:rFonts w:ascii="Arial" w:eastAsiaTheme="minorHAnsi" w:hAnsi="Arial" w:cs="Arial"/>
          <w:sz w:val="22"/>
          <w:szCs w:val="22"/>
          <w:lang w:eastAsia="en-US"/>
        </w:rPr>
        <w:t xml:space="preserve"> </w:t>
      </w:r>
      <w:r w:rsidRPr="003E5ED2">
        <w:rPr>
          <w:rFonts w:ascii="Arial" w:eastAsiaTheme="minorHAnsi" w:hAnsi="Arial" w:cs="Arial"/>
          <w:sz w:val="22"/>
          <w:szCs w:val="22"/>
          <w:lang w:eastAsia="en-US"/>
        </w:rPr>
        <w:t>rujna 2022. godine zaključio Ugovor o kreditu u iznosu od 12.700.000,00 k</w:t>
      </w:r>
      <w:r w:rsidR="00E77643" w:rsidRPr="003E5ED2">
        <w:rPr>
          <w:rFonts w:ascii="Arial" w:eastAsiaTheme="minorHAnsi" w:hAnsi="Arial" w:cs="Arial"/>
          <w:sz w:val="22"/>
          <w:szCs w:val="22"/>
          <w:lang w:eastAsia="en-US"/>
        </w:rPr>
        <w:t>u</w:t>
      </w:r>
      <w:r w:rsidRPr="003E5ED2">
        <w:rPr>
          <w:rFonts w:ascii="Arial" w:eastAsiaTheme="minorHAnsi" w:hAnsi="Arial" w:cs="Arial"/>
          <w:sz w:val="22"/>
          <w:szCs w:val="22"/>
          <w:lang w:eastAsia="en-US"/>
        </w:rPr>
        <w:t>n</w:t>
      </w:r>
      <w:r w:rsidR="00E77643" w:rsidRPr="003E5ED2">
        <w:rPr>
          <w:rFonts w:ascii="Arial" w:eastAsiaTheme="minorHAnsi" w:hAnsi="Arial" w:cs="Arial"/>
          <w:sz w:val="22"/>
          <w:szCs w:val="22"/>
          <w:lang w:eastAsia="en-US"/>
        </w:rPr>
        <w:t>a</w:t>
      </w:r>
      <w:r w:rsidR="00973CDC" w:rsidRPr="003E5ED2">
        <w:rPr>
          <w:rFonts w:ascii="Arial" w:eastAsiaTheme="minorHAnsi" w:hAnsi="Arial" w:cs="Arial"/>
          <w:sz w:val="22"/>
          <w:szCs w:val="22"/>
          <w:lang w:eastAsia="en-US"/>
        </w:rPr>
        <w:t xml:space="preserve">. Aneksom broj 1 Ugovora o kreditu od </w:t>
      </w:r>
      <w:r w:rsidR="00841FBD" w:rsidRPr="003E5ED2">
        <w:rPr>
          <w:rFonts w:ascii="Arial" w:eastAsiaTheme="minorHAnsi" w:hAnsi="Arial" w:cs="Arial"/>
          <w:sz w:val="22"/>
          <w:szCs w:val="22"/>
          <w:lang w:eastAsia="en-US"/>
        </w:rPr>
        <w:t xml:space="preserve">10. svibnja </w:t>
      </w:r>
      <w:r w:rsidR="00973CDC" w:rsidRPr="003E5ED2">
        <w:rPr>
          <w:rFonts w:ascii="Arial" w:eastAsiaTheme="minorHAnsi" w:hAnsi="Arial" w:cs="Arial"/>
          <w:sz w:val="22"/>
          <w:szCs w:val="22"/>
          <w:lang w:eastAsia="en-US"/>
        </w:rPr>
        <w:t xml:space="preserve">2023. godine produljio se </w:t>
      </w:r>
      <w:r w:rsidR="001D19A9" w:rsidRPr="003E5ED2">
        <w:rPr>
          <w:rFonts w:ascii="Arial" w:eastAsiaTheme="minorHAnsi" w:hAnsi="Arial" w:cs="Arial"/>
          <w:sz w:val="22"/>
          <w:szCs w:val="22"/>
          <w:lang w:eastAsia="en-US"/>
        </w:rPr>
        <w:t xml:space="preserve">rok korištenja kredita do 31. prosinca </w:t>
      </w:r>
      <w:r w:rsidR="00973CDC" w:rsidRPr="003E5ED2">
        <w:rPr>
          <w:rFonts w:ascii="Arial" w:eastAsiaTheme="minorHAnsi" w:hAnsi="Arial" w:cs="Arial"/>
          <w:sz w:val="22"/>
          <w:szCs w:val="22"/>
          <w:lang w:eastAsia="en-US"/>
        </w:rPr>
        <w:t xml:space="preserve">2023. godine. </w:t>
      </w:r>
      <w:r w:rsidRPr="003E5ED2">
        <w:rPr>
          <w:rFonts w:ascii="Arial" w:eastAsiaTheme="minorHAnsi" w:hAnsi="Arial" w:cs="Arial"/>
          <w:sz w:val="22"/>
          <w:szCs w:val="22"/>
          <w:lang w:eastAsia="en-US"/>
        </w:rPr>
        <w:t xml:space="preserve">Sredstva kredita </w:t>
      </w:r>
      <w:r w:rsidR="00F25A3E" w:rsidRPr="003E5ED2">
        <w:rPr>
          <w:rFonts w:ascii="Arial" w:eastAsiaTheme="minorHAnsi" w:hAnsi="Arial" w:cs="Arial"/>
          <w:sz w:val="22"/>
          <w:szCs w:val="22"/>
          <w:lang w:eastAsia="en-US"/>
        </w:rPr>
        <w:t>otplaćivat će se mjesečno 10 godina</w:t>
      </w:r>
      <w:r w:rsidR="00212FC8" w:rsidRPr="003E5ED2">
        <w:rPr>
          <w:rFonts w:ascii="Arial" w:eastAsiaTheme="minorHAnsi" w:hAnsi="Arial" w:cs="Arial"/>
          <w:sz w:val="22"/>
          <w:szCs w:val="22"/>
          <w:lang w:eastAsia="en-US"/>
        </w:rPr>
        <w:t xml:space="preserve">, </w:t>
      </w:r>
      <w:r w:rsidR="00F25A3E" w:rsidRPr="003E5ED2">
        <w:rPr>
          <w:rFonts w:ascii="Arial" w:eastAsiaTheme="minorHAnsi" w:hAnsi="Arial" w:cs="Arial"/>
          <w:sz w:val="22"/>
          <w:szCs w:val="22"/>
          <w:lang w:eastAsia="en-US"/>
        </w:rPr>
        <w:t>od isteka roka korištenja</w:t>
      </w:r>
      <w:r w:rsidR="00212FC8" w:rsidRPr="003E5ED2">
        <w:rPr>
          <w:rFonts w:ascii="Arial" w:eastAsiaTheme="minorHAnsi" w:hAnsi="Arial" w:cs="Arial"/>
          <w:sz w:val="22"/>
          <w:szCs w:val="22"/>
          <w:lang w:eastAsia="en-US"/>
        </w:rPr>
        <w:t>.</w:t>
      </w:r>
      <w:r w:rsidR="00F25A3E" w:rsidRPr="003E5ED2">
        <w:rPr>
          <w:rFonts w:ascii="Arial" w:eastAsiaTheme="minorHAnsi" w:hAnsi="Arial" w:cs="Arial"/>
          <w:sz w:val="22"/>
          <w:szCs w:val="22"/>
          <w:lang w:eastAsia="en-US"/>
        </w:rPr>
        <w:t xml:space="preserve"> Kamatna stopa je fiksna i iznosi 0,65%</w:t>
      </w:r>
      <w:r w:rsidR="00B13117" w:rsidRPr="003E5ED2">
        <w:rPr>
          <w:rFonts w:ascii="Arial" w:eastAsiaTheme="minorHAnsi" w:hAnsi="Arial" w:cs="Arial"/>
          <w:sz w:val="22"/>
          <w:szCs w:val="22"/>
          <w:lang w:eastAsia="en-US"/>
        </w:rPr>
        <w:t>.</w:t>
      </w:r>
    </w:p>
    <w:p w:rsidR="00F25A3E" w:rsidRPr="003E5ED2" w:rsidRDefault="00F25A3E" w:rsidP="006538C0">
      <w:pPr>
        <w:spacing w:line="259" w:lineRule="auto"/>
        <w:ind w:left="357"/>
        <w:jc w:val="both"/>
        <w:rPr>
          <w:rFonts w:ascii="Arial" w:eastAsiaTheme="minorHAnsi" w:hAnsi="Arial" w:cs="Arial"/>
          <w:sz w:val="22"/>
          <w:szCs w:val="22"/>
          <w:lang w:eastAsia="en-US"/>
        </w:rPr>
      </w:pPr>
      <w:r w:rsidRPr="003E5ED2">
        <w:rPr>
          <w:rFonts w:ascii="Arial" w:eastAsiaTheme="minorHAnsi" w:hAnsi="Arial" w:cs="Arial"/>
          <w:sz w:val="22"/>
          <w:szCs w:val="22"/>
          <w:lang w:eastAsia="en-US"/>
        </w:rPr>
        <w:t xml:space="preserve">Povlačenje </w:t>
      </w:r>
      <w:r w:rsidR="004850D3" w:rsidRPr="003E5ED2">
        <w:rPr>
          <w:rFonts w:ascii="Arial" w:eastAsiaTheme="minorHAnsi" w:hAnsi="Arial" w:cs="Arial"/>
          <w:sz w:val="22"/>
          <w:szCs w:val="22"/>
          <w:lang w:eastAsia="en-US"/>
        </w:rPr>
        <w:t xml:space="preserve">kredita </w:t>
      </w:r>
      <w:r w:rsidRPr="003E5ED2">
        <w:rPr>
          <w:rFonts w:ascii="Arial" w:eastAsiaTheme="minorHAnsi" w:hAnsi="Arial" w:cs="Arial"/>
          <w:sz w:val="22"/>
          <w:szCs w:val="22"/>
          <w:lang w:eastAsia="en-US"/>
        </w:rPr>
        <w:t>započelo je u stude</w:t>
      </w:r>
      <w:r w:rsidR="00AD724E" w:rsidRPr="003E5ED2">
        <w:rPr>
          <w:rFonts w:ascii="Arial" w:eastAsiaTheme="minorHAnsi" w:hAnsi="Arial" w:cs="Arial"/>
          <w:sz w:val="22"/>
          <w:szCs w:val="22"/>
          <w:lang w:eastAsia="en-US"/>
        </w:rPr>
        <w:t xml:space="preserve">nom 2022. godine i do 31. prosinca </w:t>
      </w:r>
      <w:r w:rsidR="00973CDC" w:rsidRPr="003E5ED2">
        <w:rPr>
          <w:rFonts w:ascii="Arial" w:eastAsiaTheme="minorHAnsi" w:hAnsi="Arial" w:cs="Arial"/>
          <w:sz w:val="22"/>
          <w:szCs w:val="22"/>
          <w:lang w:eastAsia="en-US"/>
        </w:rPr>
        <w:t>2023</w:t>
      </w:r>
      <w:r w:rsidR="008F060B" w:rsidRPr="003E5ED2">
        <w:rPr>
          <w:rFonts w:ascii="Arial" w:eastAsiaTheme="minorHAnsi" w:hAnsi="Arial" w:cs="Arial"/>
          <w:sz w:val="22"/>
          <w:szCs w:val="22"/>
          <w:lang w:eastAsia="en-US"/>
        </w:rPr>
        <w:t>. godine iskorišten</w:t>
      </w:r>
      <w:r w:rsidRPr="003E5ED2">
        <w:rPr>
          <w:rFonts w:ascii="Arial" w:eastAsiaTheme="minorHAnsi" w:hAnsi="Arial" w:cs="Arial"/>
          <w:sz w:val="22"/>
          <w:szCs w:val="22"/>
          <w:lang w:eastAsia="en-US"/>
        </w:rPr>
        <w:t xml:space="preserve"> je</w:t>
      </w:r>
      <w:r w:rsidR="008F060B" w:rsidRPr="003E5ED2">
        <w:rPr>
          <w:rFonts w:ascii="Arial" w:eastAsiaTheme="minorHAnsi" w:hAnsi="Arial" w:cs="Arial"/>
          <w:sz w:val="22"/>
          <w:szCs w:val="22"/>
          <w:lang w:eastAsia="en-US"/>
        </w:rPr>
        <w:t xml:space="preserve"> u cijelosti u iznosu</w:t>
      </w:r>
      <w:r w:rsidRPr="003E5ED2">
        <w:rPr>
          <w:rFonts w:ascii="Arial" w:eastAsiaTheme="minorHAnsi" w:hAnsi="Arial" w:cs="Arial"/>
          <w:sz w:val="22"/>
          <w:szCs w:val="22"/>
          <w:lang w:eastAsia="en-US"/>
        </w:rPr>
        <w:t xml:space="preserve"> </w:t>
      </w:r>
      <w:r w:rsidR="00973CDC" w:rsidRPr="003E5ED2">
        <w:rPr>
          <w:rFonts w:ascii="Arial" w:eastAsiaTheme="minorHAnsi" w:hAnsi="Arial" w:cs="Arial"/>
          <w:sz w:val="22"/>
          <w:szCs w:val="22"/>
          <w:lang w:eastAsia="en-US"/>
        </w:rPr>
        <w:t>1.685.579,67 eura</w:t>
      </w:r>
      <w:r w:rsidRPr="003E5ED2">
        <w:rPr>
          <w:rFonts w:ascii="Arial" w:eastAsiaTheme="minorHAnsi" w:hAnsi="Arial" w:cs="Arial"/>
          <w:sz w:val="22"/>
          <w:szCs w:val="22"/>
          <w:lang w:eastAsia="en-US"/>
        </w:rPr>
        <w:t xml:space="preserve">. </w:t>
      </w:r>
    </w:p>
    <w:p w:rsidR="008F060B" w:rsidRPr="003E5ED2" w:rsidRDefault="008F060B" w:rsidP="006538C0">
      <w:pPr>
        <w:spacing w:line="259" w:lineRule="auto"/>
        <w:ind w:left="357"/>
        <w:jc w:val="both"/>
        <w:rPr>
          <w:rFonts w:ascii="Arial" w:eastAsiaTheme="minorHAnsi" w:hAnsi="Arial" w:cs="Arial"/>
          <w:b/>
          <w:sz w:val="22"/>
          <w:szCs w:val="22"/>
          <w:lang w:eastAsia="en-US"/>
        </w:rPr>
      </w:pPr>
      <w:r w:rsidRPr="003E5ED2">
        <w:rPr>
          <w:rFonts w:ascii="Arial" w:eastAsiaTheme="minorHAnsi" w:hAnsi="Arial" w:cs="Arial"/>
          <w:b/>
          <w:sz w:val="22"/>
          <w:szCs w:val="22"/>
          <w:lang w:eastAsia="en-US"/>
        </w:rPr>
        <w:t xml:space="preserve">Otplata kredita je započela u srpnju 2024. godine te stanje kredita na dan </w:t>
      </w:r>
      <w:r w:rsidR="00B0176B" w:rsidRPr="003E5ED2">
        <w:rPr>
          <w:rFonts w:ascii="Arial" w:eastAsiaTheme="minorHAnsi" w:hAnsi="Arial" w:cs="Arial"/>
          <w:b/>
          <w:sz w:val="22"/>
          <w:szCs w:val="22"/>
          <w:lang w:eastAsia="en-US"/>
        </w:rPr>
        <w:t>31. prosinca 2024. godine iznosi 1.601.300,67 eura.</w:t>
      </w:r>
    </w:p>
    <w:p w:rsidR="00C375C1" w:rsidRPr="003E5ED2" w:rsidRDefault="00C375C1" w:rsidP="000E69DA">
      <w:pPr>
        <w:keepNext/>
        <w:jc w:val="both"/>
        <w:outlineLvl w:val="3"/>
        <w:rPr>
          <w:rFonts w:ascii="Arial" w:hAnsi="Arial" w:cs="Arial"/>
          <w:b/>
          <w:bCs/>
          <w:sz w:val="22"/>
          <w:szCs w:val="22"/>
          <w:highlight w:val="yellow"/>
        </w:rPr>
      </w:pPr>
    </w:p>
    <w:p w:rsidR="00AA1D56" w:rsidRPr="003E5ED2" w:rsidRDefault="00AA1D56" w:rsidP="000E69DA">
      <w:pPr>
        <w:keepNext/>
        <w:jc w:val="both"/>
        <w:outlineLvl w:val="3"/>
        <w:rPr>
          <w:rFonts w:ascii="Arial" w:hAnsi="Arial" w:cs="Arial"/>
          <w:b/>
          <w:bCs/>
          <w:sz w:val="22"/>
          <w:szCs w:val="22"/>
          <w:highlight w:val="yellow"/>
        </w:rPr>
      </w:pPr>
    </w:p>
    <w:p w:rsidR="000E69DA" w:rsidRPr="003E5ED2" w:rsidRDefault="000E69DA" w:rsidP="000E69DA">
      <w:pPr>
        <w:keepNext/>
        <w:jc w:val="both"/>
        <w:outlineLvl w:val="3"/>
        <w:rPr>
          <w:rFonts w:ascii="Arial" w:hAnsi="Arial" w:cs="Arial"/>
          <w:b/>
          <w:bCs/>
          <w:sz w:val="22"/>
          <w:szCs w:val="22"/>
        </w:rPr>
      </w:pPr>
      <w:r w:rsidRPr="003E5ED2">
        <w:rPr>
          <w:rFonts w:ascii="Arial" w:hAnsi="Arial" w:cs="Arial"/>
          <w:b/>
          <w:bCs/>
          <w:sz w:val="22"/>
          <w:szCs w:val="22"/>
        </w:rPr>
        <w:t>Primljeni robni zajmovi</w:t>
      </w:r>
      <w:r w:rsidR="007E045A" w:rsidRPr="003E5ED2">
        <w:rPr>
          <w:rFonts w:ascii="Arial" w:hAnsi="Arial" w:cs="Arial"/>
          <w:b/>
          <w:bCs/>
          <w:sz w:val="22"/>
          <w:szCs w:val="22"/>
        </w:rPr>
        <w:t>:</w:t>
      </w:r>
    </w:p>
    <w:p w:rsidR="000E69DA" w:rsidRPr="003E5ED2" w:rsidRDefault="000E69DA" w:rsidP="000E69DA">
      <w:pPr>
        <w:rPr>
          <w:rFonts w:ascii="Arial" w:hAnsi="Arial" w:cs="Arial"/>
          <w:sz w:val="22"/>
          <w:szCs w:val="22"/>
        </w:rPr>
      </w:pPr>
    </w:p>
    <w:p w:rsidR="000E69DA" w:rsidRPr="003E5ED2" w:rsidRDefault="000E69DA" w:rsidP="000E69DA">
      <w:pPr>
        <w:jc w:val="both"/>
        <w:rPr>
          <w:rFonts w:ascii="Arial" w:hAnsi="Arial" w:cs="Arial"/>
          <w:sz w:val="22"/>
          <w:szCs w:val="22"/>
        </w:rPr>
      </w:pPr>
      <w:r w:rsidRPr="003E5ED2">
        <w:rPr>
          <w:rFonts w:ascii="Arial" w:hAnsi="Arial" w:cs="Arial"/>
          <w:sz w:val="22"/>
          <w:szCs w:val="22"/>
        </w:rPr>
        <w:t>Robni zajmovi ne predstavljaju direktno zaduženje Grada na financijskom tržištu. Kod navedena tri robna zajma riječ je o preuzimanju stanova, prometnica i sportskih objekata, koje su izgradili Agencija za društveno poticanu stanogradnju Grada Rijeke, Rijeka promet d.d.</w:t>
      </w:r>
      <w:r w:rsidR="00F5628B" w:rsidRPr="003E5ED2">
        <w:rPr>
          <w:rFonts w:ascii="Arial" w:hAnsi="Arial" w:cs="Arial"/>
          <w:sz w:val="22"/>
          <w:szCs w:val="22"/>
        </w:rPr>
        <w:t xml:space="preserve"> (danas Rijeka plus d.o.o.)</w:t>
      </w:r>
      <w:r w:rsidRPr="003E5ED2">
        <w:rPr>
          <w:rFonts w:ascii="Arial" w:hAnsi="Arial" w:cs="Arial"/>
          <w:sz w:val="22"/>
          <w:szCs w:val="22"/>
        </w:rPr>
        <w:t xml:space="preserve"> i Rijeka sport d.o.o.</w:t>
      </w:r>
      <w:r w:rsidR="00176F9A" w:rsidRPr="003E5ED2">
        <w:rPr>
          <w:rFonts w:ascii="Arial" w:hAnsi="Arial" w:cs="Arial"/>
          <w:sz w:val="22"/>
          <w:szCs w:val="22"/>
        </w:rPr>
        <w:t>.</w:t>
      </w:r>
      <w:r w:rsidRPr="003E5ED2">
        <w:rPr>
          <w:rFonts w:ascii="Arial" w:hAnsi="Arial" w:cs="Arial"/>
          <w:sz w:val="22"/>
          <w:szCs w:val="22"/>
        </w:rPr>
        <w:t xml:space="preserve"> Grad Rijeka </w:t>
      </w:r>
      <w:r w:rsidR="00E357E6" w:rsidRPr="003E5ED2">
        <w:rPr>
          <w:rFonts w:ascii="Arial" w:hAnsi="Arial" w:cs="Arial"/>
          <w:sz w:val="22"/>
          <w:szCs w:val="22"/>
        </w:rPr>
        <w:t xml:space="preserve">je </w:t>
      </w:r>
      <w:r w:rsidR="00AC546F" w:rsidRPr="003E5ED2">
        <w:rPr>
          <w:rFonts w:ascii="Arial" w:hAnsi="Arial" w:cs="Arial"/>
          <w:sz w:val="22"/>
          <w:szCs w:val="22"/>
        </w:rPr>
        <w:t xml:space="preserve">evidentirao navedene nekretnine </w:t>
      </w:r>
      <w:r w:rsidRPr="003E5ED2">
        <w:rPr>
          <w:rFonts w:ascii="Arial" w:hAnsi="Arial" w:cs="Arial"/>
          <w:sz w:val="22"/>
          <w:szCs w:val="22"/>
        </w:rPr>
        <w:t xml:space="preserve">u svoje poslovne knjige te preuzeo obvezu njihove otplate. </w:t>
      </w:r>
    </w:p>
    <w:p w:rsidR="00D41060" w:rsidRPr="003E5ED2" w:rsidRDefault="00D41060" w:rsidP="000E69DA">
      <w:pPr>
        <w:jc w:val="both"/>
        <w:rPr>
          <w:rFonts w:ascii="Arial" w:hAnsi="Arial" w:cs="Arial"/>
          <w:sz w:val="22"/>
          <w:szCs w:val="22"/>
          <w:highlight w:val="yellow"/>
        </w:rPr>
      </w:pPr>
    </w:p>
    <w:p w:rsidR="00C375C1" w:rsidRPr="003E5ED2" w:rsidRDefault="00C375C1" w:rsidP="000E69DA">
      <w:pPr>
        <w:jc w:val="both"/>
        <w:rPr>
          <w:rFonts w:ascii="Arial" w:hAnsi="Arial" w:cs="Arial"/>
          <w:sz w:val="22"/>
          <w:szCs w:val="22"/>
          <w:highlight w:val="yellow"/>
        </w:rPr>
      </w:pPr>
    </w:p>
    <w:p w:rsidR="000E69DA" w:rsidRPr="003E5ED2" w:rsidRDefault="000E69DA" w:rsidP="006538C0">
      <w:pPr>
        <w:pStyle w:val="ListParagraph"/>
        <w:numPr>
          <w:ilvl w:val="0"/>
          <w:numId w:val="21"/>
        </w:numPr>
        <w:tabs>
          <w:tab w:val="center" w:pos="4320"/>
          <w:tab w:val="right" w:pos="8640"/>
        </w:tabs>
        <w:spacing w:after="160" w:line="259" w:lineRule="auto"/>
        <w:ind w:left="340"/>
        <w:jc w:val="both"/>
        <w:rPr>
          <w:rFonts w:ascii="Arial" w:hAnsi="Arial" w:cs="Arial"/>
          <w:b/>
          <w:sz w:val="22"/>
          <w:szCs w:val="22"/>
        </w:rPr>
      </w:pPr>
      <w:r w:rsidRPr="003E5ED2">
        <w:rPr>
          <w:rFonts w:ascii="Arial" w:hAnsi="Arial" w:cs="Arial"/>
          <w:b/>
          <w:sz w:val="22"/>
          <w:szCs w:val="22"/>
        </w:rPr>
        <w:t xml:space="preserve">Robni zajam </w:t>
      </w:r>
      <w:r w:rsidR="00544DF4" w:rsidRPr="003E5ED2">
        <w:rPr>
          <w:rFonts w:ascii="Arial" w:hAnsi="Arial" w:cs="Arial"/>
          <w:b/>
          <w:sz w:val="22"/>
          <w:szCs w:val="22"/>
        </w:rPr>
        <w:t xml:space="preserve">od </w:t>
      </w:r>
      <w:r w:rsidRPr="003E5ED2">
        <w:rPr>
          <w:rFonts w:ascii="Arial" w:hAnsi="Arial" w:cs="Arial"/>
          <w:b/>
          <w:sz w:val="22"/>
          <w:szCs w:val="22"/>
        </w:rPr>
        <w:t>Agencije za društveno poticanu stanogradnju Grada Rijeke</w:t>
      </w:r>
    </w:p>
    <w:p w:rsidR="000E69DA" w:rsidRPr="003E5ED2" w:rsidRDefault="00544DF4" w:rsidP="00F63FBE">
      <w:pPr>
        <w:ind w:left="340"/>
        <w:jc w:val="both"/>
        <w:rPr>
          <w:rFonts w:ascii="Arial" w:hAnsi="Arial" w:cs="Arial"/>
          <w:sz w:val="22"/>
          <w:szCs w:val="22"/>
        </w:rPr>
      </w:pPr>
      <w:r w:rsidRPr="003E5ED2">
        <w:rPr>
          <w:rFonts w:ascii="Arial" w:hAnsi="Arial" w:cs="Arial"/>
          <w:sz w:val="22"/>
          <w:szCs w:val="22"/>
        </w:rPr>
        <w:t xml:space="preserve">U skladu s </w:t>
      </w:r>
      <w:r w:rsidR="000E69DA" w:rsidRPr="003E5ED2">
        <w:rPr>
          <w:rFonts w:ascii="Arial" w:hAnsi="Arial" w:cs="Arial"/>
          <w:sz w:val="22"/>
          <w:szCs w:val="22"/>
        </w:rPr>
        <w:t>Ugovor</w:t>
      </w:r>
      <w:r w:rsidRPr="003E5ED2">
        <w:rPr>
          <w:rFonts w:ascii="Arial" w:hAnsi="Arial" w:cs="Arial"/>
          <w:sz w:val="22"/>
          <w:szCs w:val="22"/>
        </w:rPr>
        <w:t>om</w:t>
      </w:r>
      <w:r w:rsidR="00F16E29" w:rsidRPr="003E5ED2">
        <w:rPr>
          <w:rFonts w:ascii="Arial" w:hAnsi="Arial" w:cs="Arial"/>
          <w:sz w:val="22"/>
          <w:szCs w:val="22"/>
        </w:rPr>
        <w:t xml:space="preserve"> o kupoprodaji od 10. veljače </w:t>
      </w:r>
      <w:r w:rsidR="000E69DA" w:rsidRPr="003E5ED2">
        <w:rPr>
          <w:rFonts w:ascii="Arial" w:hAnsi="Arial" w:cs="Arial"/>
          <w:sz w:val="22"/>
          <w:szCs w:val="22"/>
        </w:rPr>
        <w:t>2009. godine, Grad Rijeka se zadužio putem robnog zajma kod Agencije za društveno poticanu stanogradnju Grada Rijeke u iznosu od 69.451.427</w:t>
      </w:r>
      <w:r w:rsidR="00D416A0" w:rsidRPr="003E5ED2">
        <w:rPr>
          <w:rFonts w:ascii="Arial" w:hAnsi="Arial" w:cs="Arial"/>
          <w:sz w:val="22"/>
          <w:szCs w:val="22"/>
        </w:rPr>
        <w:t>,00</w:t>
      </w:r>
      <w:r w:rsidR="00D17651" w:rsidRPr="003E5ED2">
        <w:rPr>
          <w:rFonts w:ascii="Arial" w:hAnsi="Arial" w:cs="Arial"/>
          <w:sz w:val="22"/>
          <w:szCs w:val="22"/>
        </w:rPr>
        <w:t xml:space="preserve"> kn </w:t>
      </w:r>
      <w:r w:rsidR="000E69DA" w:rsidRPr="003E5ED2">
        <w:rPr>
          <w:rFonts w:ascii="Arial" w:hAnsi="Arial" w:cs="Arial"/>
          <w:sz w:val="22"/>
          <w:szCs w:val="22"/>
        </w:rPr>
        <w:t xml:space="preserve">za kupnju dviju stambenih zgrada na </w:t>
      </w:r>
      <w:proofErr w:type="spellStart"/>
      <w:r w:rsidR="000E69DA" w:rsidRPr="003E5ED2">
        <w:rPr>
          <w:rFonts w:ascii="Arial" w:hAnsi="Arial" w:cs="Arial"/>
          <w:sz w:val="22"/>
          <w:szCs w:val="22"/>
        </w:rPr>
        <w:t>Rujevici</w:t>
      </w:r>
      <w:proofErr w:type="spellEnd"/>
      <w:r w:rsidR="000E69DA" w:rsidRPr="003E5ED2">
        <w:rPr>
          <w:rFonts w:ascii="Arial" w:hAnsi="Arial" w:cs="Arial"/>
          <w:sz w:val="22"/>
          <w:szCs w:val="22"/>
        </w:rPr>
        <w:t xml:space="preserve"> koje je po programu društveno poticane stanogradnje izgradila Agencija za društveno poticanu stanogradnju Grada Rijeke.</w:t>
      </w:r>
      <w:r w:rsidR="00F63FBE" w:rsidRPr="003E5ED2">
        <w:rPr>
          <w:rFonts w:ascii="Arial" w:hAnsi="Arial" w:cs="Arial"/>
          <w:sz w:val="22"/>
          <w:szCs w:val="22"/>
        </w:rPr>
        <w:t xml:space="preserve"> </w:t>
      </w:r>
      <w:r w:rsidR="000E69DA" w:rsidRPr="003E5ED2">
        <w:rPr>
          <w:rFonts w:ascii="Arial" w:hAnsi="Arial" w:cs="Arial"/>
          <w:sz w:val="22"/>
          <w:szCs w:val="22"/>
        </w:rPr>
        <w:t>Otplata zajma u tromjesečnim anuitetima traje do 2028. godine</w:t>
      </w:r>
      <w:r w:rsidR="00F63FBE" w:rsidRPr="003E5ED2">
        <w:rPr>
          <w:rFonts w:ascii="Arial" w:hAnsi="Arial" w:cs="Arial"/>
          <w:sz w:val="22"/>
          <w:szCs w:val="22"/>
        </w:rPr>
        <w:t xml:space="preserve">. </w:t>
      </w:r>
    </w:p>
    <w:p w:rsidR="000E69DA" w:rsidRPr="003E5ED2" w:rsidRDefault="00B0176B" w:rsidP="006538C0">
      <w:pPr>
        <w:keepNext/>
        <w:ind w:left="340"/>
        <w:jc w:val="both"/>
        <w:outlineLvl w:val="3"/>
        <w:rPr>
          <w:rFonts w:ascii="Arial" w:hAnsi="Arial" w:cs="Arial"/>
          <w:b/>
          <w:bCs/>
          <w:sz w:val="22"/>
          <w:szCs w:val="22"/>
        </w:rPr>
      </w:pPr>
      <w:r w:rsidRPr="003E5ED2">
        <w:rPr>
          <w:rFonts w:ascii="Arial" w:hAnsi="Arial" w:cs="Arial"/>
          <w:b/>
          <w:sz w:val="22"/>
          <w:szCs w:val="22"/>
        </w:rPr>
        <w:t>Tijekom 2024</w:t>
      </w:r>
      <w:r w:rsidR="000E69DA" w:rsidRPr="003E5ED2">
        <w:rPr>
          <w:rFonts w:ascii="Arial" w:hAnsi="Arial" w:cs="Arial"/>
          <w:b/>
          <w:sz w:val="22"/>
          <w:szCs w:val="22"/>
        </w:rPr>
        <w:t>.</w:t>
      </w:r>
      <w:r w:rsidR="00A33504" w:rsidRPr="003E5ED2">
        <w:rPr>
          <w:rFonts w:ascii="Arial" w:hAnsi="Arial" w:cs="Arial"/>
          <w:b/>
          <w:sz w:val="22"/>
          <w:szCs w:val="22"/>
        </w:rPr>
        <w:t xml:space="preserve"> </w:t>
      </w:r>
      <w:r w:rsidR="000E69DA" w:rsidRPr="003E5ED2">
        <w:rPr>
          <w:rFonts w:ascii="Arial" w:hAnsi="Arial" w:cs="Arial"/>
          <w:b/>
          <w:sz w:val="22"/>
          <w:szCs w:val="22"/>
        </w:rPr>
        <w:t xml:space="preserve">godine otplaćeno je </w:t>
      </w:r>
      <w:r w:rsidRPr="003E5ED2">
        <w:rPr>
          <w:rFonts w:ascii="Arial" w:hAnsi="Arial" w:cs="Arial"/>
          <w:b/>
          <w:sz w:val="22"/>
          <w:szCs w:val="22"/>
        </w:rPr>
        <w:t>233.834,52</w:t>
      </w:r>
      <w:r w:rsidR="002B5A5A" w:rsidRPr="003E5ED2">
        <w:rPr>
          <w:rFonts w:ascii="Arial" w:hAnsi="Arial" w:cs="Arial"/>
          <w:b/>
          <w:sz w:val="22"/>
          <w:szCs w:val="22"/>
        </w:rPr>
        <w:t xml:space="preserve"> eura</w:t>
      </w:r>
      <w:r w:rsidR="000E69DA" w:rsidRPr="003E5ED2">
        <w:rPr>
          <w:rFonts w:ascii="Arial" w:hAnsi="Arial" w:cs="Arial"/>
          <w:b/>
          <w:sz w:val="22"/>
          <w:szCs w:val="22"/>
        </w:rPr>
        <w:t xml:space="preserve"> </w:t>
      </w:r>
      <w:r w:rsidR="00577C6B" w:rsidRPr="003E5ED2">
        <w:rPr>
          <w:rFonts w:ascii="Arial" w:hAnsi="Arial" w:cs="Arial"/>
          <w:b/>
          <w:sz w:val="22"/>
          <w:szCs w:val="22"/>
        </w:rPr>
        <w:t xml:space="preserve">te </w:t>
      </w:r>
      <w:r w:rsidR="0032383C" w:rsidRPr="003E5ED2">
        <w:rPr>
          <w:rFonts w:ascii="Arial" w:hAnsi="Arial" w:cs="Arial"/>
          <w:b/>
          <w:sz w:val="22"/>
          <w:szCs w:val="22"/>
        </w:rPr>
        <w:t xml:space="preserve">stanje obveze ovog zajma </w:t>
      </w:r>
      <w:r w:rsidR="000E69DA" w:rsidRPr="003E5ED2">
        <w:rPr>
          <w:rFonts w:ascii="Arial" w:hAnsi="Arial" w:cs="Arial"/>
          <w:b/>
          <w:sz w:val="22"/>
          <w:szCs w:val="22"/>
        </w:rPr>
        <w:t xml:space="preserve">na dan </w:t>
      </w:r>
      <w:r w:rsidR="00AD724E" w:rsidRPr="003E5ED2">
        <w:rPr>
          <w:rFonts w:ascii="Arial" w:hAnsi="Arial" w:cs="Arial"/>
          <w:b/>
          <w:sz w:val="22"/>
          <w:szCs w:val="22"/>
        </w:rPr>
        <w:t xml:space="preserve">31. prosinca </w:t>
      </w:r>
      <w:r w:rsidRPr="003E5ED2">
        <w:rPr>
          <w:rFonts w:ascii="Arial" w:hAnsi="Arial" w:cs="Arial"/>
          <w:b/>
          <w:sz w:val="22"/>
          <w:szCs w:val="22"/>
        </w:rPr>
        <w:t>2024</w:t>
      </w:r>
      <w:r w:rsidR="000E69DA" w:rsidRPr="003E5ED2">
        <w:rPr>
          <w:rFonts w:ascii="Arial" w:hAnsi="Arial" w:cs="Arial"/>
          <w:b/>
          <w:sz w:val="22"/>
          <w:szCs w:val="22"/>
        </w:rPr>
        <w:t xml:space="preserve">. godine iznosi </w:t>
      </w:r>
      <w:r w:rsidRPr="003E5ED2">
        <w:rPr>
          <w:rFonts w:ascii="Arial" w:hAnsi="Arial" w:cs="Arial"/>
          <w:b/>
          <w:sz w:val="22"/>
          <w:szCs w:val="22"/>
        </w:rPr>
        <w:t>988.043,65</w:t>
      </w:r>
      <w:r w:rsidR="002B5A5A" w:rsidRPr="003E5ED2">
        <w:rPr>
          <w:rFonts w:ascii="Arial" w:hAnsi="Arial" w:cs="Arial"/>
          <w:b/>
          <w:sz w:val="22"/>
          <w:szCs w:val="22"/>
        </w:rPr>
        <w:t xml:space="preserve"> eura</w:t>
      </w:r>
      <w:r w:rsidR="000E69DA" w:rsidRPr="003E5ED2">
        <w:rPr>
          <w:rFonts w:ascii="Arial" w:hAnsi="Arial" w:cs="Arial"/>
          <w:b/>
          <w:sz w:val="22"/>
          <w:szCs w:val="22"/>
        </w:rPr>
        <w:t>.</w:t>
      </w:r>
    </w:p>
    <w:p w:rsidR="00C375C1" w:rsidRPr="003E5ED2" w:rsidRDefault="00C375C1" w:rsidP="006538C0">
      <w:pPr>
        <w:tabs>
          <w:tab w:val="center" w:pos="4320"/>
          <w:tab w:val="right" w:pos="8640"/>
        </w:tabs>
        <w:ind w:left="340"/>
        <w:jc w:val="both"/>
        <w:rPr>
          <w:rFonts w:ascii="Arial" w:hAnsi="Arial" w:cs="Arial"/>
          <w:sz w:val="22"/>
          <w:szCs w:val="22"/>
          <w:highlight w:val="yellow"/>
        </w:rPr>
      </w:pPr>
    </w:p>
    <w:p w:rsidR="00AA1D56" w:rsidRPr="003E5ED2" w:rsidRDefault="00AA1D56" w:rsidP="006538C0">
      <w:pPr>
        <w:tabs>
          <w:tab w:val="center" w:pos="4320"/>
          <w:tab w:val="right" w:pos="8640"/>
        </w:tabs>
        <w:ind w:left="340"/>
        <w:jc w:val="both"/>
        <w:rPr>
          <w:rFonts w:ascii="Arial" w:hAnsi="Arial" w:cs="Arial"/>
          <w:sz w:val="22"/>
          <w:szCs w:val="22"/>
          <w:highlight w:val="yellow"/>
        </w:rPr>
      </w:pPr>
    </w:p>
    <w:p w:rsidR="000E69DA" w:rsidRPr="003E5ED2" w:rsidRDefault="000E69DA" w:rsidP="006538C0">
      <w:pPr>
        <w:numPr>
          <w:ilvl w:val="0"/>
          <w:numId w:val="7"/>
        </w:numPr>
        <w:tabs>
          <w:tab w:val="center" w:pos="4320"/>
          <w:tab w:val="right" w:pos="8640"/>
        </w:tabs>
        <w:spacing w:after="160" w:line="259" w:lineRule="auto"/>
        <w:ind w:left="340"/>
        <w:jc w:val="both"/>
        <w:rPr>
          <w:rFonts w:ascii="Arial" w:hAnsi="Arial" w:cs="Arial"/>
          <w:sz w:val="22"/>
          <w:szCs w:val="22"/>
        </w:rPr>
      </w:pPr>
      <w:r w:rsidRPr="003E5ED2">
        <w:rPr>
          <w:rFonts w:ascii="Arial" w:hAnsi="Arial" w:cs="Arial"/>
          <w:b/>
          <w:sz w:val="22"/>
          <w:szCs w:val="22"/>
        </w:rPr>
        <w:t>Robni zajam od trgovačkog društva Rijeka sport d.o.o.</w:t>
      </w:r>
    </w:p>
    <w:p w:rsidR="000E69DA" w:rsidRPr="003E5ED2" w:rsidRDefault="000E69DA" w:rsidP="00D97687">
      <w:pPr>
        <w:autoSpaceDE w:val="0"/>
        <w:autoSpaceDN w:val="0"/>
        <w:adjustRightInd w:val="0"/>
        <w:ind w:left="340"/>
        <w:jc w:val="both"/>
        <w:rPr>
          <w:rFonts w:ascii="Arial" w:eastAsia="SimSun" w:hAnsi="Arial" w:cs="Arial"/>
          <w:sz w:val="22"/>
          <w:szCs w:val="22"/>
          <w:lang w:eastAsia="zh-CN"/>
        </w:rPr>
      </w:pPr>
      <w:r w:rsidRPr="003E5ED2">
        <w:rPr>
          <w:rFonts w:ascii="Arial" w:eastAsia="SimSun" w:hAnsi="Arial" w:cs="Arial"/>
          <w:sz w:val="22"/>
          <w:szCs w:val="22"/>
          <w:lang w:eastAsia="zh-CN"/>
        </w:rPr>
        <w:t>Temeljem Ugovora o reguliranju međusobnih odnosa vezanih za financiranje ulaganja u objekte u vlasništvu Grada Rijeke do konca 2009. godine i Ugovora o reguliranju međusobnih odnosa u vezi s financiranjem izgradnje Dvoranskog pliv</w:t>
      </w:r>
      <w:r w:rsidR="00F16E29" w:rsidRPr="003E5ED2">
        <w:rPr>
          <w:rFonts w:ascii="Arial" w:eastAsia="SimSun" w:hAnsi="Arial" w:cs="Arial"/>
          <w:sz w:val="22"/>
          <w:szCs w:val="22"/>
          <w:lang w:eastAsia="zh-CN"/>
        </w:rPr>
        <w:t xml:space="preserve">ališta Kantrida sklopljenim 14. travnja </w:t>
      </w:r>
      <w:r w:rsidRPr="003E5ED2">
        <w:rPr>
          <w:rFonts w:ascii="Arial" w:eastAsia="SimSun" w:hAnsi="Arial" w:cs="Arial"/>
          <w:sz w:val="22"/>
          <w:szCs w:val="22"/>
          <w:lang w:eastAsia="zh-CN"/>
        </w:rPr>
        <w:t xml:space="preserve">2010. godine, Grad Rijeka je ugovorio povrat sredstava TD Rijeka sport d.o.o. za izvršeno financiranje ulaganja na sportskim objektima te evidentiranje imovine i njezine vrijednosti u knjigama imovine Grada. Za realizaciju navedene ugovorne obveze Grad Rijeka se zadužio putem robnog zajma kod </w:t>
      </w:r>
      <w:r w:rsidR="00CB6868" w:rsidRPr="003E5ED2">
        <w:rPr>
          <w:rFonts w:ascii="Arial" w:eastAsia="SimSun" w:hAnsi="Arial" w:cs="Arial"/>
          <w:sz w:val="22"/>
          <w:szCs w:val="22"/>
          <w:lang w:eastAsia="zh-CN"/>
        </w:rPr>
        <w:t xml:space="preserve">trgovačkog društva </w:t>
      </w:r>
      <w:r w:rsidRPr="003E5ED2">
        <w:rPr>
          <w:rFonts w:ascii="Arial" w:eastAsia="SimSun" w:hAnsi="Arial" w:cs="Arial"/>
          <w:sz w:val="22"/>
          <w:szCs w:val="22"/>
          <w:lang w:eastAsia="zh-CN"/>
        </w:rPr>
        <w:t>Rijeka sport d.o.o. u iznosu od 88.887.131</w:t>
      </w:r>
      <w:r w:rsidR="00D416A0" w:rsidRPr="003E5ED2">
        <w:rPr>
          <w:rFonts w:ascii="Arial" w:eastAsia="SimSun" w:hAnsi="Arial" w:cs="Arial"/>
          <w:sz w:val="22"/>
          <w:szCs w:val="22"/>
          <w:lang w:eastAsia="zh-CN"/>
        </w:rPr>
        <w:t>,00</w:t>
      </w:r>
      <w:r w:rsidRPr="003E5ED2">
        <w:rPr>
          <w:rFonts w:ascii="Arial" w:eastAsia="SimSun" w:hAnsi="Arial" w:cs="Arial"/>
          <w:sz w:val="22"/>
          <w:szCs w:val="22"/>
          <w:lang w:eastAsia="zh-CN"/>
        </w:rPr>
        <w:t xml:space="preserve"> k</w:t>
      </w:r>
      <w:r w:rsidR="006144A1" w:rsidRPr="003E5ED2">
        <w:rPr>
          <w:rFonts w:ascii="Arial" w:eastAsia="SimSun" w:hAnsi="Arial" w:cs="Arial"/>
          <w:sz w:val="22"/>
          <w:szCs w:val="22"/>
          <w:lang w:eastAsia="zh-CN"/>
        </w:rPr>
        <w:t>u</w:t>
      </w:r>
      <w:r w:rsidRPr="003E5ED2">
        <w:rPr>
          <w:rFonts w:ascii="Arial" w:eastAsia="SimSun" w:hAnsi="Arial" w:cs="Arial"/>
          <w:sz w:val="22"/>
          <w:szCs w:val="22"/>
          <w:lang w:eastAsia="zh-CN"/>
        </w:rPr>
        <w:t>n</w:t>
      </w:r>
      <w:r w:rsidR="006144A1" w:rsidRPr="003E5ED2">
        <w:rPr>
          <w:rFonts w:ascii="Arial" w:eastAsia="SimSun" w:hAnsi="Arial" w:cs="Arial"/>
          <w:sz w:val="22"/>
          <w:szCs w:val="22"/>
          <w:lang w:eastAsia="zh-CN"/>
        </w:rPr>
        <w:t>a</w:t>
      </w:r>
      <w:r w:rsidRPr="003E5ED2">
        <w:rPr>
          <w:rFonts w:ascii="Arial" w:eastAsia="SimSun" w:hAnsi="Arial" w:cs="Arial"/>
          <w:sz w:val="22"/>
          <w:szCs w:val="22"/>
          <w:lang w:eastAsia="zh-CN"/>
        </w:rPr>
        <w:t>. Za iznos navedenih ulaganja, u 2010. godini je povećana vrijednost imovine u poslovnim knjigama Grada.</w:t>
      </w:r>
    </w:p>
    <w:p w:rsidR="000E69DA" w:rsidRPr="003E5ED2" w:rsidRDefault="000E69DA" w:rsidP="00D97687">
      <w:pPr>
        <w:autoSpaceDE w:val="0"/>
        <w:autoSpaceDN w:val="0"/>
        <w:adjustRightInd w:val="0"/>
        <w:ind w:left="340"/>
        <w:jc w:val="both"/>
        <w:rPr>
          <w:rFonts w:ascii="Arial" w:eastAsia="SimSun" w:hAnsi="Arial" w:cs="Arial"/>
          <w:sz w:val="22"/>
          <w:szCs w:val="22"/>
          <w:lang w:eastAsia="zh-CN"/>
        </w:rPr>
      </w:pPr>
      <w:r w:rsidRPr="003E5ED2">
        <w:rPr>
          <w:rFonts w:ascii="Arial" w:eastAsia="SimSun" w:hAnsi="Arial" w:cs="Arial"/>
          <w:sz w:val="22"/>
          <w:szCs w:val="22"/>
          <w:lang w:eastAsia="zh-CN"/>
        </w:rPr>
        <w:t>U 2011. godini Grad Rijeka je temeljem Ugovora o reguliranju međusobnih odnosa vezanih za financiranje ulaganja u objekte u vlasništvu Grada Rijeke u razdoblju od 1. siječnja do 31. prosi</w:t>
      </w:r>
      <w:r w:rsidR="007419FA" w:rsidRPr="003E5ED2">
        <w:rPr>
          <w:rFonts w:ascii="Arial" w:eastAsia="SimSun" w:hAnsi="Arial" w:cs="Arial"/>
          <w:sz w:val="22"/>
          <w:szCs w:val="22"/>
          <w:lang w:eastAsia="zh-CN"/>
        </w:rPr>
        <w:t>nca 2010. godine zaključenog 7.</w:t>
      </w:r>
      <w:r w:rsidR="00F16E29" w:rsidRPr="003E5ED2">
        <w:rPr>
          <w:rFonts w:ascii="Arial" w:eastAsia="SimSun" w:hAnsi="Arial" w:cs="Arial"/>
          <w:sz w:val="22"/>
          <w:szCs w:val="22"/>
          <w:lang w:eastAsia="zh-CN"/>
        </w:rPr>
        <w:t xml:space="preserve"> ožujka </w:t>
      </w:r>
      <w:r w:rsidRPr="003E5ED2">
        <w:rPr>
          <w:rFonts w:ascii="Arial" w:eastAsia="SimSun" w:hAnsi="Arial" w:cs="Arial"/>
          <w:sz w:val="22"/>
          <w:szCs w:val="22"/>
          <w:lang w:eastAsia="zh-CN"/>
        </w:rPr>
        <w:t>2011. godine i Ugovora o reguliranju međusobnih odnosa vezanih za financiranje ulaganja u objekte u vlasništvu Grada Rijeke u razdoblju 1. siječnja do 14. lipnja 2</w:t>
      </w:r>
      <w:r w:rsidR="007419FA" w:rsidRPr="003E5ED2">
        <w:rPr>
          <w:rFonts w:ascii="Arial" w:eastAsia="SimSun" w:hAnsi="Arial" w:cs="Arial"/>
          <w:sz w:val="22"/>
          <w:szCs w:val="22"/>
          <w:lang w:eastAsia="zh-CN"/>
        </w:rPr>
        <w:t>011. godine zaključenog 14.</w:t>
      </w:r>
      <w:r w:rsidR="00F16E29" w:rsidRPr="003E5ED2">
        <w:rPr>
          <w:rFonts w:ascii="Arial" w:eastAsia="SimSun" w:hAnsi="Arial" w:cs="Arial"/>
          <w:sz w:val="22"/>
          <w:szCs w:val="22"/>
          <w:lang w:eastAsia="zh-CN"/>
        </w:rPr>
        <w:t xml:space="preserve"> lipnja </w:t>
      </w:r>
      <w:r w:rsidRPr="003E5ED2">
        <w:rPr>
          <w:rFonts w:ascii="Arial" w:eastAsia="SimSun" w:hAnsi="Arial" w:cs="Arial"/>
          <w:sz w:val="22"/>
          <w:szCs w:val="22"/>
          <w:lang w:eastAsia="zh-CN"/>
        </w:rPr>
        <w:t>2011. godine, preuzeo izvršena ulaganja na sportskim objektima koja je financirao Rijeka sport d.o.o. u iznosu od 38.434.624</w:t>
      </w:r>
      <w:r w:rsidR="00D416A0" w:rsidRPr="003E5ED2">
        <w:rPr>
          <w:rFonts w:ascii="Arial" w:eastAsia="SimSun" w:hAnsi="Arial" w:cs="Arial"/>
          <w:sz w:val="22"/>
          <w:szCs w:val="22"/>
          <w:lang w:eastAsia="zh-CN"/>
        </w:rPr>
        <w:t>,00</w:t>
      </w:r>
      <w:r w:rsidR="00CB6868" w:rsidRPr="003E5ED2">
        <w:rPr>
          <w:rFonts w:ascii="Arial" w:eastAsia="SimSun" w:hAnsi="Arial" w:cs="Arial"/>
          <w:sz w:val="22"/>
          <w:szCs w:val="22"/>
          <w:lang w:eastAsia="zh-CN"/>
        </w:rPr>
        <w:t xml:space="preserve"> k</w:t>
      </w:r>
      <w:r w:rsidR="006144A1" w:rsidRPr="003E5ED2">
        <w:rPr>
          <w:rFonts w:ascii="Arial" w:eastAsia="SimSun" w:hAnsi="Arial" w:cs="Arial"/>
          <w:sz w:val="22"/>
          <w:szCs w:val="22"/>
          <w:lang w:eastAsia="zh-CN"/>
        </w:rPr>
        <w:t>u</w:t>
      </w:r>
      <w:r w:rsidR="00CB6868" w:rsidRPr="003E5ED2">
        <w:rPr>
          <w:rFonts w:ascii="Arial" w:eastAsia="SimSun" w:hAnsi="Arial" w:cs="Arial"/>
          <w:sz w:val="22"/>
          <w:szCs w:val="22"/>
          <w:lang w:eastAsia="zh-CN"/>
        </w:rPr>
        <w:t>n</w:t>
      </w:r>
      <w:r w:rsidR="006144A1" w:rsidRPr="003E5ED2">
        <w:rPr>
          <w:rFonts w:ascii="Arial" w:eastAsia="SimSun" w:hAnsi="Arial" w:cs="Arial"/>
          <w:sz w:val="22"/>
          <w:szCs w:val="22"/>
          <w:lang w:eastAsia="zh-CN"/>
        </w:rPr>
        <w:t>a</w:t>
      </w:r>
      <w:r w:rsidRPr="003E5ED2">
        <w:rPr>
          <w:rFonts w:ascii="Arial" w:eastAsia="SimSun" w:hAnsi="Arial" w:cs="Arial"/>
          <w:sz w:val="22"/>
          <w:szCs w:val="22"/>
          <w:lang w:eastAsia="zh-CN"/>
        </w:rPr>
        <w:t xml:space="preserve"> te je za navedeni iznos ulaganja povećana vrijednost imovine u knjigama imovine Grada. </w:t>
      </w:r>
    </w:p>
    <w:p w:rsidR="000E69DA" w:rsidRPr="003E5ED2" w:rsidRDefault="00CB6868" w:rsidP="002278BE">
      <w:pPr>
        <w:autoSpaceDE w:val="0"/>
        <w:autoSpaceDN w:val="0"/>
        <w:adjustRightInd w:val="0"/>
        <w:ind w:left="340"/>
        <w:jc w:val="both"/>
        <w:rPr>
          <w:rFonts w:ascii="Arial" w:hAnsi="Arial" w:cs="Arial"/>
          <w:sz w:val="22"/>
          <w:szCs w:val="22"/>
        </w:rPr>
      </w:pPr>
      <w:r w:rsidRPr="003E5ED2">
        <w:rPr>
          <w:rFonts w:ascii="Arial" w:eastAsia="SimSun" w:hAnsi="Arial" w:cs="Arial"/>
          <w:sz w:val="22"/>
          <w:szCs w:val="22"/>
          <w:lang w:eastAsia="zh-CN"/>
        </w:rPr>
        <w:t>Sukladno navedenim Ugovorima</w:t>
      </w:r>
      <w:r w:rsidR="000E69DA" w:rsidRPr="003E5ED2">
        <w:rPr>
          <w:rFonts w:ascii="Arial" w:eastAsia="SimSun" w:hAnsi="Arial" w:cs="Arial"/>
          <w:sz w:val="22"/>
          <w:szCs w:val="22"/>
          <w:lang w:eastAsia="zh-CN"/>
        </w:rPr>
        <w:t xml:space="preserve"> povećan je iznos robnog zajma sa 88.887.131</w:t>
      </w:r>
      <w:r w:rsidR="001B707D" w:rsidRPr="003E5ED2">
        <w:rPr>
          <w:rFonts w:ascii="Arial" w:eastAsia="SimSun" w:hAnsi="Arial" w:cs="Arial"/>
          <w:sz w:val="22"/>
          <w:szCs w:val="22"/>
          <w:lang w:eastAsia="zh-CN"/>
        </w:rPr>
        <w:t>,00</w:t>
      </w:r>
      <w:r w:rsidR="000E69DA" w:rsidRPr="003E5ED2">
        <w:rPr>
          <w:rFonts w:ascii="Arial" w:eastAsia="SimSun" w:hAnsi="Arial" w:cs="Arial"/>
          <w:sz w:val="22"/>
          <w:szCs w:val="22"/>
          <w:lang w:eastAsia="zh-CN"/>
        </w:rPr>
        <w:t xml:space="preserve"> kuna na 127.321.755</w:t>
      </w:r>
      <w:r w:rsidR="001B707D" w:rsidRPr="003E5ED2">
        <w:rPr>
          <w:rFonts w:ascii="Arial" w:eastAsia="SimSun" w:hAnsi="Arial" w:cs="Arial"/>
          <w:sz w:val="22"/>
          <w:szCs w:val="22"/>
          <w:lang w:eastAsia="zh-CN"/>
        </w:rPr>
        <w:t>,00</w:t>
      </w:r>
      <w:r w:rsidR="002B5A5A" w:rsidRPr="003E5ED2">
        <w:rPr>
          <w:rFonts w:ascii="Arial" w:eastAsia="SimSun" w:hAnsi="Arial" w:cs="Arial"/>
          <w:sz w:val="22"/>
          <w:szCs w:val="22"/>
          <w:lang w:eastAsia="zh-CN"/>
        </w:rPr>
        <w:t xml:space="preserve"> k</w:t>
      </w:r>
      <w:r w:rsidR="00F8762F" w:rsidRPr="003E5ED2">
        <w:rPr>
          <w:rFonts w:ascii="Arial" w:eastAsia="SimSun" w:hAnsi="Arial" w:cs="Arial"/>
          <w:sz w:val="22"/>
          <w:szCs w:val="22"/>
          <w:lang w:eastAsia="zh-CN"/>
        </w:rPr>
        <w:t xml:space="preserve">una </w:t>
      </w:r>
      <w:r w:rsidR="000E69DA" w:rsidRPr="003E5ED2">
        <w:rPr>
          <w:rFonts w:ascii="Arial" w:eastAsia="SimSun" w:hAnsi="Arial" w:cs="Arial"/>
          <w:sz w:val="22"/>
          <w:szCs w:val="22"/>
          <w:lang w:eastAsia="zh-CN"/>
        </w:rPr>
        <w:t xml:space="preserve">što predstavlja iznos ulaganja koja je izvršio Rijeka sport d.o.o. u sportske objekte u vlasništvu Grada (završna faza Dvoranskog plivališta Kantrida, Stadion Kantrida, Stadion </w:t>
      </w:r>
      <w:proofErr w:type="spellStart"/>
      <w:r w:rsidR="000E69DA" w:rsidRPr="003E5ED2">
        <w:rPr>
          <w:rFonts w:ascii="Arial" w:eastAsia="SimSun" w:hAnsi="Arial" w:cs="Arial"/>
          <w:sz w:val="22"/>
          <w:szCs w:val="22"/>
          <w:lang w:eastAsia="zh-CN"/>
        </w:rPr>
        <w:t>Krimeja</w:t>
      </w:r>
      <w:proofErr w:type="spellEnd"/>
      <w:r w:rsidR="000E69DA" w:rsidRPr="003E5ED2">
        <w:rPr>
          <w:rFonts w:ascii="Arial" w:eastAsia="SimSun" w:hAnsi="Arial" w:cs="Arial"/>
          <w:sz w:val="22"/>
          <w:szCs w:val="22"/>
          <w:lang w:eastAsia="zh-CN"/>
        </w:rPr>
        <w:t xml:space="preserve">, Nogometno igralište </w:t>
      </w:r>
      <w:proofErr w:type="spellStart"/>
      <w:r w:rsidR="000E69DA" w:rsidRPr="003E5ED2">
        <w:rPr>
          <w:rFonts w:ascii="Arial" w:eastAsia="SimSun" w:hAnsi="Arial" w:cs="Arial"/>
          <w:sz w:val="22"/>
          <w:szCs w:val="22"/>
          <w:lang w:eastAsia="zh-CN"/>
        </w:rPr>
        <w:t>Podmurvice</w:t>
      </w:r>
      <w:proofErr w:type="spellEnd"/>
      <w:r w:rsidR="000E69DA" w:rsidRPr="003E5ED2">
        <w:rPr>
          <w:rFonts w:ascii="Arial" w:eastAsia="SimSun" w:hAnsi="Arial" w:cs="Arial"/>
          <w:sz w:val="22"/>
          <w:szCs w:val="22"/>
          <w:lang w:eastAsia="zh-CN"/>
        </w:rPr>
        <w:t xml:space="preserve">, Dvorana Dinko </w:t>
      </w:r>
      <w:proofErr w:type="spellStart"/>
      <w:r w:rsidR="000E69DA" w:rsidRPr="003E5ED2">
        <w:rPr>
          <w:rFonts w:ascii="Arial" w:eastAsia="SimSun" w:hAnsi="Arial" w:cs="Arial"/>
          <w:sz w:val="22"/>
          <w:szCs w:val="22"/>
          <w:lang w:eastAsia="zh-CN"/>
        </w:rPr>
        <w:t>Lukarić</w:t>
      </w:r>
      <w:proofErr w:type="spellEnd"/>
      <w:r w:rsidR="000E69DA" w:rsidRPr="003E5ED2">
        <w:rPr>
          <w:rFonts w:ascii="Arial" w:eastAsia="SimSun" w:hAnsi="Arial" w:cs="Arial"/>
          <w:sz w:val="22"/>
          <w:szCs w:val="22"/>
          <w:lang w:eastAsia="zh-CN"/>
        </w:rPr>
        <w:t xml:space="preserve"> i Dvorana Mladosti).</w:t>
      </w:r>
      <w:r w:rsidR="002278BE" w:rsidRPr="003E5ED2">
        <w:rPr>
          <w:rFonts w:ascii="Arial" w:eastAsia="SimSun" w:hAnsi="Arial" w:cs="Arial"/>
          <w:sz w:val="22"/>
          <w:szCs w:val="22"/>
          <w:lang w:eastAsia="zh-CN"/>
        </w:rPr>
        <w:t xml:space="preserve"> </w:t>
      </w:r>
      <w:r w:rsidR="000E69DA" w:rsidRPr="003E5ED2">
        <w:rPr>
          <w:rFonts w:ascii="Arial" w:hAnsi="Arial" w:cs="Arial"/>
          <w:sz w:val="22"/>
          <w:szCs w:val="22"/>
        </w:rPr>
        <w:t>Otplata robnog zajma u mjesečnim anuitetima započela je u 2012. godini</w:t>
      </w:r>
      <w:r w:rsidR="0032383C" w:rsidRPr="003E5ED2">
        <w:rPr>
          <w:rFonts w:ascii="Arial" w:hAnsi="Arial" w:cs="Arial"/>
          <w:sz w:val="22"/>
          <w:szCs w:val="22"/>
        </w:rPr>
        <w:t xml:space="preserve">. </w:t>
      </w:r>
      <w:r w:rsidR="000E69DA" w:rsidRPr="003E5ED2">
        <w:rPr>
          <w:rFonts w:ascii="Arial" w:hAnsi="Arial" w:cs="Arial"/>
          <w:sz w:val="22"/>
          <w:szCs w:val="22"/>
        </w:rPr>
        <w:t>Kamatna stopa je promjenjiva, vezana za tromjesečni EURIBOR +2,65 p.p. godišnje, ali ne manja od 4% godišnje.</w:t>
      </w:r>
      <w:r w:rsidR="002278BE" w:rsidRPr="003E5ED2">
        <w:rPr>
          <w:rFonts w:ascii="Arial" w:hAnsi="Arial" w:cs="Arial"/>
          <w:sz w:val="22"/>
          <w:szCs w:val="22"/>
        </w:rPr>
        <w:t xml:space="preserve"> </w:t>
      </w:r>
      <w:r w:rsidR="000E69DA" w:rsidRPr="003E5ED2">
        <w:rPr>
          <w:rFonts w:ascii="Arial" w:hAnsi="Arial" w:cs="Arial"/>
          <w:sz w:val="22"/>
          <w:szCs w:val="22"/>
        </w:rPr>
        <w:t xml:space="preserve">Rijeka sport d.o.o. je temeljem </w:t>
      </w:r>
      <w:r w:rsidR="00F16E29" w:rsidRPr="003E5ED2">
        <w:rPr>
          <w:rFonts w:ascii="Arial" w:hAnsi="Arial" w:cs="Arial"/>
          <w:sz w:val="22"/>
          <w:szCs w:val="22"/>
        </w:rPr>
        <w:t xml:space="preserve">Odluke Gradskog vijeća od 22. prosinca </w:t>
      </w:r>
      <w:r w:rsidR="000E69DA" w:rsidRPr="003E5ED2">
        <w:rPr>
          <w:rFonts w:ascii="Arial" w:hAnsi="Arial" w:cs="Arial"/>
          <w:sz w:val="22"/>
          <w:szCs w:val="22"/>
        </w:rPr>
        <w:t>2016. godine o davanju suglasnosti za zaduženje radi refinanciranja ostatka duga po postojećem kreditu primljenom 2008.</w:t>
      </w:r>
      <w:r w:rsidR="00857311" w:rsidRPr="003E5ED2">
        <w:rPr>
          <w:rFonts w:ascii="Arial" w:hAnsi="Arial" w:cs="Arial"/>
          <w:sz w:val="22"/>
          <w:szCs w:val="22"/>
        </w:rPr>
        <w:t xml:space="preserve"> </w:t>
      </w:r>
      <w:r w:rsidR="002224F1" w:rsidRPr="003E5ED2">
        <w:rPr>
          <w:rFonts w:ascii="Arial" w:hAnsi="Arial" w:cs="Arial"/>
          <w:sz w:val="22"/>
          <w:szCs w:val="22"/>
        </w:rPr>
        <w:t xml:space="preserve">godine, dana </w:t>
      </w:r>
      <w:r w:rsidR="00F16E29" w:rsidRPr="003E5ED2">
        <w:rPr>
          <w:rFonts w:ascii="Arial" w:hAnsi="Arial" w:cs="Arial"/>
          <w:sz w:val="22"/>
          <w:szCs w:val="22"/>
        </w:rPr>
        <w:t xml:space="preserve">2. siječnja </w:t>
      </w:r>
      <w:r w:rsidR="000E69DA" w:rsidRPr="003E5ED2">
        <w:rPr>
          <w:rFonts w:ascii="Arial" w:hAnsi="Arial" w:cs="Arial"/>
          <w:sz w:val="22"/>
          <w:szCs w:val="22"/>
        </w:rPr>
        <w:t>2017. godine sklopio Ugovor o dugoročnom kreditu s Privrednom bankom Zagreb u iznosu od 189.773.099,15 kn. Refinanciranjem postojećeg duga produljen je krajnji rok dosp</w:t>
      </w:r>
      <w:r w:rsidR="00861FC8" w:rsidRPr="003E5ED2">
        <w:rPr>
          <w:rFonts w:ascii="Arial" w:hAnsi="Arial" w:cs="Arial"/>
          <w:sz w:val="22"/>
          <w:szCs w:val="22"/>
        </w:rPr>
        <w:t>i</w:t>
      </w:r>
      <w:r w:rsidR="000E69DA" w:rsidRPr="003E5ED2">
        <w:rPr>
          <w:rFonts w:ascii="Arial" w:hAnsi="Arial" w:cs="Arial"/>
          <w:sz w:val="22"/>
          <w:szCs w:val="22"/>
        </w:rPr>
        <w:t>jeća kredita na 15 godina i ugov</w:t>
      </w:r>
      <w:r w:rsidR="00D3032F" w:rsidRPr="003E5ED2">
        <w:rPr>
          <w:rFonts w:ascii="Arial" w:hAnsi="Arial" w:cs="Arial"/>
          <w:sz w:val="22"/>
          <w:szCs w:val="22"/>
        </w:rPr>
        <w:t xml:space="preserve">orena je redovna kamata po stopi u </w:t>
      </w:r>
      <w:r w:rsidR="000E69DA" w:rsidRPr="003E5ED2">
        <w:rPr>
          <w:rFonts w:ascii="Arial" w:hAnsi="Arial" w:cs="Arial"/>
          <w:sz w:val="22"/>
          <w:szCs w:val="22"/>
        </w:rPr>
        <w:t>visini prinosa na Trezorske zapise Ministarstva financija na bazi 91 dan uvećano za fiksnu maržu u visini 1,78 p.p. godišnje, promjenjiva.</w:t>
      </w:r>
    </w:p>
    <w:p w:rsidR="002278BE" w:rsidRPr="003E5ED2" w:rsidRDefault="000E69DA" w:rsidP="002278BE">
      <w:pPr>
        <w:tabs>
          <w:tab w:val="center" w:pos="4320"/>
          <w:tab w:val="right" w:pos="8640"/>
        </w:tabs>
        <w:ind w:left="340"/>
        <w:jc w:val="both"/>
        <w:rPr>
          <w:rFonts w:ascii="Arial" w:hAnsi="Arial" w:cs="Arial"/>
          <w:sz w:val="22"/>
          <w:szCs w:val="22"/>
        </w:rPr>
      </w:pPr>
      <w:r w:rsidRPr="003E5ED2">
        <w:rPr>
          <w:rFonts w:ascii="Arial" w:hAnsi="Arial" w:cs="Arial"/>
          <w:sz w:val="22"/>
          <w:szCs w:val="22"/>
        </w:rPr>
        <w:t>S obzirom da se u Proračunu Grada osiguravaju sredstva za otplatu kredita Rijeka sporta d.o.o. kroz otplatu robnog zajma za preuzete objekte, a da su refinanciranjem kredita Rijeka sporta d.o.o. postignuti povoljni uvjeti otplate, novim Ugovorom o reguliranju međusobnih odnosa vezanih za financiranje ulaganja u objekte u vlasništvu Grada Rijeke između Rijeka sporta</w:t>
      </w:r>
      <w:r w:rsidR="00F16E29" w:rsidRPr="003E5ED2">
        <w:rPr>
          <w:rFonts w:ascii="Arial" w:hAnsi="Arial" w:cs="Arial"/>
          <w:sz w:val="22"/>
          <w:szCs w:val="22"/>
        </w:rPr>
        <w:t xml:space="preserve"> d.o.o. i Grada Rijeke od 30. prosinca </w:t>
      </w:r>
      <w:r w:rsidRPr="003E5ED2">
        <w:rPr>
          <w:rFonts w:ascii="Arial" w:hAnsi="Arial" w:cs="Arial"/>
          <w:sz w:val="22"/>
          <w:szCs w:val="22"/>
        </w:rPr>
        <w:t xml:space="preserve">2016. godine </w:t>
      </w:r>
      <w:r w:rsidR="001A0D0A" w:rsidRPr="003E5ED2">
        <w:rPr>
          <w:rFonts w:ascii="Arial" w:hAnsi="Arial" w:cs="Arial"/>
          <w:sz w:val="22"/>
          <w:szCs w:val="22"/>
        </w:rPr>
        <w:t>u iznosu od 104.477.917,35 kuna</w:t>
      </w:r>
      <w:r w:rsidR="008D1311" w:rsidRPr="003E5ED2">
        <w:rPr>
          <w:rFonts w:ascii="Arial" w:hAnsi="Arial" w:cs="Arial"/>
          <w:sz w:val="22"/>
          <w:szCs w:val="22"/>
        </w:rPr>
        <w:t>,</w:t>
      </w:r>
      <w:r w:rsidRPr="003E5ED2">
        <w:rPr>
          <w:rFonts w:ascii="Arial" w:hAnsi="Arial" w:cs="Arial"/>
          <w:sz w:val="22"/>
          <w:szCs w:val="22"/>
        </w:rPr>
        <w:t xml:space="preserve"> uskladila se dinamika otplate robnog zajma s dinamikom otplate refinanciranog kredita Rijeka sporta d.o.o.</w:t>
      </w:r>
      <w:r w:rsidR="0032383C" w:rsidRPr="003E5ED2">
        <w:rPr>
          <w:rFonts w:ascii="Arial" w:hAnsi="Arial" w:cs="Arial"/>
          <w:sz w:val="22"/>
          <w:szCs w:val="22"/>
        </w:rPr>
        <w:t xml:space="preserve"> </w:t>
      </w:r>
    </w:p>
    <w:p w:rsidR="00E64DA9" w:rsidRPr="003E5ED2" w:rsidRDefault="0032383C" w:rsidP="002278BE">
      <w:pPr>
        <w:tabs>
          <w:tab w:val="center" w:pos="4320"/>
          <w:tab w:val="right" w:pos="8640"/>
        </w:tabs>
        <w:ind w:left="284"/>
        <w:jc w:val="both"/>
        <w:rPr>
          <w:rFonts w:ascii="Arial" w:hAnsi="Arial" w:cs="Arial"/>
          <w:sz w:val="22"/>
          <w:szCs w:val="22"/>
        </w:rPr>
      </w:pPr>
      <w:r w:rsidRPr="003E5ED2">
        <w:rPr>
          <w:rFonts w:ascii="Arial" w:hAnsi="Arial" w:cs="Arial"/>
          <w:sz w:val="22"/>
          <w:szCs w:val="22"/>
        </w:rPr>
        <w:t>Zbog nastalih okolnosti</w:t>
      </w:r>
      <w:r w:rsidR="004974E7" w:rsidRPr="003E5ED2">
        <w:rPr>
          <w:rFonts w:ascii="Arial" w:hAnsi="Arial" w:cs="Arial"/>
          <w:sz w:val="22"/>
          <w:szCs w:val="22"/>
        </w:rPr>
        <w:t xml:space="preserve"> </w:t>
      </w:r>
      <w:r w:rsidRPr="003E5ED2">
        <w:rPr>
          <w:rFonts w:ascii="Arial" w:hAnsi="Arial" w:cs="Arial"/>
          <w:sz w:val="22"/>
          <w:szCs w:val="22"/>
        </w:rPr>
        <w:t xml:space="preserve">izazvanih </w:t>
      </w:r>
      <w:proofErr w:type="spellStart"/>
      <w:r w:rsidRPr="003E5ED2">
        <w:rPr>
          <w:rFonts w:ascii="Arial" w:hAnsi="Arial" w:cs="Arial"/>
          <w:sz w:val="22"/>
          <w:szCs w:val="22"/>
        </w:rPr>
        <w:t>pandemijom</w:t>
      </w:r>
      <w:proofErr w:type="spellEnd"/>
      <w:r w:rsidRPr="003E5ED2">
        <w:rPr>
          <w:rFonts w:ascii="Arial" w:hAnsi="Arial" w:cs="Arial"/>
          <w:sz w:val="22"/>
          <w:szCs w:val="22"/>
        </w:rPr>
        <w:t xml:space="preserve"> </w:t>
      </w:r>
      <w:proofErr w:type="spellStart"/>
      <w:r w:rsidRPr="003E5ED2">
        <w:rPr>
          <w:rFonts w:ascii="Arial" w:hAnsi="Arial" w:cs="Arial"/>
          <w:sz w:val="22"/>
          <w:szCs w:val="22"/>
        </w:rPr>
        <w:t>koronavirusa</w:t>
      </w:r>
      <w:proofErr w:type="spellEnd"/>
      <w:r w:rsidRPr="003E5ED2">
        <w:rPr>
          <w:rFonts w:ascii="Arial" w:hAnsi="Arial" w:cs="Arial"/>
          <w:sz w:val="22"/>
          <w:szCs w:val="22"/>
        </w:rPr>
        <w:t>,</w:t>
      </w:r>
      <w:r w:rsidR="004974E7" w:rsidRPr="003E5ED2">
        <w:rPr>
          <w:rFonts w:ascii="Arial" w:hAnsi="Arial" w:cs="Arial"/>
          <w:sz w:val="22"/>
          <w:szCs w:val="22"/>
        </w:rPr>
        <w:t xml:space="preserve"> </w:t>
      </w:r>
      <w:r w:rsidR="00F16E29" w:rsidRPr="003E5ED2">
        <w:rPr>
          <w:rFonts w:ascii="Arial" w:hAnsi="Arial" w:cs="Arial"/>
          <w:sz w:val="22"/>
          <w:szCs w:val="22"/>
        </w:rPr>
        <w:t xml:space="preserve">Gradsko vijeće je 27. svibnja </w:t>
      </w:r>
      <w:r w:rsidRPr="003E5ED2">
        <w:rPr>
          <w:rFonts w:ascii="Arial" w:hAnsi="Arial" w:cs="Arial"/>
          <w:sz w:val="22"/>
          <w:szCs w:val="22"/>
        </w:rPr>
        <w:t>2020.</w:t>
      </w:r>
      <w:r w:rsidR="002278BE" w:rsidRPr="003E5ED2">
        <w:rPr>
          <w:rFonts w:ascii="Arial" w:hAnsi="Arial" w:cs="Arial"/>
          <w:sz w:val="22"/>
          <w:szCs w:val="22"/>
        </w:rPr>
        <w:t xml:space="preserve"> </w:t>
      </w:r>
      <w:r w:rsidRPr="003E5ED2">
        <w:rPr>
          <w:rFonts w:ascii="Arial" w:hAnsi="Arial" w:cs="Arial"/>
          <w:sz w:val="22"/>
          <w:szCs w:val="22"/>
        </w:rPr>
        <w:t>godine donijelo Odluku o izmjenama Odluke o davanju suglasnosti za zaduženje Rijeka sportu</w:t>
      </w:r>
      <w:r w:rsidR="002278BE" w:rsidRPr="003E5ED2">
        <w:rPr>
          <w:rFonts w:ascii="Arial" w:hAnsi="Arial" w:cs="Arial"/>
          <w:sz w:val="22"/>
          <w:szCs w:val="22"/>
        </w:rPr>
        <w:t xml:space="preserve"> </w:t>
      </w:r>
      <w:r w:rsidR="005C645A" w:rsidRPr="003E5ED2">
        <w:rPr>
          <w:rFonts w:ascii="Arial" w:hAnsi="Arial" w:cs="Arial"/>
          <w:sz w:val="22"/>
          <w:szCs w:val="22"/>
        </w:rPr>
        <w:t xml:space="preserve">d.o.o. </w:t>
      </w:r>
      <w:r w:rsidRPr="003E5ED2">
        <w:rPr>
          <w:rFonts w:ascii="Arial" w:hAnsi="Arial" w:cs="Arial"/>
          <w:sz w:val="22"/>
          <w:szCs w:val="22"/>
        </w:rPr>
        <w:t xml:space="preserve">radi refinanciranja ostatka glavnice, </w:t>
      </w:r>
      <w:r w:rsidR="00B35795" w:rsidRPr="003E5ED2">
        <w:rPr>
          <w:rFonts w:ascii="Arial" w:hAnsi="Arial" w:cs="Arial"/>
          <w:sz w:val="22"/>
          <w:szCs w:val="22"/>
        </w:rPr>
        <w:t>na temelju koje je Rijeka sport</w:t>
      </w:r>
      <w:r w:rsidR="00857311" w:rsidRPr="003E5ED2">
        <w:rPr>
          <w:rFonts w:ascii="Arial" w:hAnsi="Arial" w:cs="Arial"/>
          <w:sz w:val="22"/>
          <w:szCs w:val="22"/>
        </w:rPr>
        <w:t xml:space="preserve"> d.o.o.</w:t>
      </w:r>
      <w:r w:rsidR="00B35795" w:rsidRPr="003E5ED2">
        <w:rPr>
          <w:rFonts w:ascii="Arial" w:hAnsi="Arial" w:cs="Arial"/>
          <w:sz w:val="22"/>
          <w:szCs w:val="22"/>
        </w:rPr>
        <w:t>,</w:t>
      </w:r>
      <w:r w:rsidR="00C060D2" w:rsidRPr="003E5ED2">
        <w:rPr>
          <w:rFonts w:ascii="Arial" w:hAnsi="Arial" w:cs="Arial"/>
          <w:sz w:val="22"/>
          <w:szCs w:val="22"/>
        </w:rPr>
        <w:t xml:space="preserve"> </w:t>
      </w:r>
      <w:r w:rsidR="001657C6" w:rsidRPr="003E5ED2">
        <w:rPr>
          <w:rFonts w:ascii="Arial" w:hAnsi="Arial" w:cs="Arial"/>
          <w:sz w:val="22"/>
          <w:szCs w:val="22"/>
        </w:rPr>
        <w:t>dana 8.</w:t>
      </w:r>
      <w:r w:rsidR="00BE6D73" w:rsidRPr="003E5ED2">
        <w:rPr>
          <w:rFonts w:ascii="Arial" w:hAnsi="Arial" w:cs="Arial"/>
          <w:sz w:val="22"/>
          <w:szCs w:val="22"/>
        </w:rPr>
        <w:t xml:space="preserve"> srpnja</w:t>
      </w:r>
      <w:r w:rsidR="002278BE" w:rsidRPr="003E5ED2">
        <w:rPr>
          <w:rFonts w:ascii="Arial" w:hAnsi="Arial" w:cs="Arial"/>
          <w:sz w:val="22"/>
          <w:szCs w:val="22"/>
        </w:rPr>
        <w:t xml:space="preserve"> </w:t>
      </w:r>
      <w:r w:rsidR="00B35795" w:rsidRPr="003E5ED2">
        <w:rPr>
          <w:rFonts w:ascii="Arial" w:hAnsi="Arial" w:cs="Arial"/>
          <w:sz w:val="22"/>
          <w:szCs w:val="22"/>
        </w:rPr>
        <w:t>2020.</w:t>
      </w:r>
      <w:r w:rsidR="00C4172D" w:rsidRPr="003E5ED2">
        <w:rPr>
          <w:rFonts w:ascii="Arial" w:hAnsi="Arial" w:cs="Arial"/>
          <w:sz w:val="22"/>
          <w:szCs w:val="22"/>
        </w:rPr>
        <w:t xml:space="preserve"> </w:t>
      </w:r>
      <w:r w:rsidR="00857311" w:rsidRPr="003E5ED2">
        <w:rPr>
          <w:rFonts w:ascii="Arial" w:hAnsi="Arial" w:cs="Arial"/>
          <w:sz w:val="22"/>
          <w:szCs w:val="22"/>
        </w:rPr>
        <w:t>godine sklopio Dodatak I</w:t>
      </w:r>
      <w:r w:rsidR="00B35795" w:rsidRPr="003E5ED2">
        <w:rPr>
          <w:rFonts w:ascii="Arial" w:hAnsi="Arial" w:cs="Arial"/>
          <w:sz w:val="22"/>
          <w:szCs w:val="22"/>
        </w:rPr>
        <w:t xml:space="preserve"> Ugovoru</w:t>
      </w:r>
      <w:r w:rsidR="00C060D2" w:rsidRPr="003E5ED2">
        <w:rPr>
          <w:rFonts w:ascii="Arial" w:hAnsi="Arial" w:cs="Arial"/>
          <w:sz w:val="22"/>
          <w:szCs w:val="22"/>
        </w:rPr>
        <w:t xml:space="preserve"> </w:t>
      </w:r>
      <w:r w:rsidR="00B35795" w:rsidRPr="003E5ED2">
        <w:rPr>
          <w:rFonts w:ascii="Arial" w:hAnsi="Arial" w:cs="Arial"/>
          <w:sz w:val="22"/>
          <w:szCs w:val="22"/>
        </w:rPr>
        <w:t>o dugoročnom kreditu s Privrednom bankom Zagreb</w:t>
      </w:r>
      <w:r w:rsidR="002278BE" w:rsidRPr="003E5ED2">
        <w:rPr>
          <w:rFonts w:ascii="Arial" w:hAnsi="Arial" w:cs="Arial"/>
          <w:sz w:val="22"/>
          <w:szCs w:val="22"/>
        </w:rPr>
        <w:t xml:space="preserve"> </w:t>
      </w:r>
      <w:r w:rsidR="00B35795" w:rsidRPr="003E5ED2">
        <w:rPr>
          <w:rFonts w:ascii="Arial" w:hAnsi="Arial" w:cs="Arial"/>
          <w:sz w:val="22"/>
          <w:szCs w:val="22"/>
        </w:rPr>
        <w:t xml:space="preserve">kojim je </w:t>
      </w:r>
      <w:r w:rsidR="00B80253" w:rsidRPr="003E5ED2">
        <w:rPr>
          <w:rFonts w:ascii="Arial" w:hAnsi="Arial" w:cs="Arial"/>
          <w:sz w:val="22"/>
          <w:szCs w:val="22"/>
        </w:rPr>
        <w:t xml:space="preserve">ugovoren moratorij </w:t>
      </w:r>
      <w:r w:rsidR="00C060D2" w:rsidRPr="003E5ED2">
        <w:rPr>
          <w:rFonts w:ascii="Arial" w:hAnsi="Arial" w:cs="Arial"/>
          <w:sz w:val="22"/>
          <w:szCs w:val="22"/>
        </w:rPr>
        <w:t>na otplatu 6 rata glavnice u 2020. godini te je produ</w:t>
      </w:r>
      <w:r w:rsidR="001657C6" w:rsidRPr="003E5ED2">
        <w:rPr>
          <w:rFonts w:ascii="Arial" w:hAnsi="Arial" w:cs="Arial"/>
          <w:sz w:val="22"/>
          <w:szCs w:val="22"/>
        </w:rPr>
        <w:t>ljen rok otplate</w:t>
      </w:r>
      <w:r w:rsidR="002278BE" w:rsidRPr="003E5ED2">
        <w:rPr>
          <w:rFonts w:ascii="Arial" w:hAnsi="Arial" w:cs="Arial"/>
          <w:sz w:val="22"/>
          <w:szCs w:val="22"/>
        </w:rPr>
        <w:t xml:space="preserve"> </w:t>
      </w:r>
      <w:r w:rsidR="001657C6" w:rsidRPr="003E5ED2">
        <w:rPr>
          <w:rFonts w:ascii="Arial" w:hAnsi="Arial" w:cs="Arial"/>
          <w:sz w:val="22"/>
          <w:szCs w:val="22"/>
        </w:rPr>
        <w:t>kredita do 30.</w:t>
      </w:r>
      <w:r w:rsidR="00BE6D73" w:rsidRPr="003E5ED2">
        <w:rPr>
          <w:rFonts w:ascii="Arial" w:hAnsi="Arial" w:cs="Arial"/>
          <w:sz w:val="22"/>
          <w:szCs w:val="22"/>
        </w:rPr>
        <w:t xml:space="preserve"> lipnja </w:t>
      </w:r>
      <w:r w:rsidR="00C060D2" w:rsidRPr="003E5ED2">
        <w:rPr>
          <w:rFonts w:ascii="Arial" w:hAnsi="Arial" w:cs="Arial"/>
          <w:sz w:val="22"/>
          <w:szCs w:val="22"/>
        </w:rPr>
        <w:t>2032. godine</w:t>
      </w:r>
      <w:r w:rsidR="002278BE" w:rsidRPr="003E5ED2">
        <w:rPr>
          <w:rFonts w:ascii="Arial" w:hAnsi="Arial" w:cs="Arial"/>
          <w:sz w:val="22"/>
          <w:szCs w:val="22"/>
        </w:rPr>
        <w:t>.</w:t>
      </w:r>
    </w:p>
    <w:p w:rsidR="004B03C6" w:rsidRPr="003E5ED2" w:rsidRDefault="004B03C6" w:rsidP="002278BE">
      <w:pPr>
        <w:tabs>
          <w:tab w:val="center" w:pos="4320"/>
          <w:tab w:val="right" w:pos="8640"/>
        </w:tabs>
        <w:ind w:left="284"/>
        <w:jc w:val="both"/>
        <w:rPr>
          <w:rFonts w:ascii="Arial" w:hAnsi="Arial" w:cs="Arial"/>
          <w:sz w:val="22"/>
          <w:szCs w:val="22"/>
        </w:rPr>
      </w:pPr>
    </w:p>
    <w:p w:rsidR="004B03C6" w:rsidRPr="003E5ED2" w:rsidRDefault="004B03C6" w:rsidP="004B03C6">
      <w:pPr>
        <w:tabs>
          <w:tab w:val="center" w:pos="4320"/>
          <w:tab w:val="right" w:pos="8640"/>
        </w:tabs>
        <w:ind w:left="284"/>
        <w:jc w:val="both"/>
        <w:rPr>
          <w:rFonts w:ascii="Arial" w:hAnsi="Arial" w:cs="Arial"/>
          <w:sz w:val="22"/>
          <w:szCs w:val="22"/>
        </w:rPr>
      </w:pPr>
      <w:r w:rsidRPr="003E5ED2">
        <w:rPr>
          <w:rFonts w:ascii="Arial" w:hAnsi="Arial" w:cs="Arial"/>
          <w:sz w:val="22"/>
          <w:szCs w:val="22"/>
        </w:rPr>
        <w:t xml:space="preserve"> </w:t>
      </w:r>
      <w:r w:rsidR="00E64DA9" w:rsidRPr="003E5ED2">
        <w:rPr>
          <w:rFonts w:ascii="Arial" w:hAnsi="Arial" w:cs="Arial"/>
          <w:sz w:val="22"/>
          <w:szCs w:val="22"/>
        </w:rPr>
        <w:t>Sukladno tome je i krajnji rok otplate robnog zajma Grada prema Rijeka sportu d.o.o. produljen</w:t>
      </w:r>
    </w:p>
    <w:p w:rsidR="006B6C82" w:rsidRPr="003E5ED2" w:rsidRDefault="004B03C6" w:rsidP="004B03C6">
      <w:pPr>
        <w:tabs>
          <w:tab w:val="center" w:pos="4320"/>
          <w:tab w:val="right" w:pos="8640"/>
        </w:tabs>
        <w:ind w:left="284"/>
        <w:jc w:val="both"/>
        <w:rPr>
          <w:rFonts w:ascii="Arial" w:hAnsi="Arial" w:cs="Arial"/>
          <w:sz w:val="22"/>
          <w:szCs w:val="22"/>
        </w:rPr>
      </w:pPr>
      <w:r w:rsidRPr="003E5ED2">
        <w:rPr>
          <w:rFonts w:ascii="Arial" w:hAnsi="Arial" w:cs="Arial"/>
          <w:sz w:val="22"/>
          <w:szCs w:val="22"/>
        </w:rPr>
        <w:t xml:space="preserve"> </w:t>
      </w:r>
      <w:r w:rsidR="00E64DA9" w:rsidRPr="003E5ED2">
        <w:rPr>
          <w:rFonts w:ascii="Arial" w:hAnsi="Arial" w:cs="Arial"/>
          <w:sz w:val="22"/>
          <w:szCs w:val="22"/>
        </w:rPr>
        <w:t>do 30. lipnja 2032. godine.</w:t>
      </w:r>
    </w:p>
    <w:p w:rsidR="001705F2" w:rsidRPr="003E5ED2" w:rsidRDefault="006B6C82" w:rsidP="004B03C6">
      <w:pPr>
        <w:tabs>
          <w:tab w:val="center" w:pos="4320"/>
          <w:tab w:val="right" w:pos="8640"/>
        </w:tabs>
        <w:ind w:left="340"/>
        <w:jc w:val="both"/>
        <w:rPr>
          <w:rFonts w:ascii="Arial" w:hAnsi="Arial" w:cs="Arial"/>
          <w:sz w:val="22"/>
          <w:szCs w:val="22"/>
        </w:rPr>
      </w:pPr>
      <w:r w:rsidRPr="003E5ED2">
        <w:rPr>
          <w:rFonts w:ascii="Arial" w:hAnsi="Arial" w:cs="Arial"/>
          <w:sz w:val="22"/>
          <w:szCs w:val="22"/>
        </w:rPr>
        <w:t>Na temelju Odluke o izmjenama Odluke o davanju suglasnosti za zaduženje Rijeka sportu d.o.o. radi refinanciranja ostatka glavnice, koja je donesena na sjednici Gradskog vijeća dana 26. rujna 2024. godine, Rijeka sport d.o.o. je sklopio Dodatak II Ugovoru o dugoročnom kreditu s Privrednom bankom Zagreb kojim je utvrđeno da se na preostali saldo kredita, počevši od 01. listopada 2024. godine, obračunava redovna kamata po fiksnoj stopi u visini od 3,34% godišnje.</w:t>
      </w:r>
      <w:r w:rsidR="00D12821" w:rsidRPr="003E5ED2">
        <w:rPr>
          <w:rFonts w:ascii="Arial" w:hAnsi="Arial" w:cs="Arial"/>
          <w:sz w:val="22"/>
          <w:szCs w:val="22"/>
        </w:rPr>
        <w:t xml:space="preserve"> </w:t>
      </w:r>
      <w:r w:rsidRPr="003E5ED2">
        <w:rPr>
          <w:rFonts w:ascii="Arial" w:hAnsi="Arial" w:cs="Arial"/>
          <w:sz w:val="22"/>
          <w:szCs w:val="22"/>
        </w:rPr>
        <w:t xml:space="preserve">Radi usklađenja otplatnog plana iz Dodatka II Ugovoru o dugoročnom kreditu sklopljen je </w:t>
      </w:r>
      <w:r w:rsidR="00E64DA9" w:rsidRPr="003E5ED2">
        <w:rPr>
          <w:rFonts w:ascii="Arial" w:hAnsi="Arial" w:cs="Arial"/>
          <w:sz w:val="22"/>
          <w:szCs w:val="22"/>
        </w:rPr>
        <w:t>Aneks 2.</w:t>
      </w:r>
      <w:r w:rsidR="004634D5" w:rsidRPr="003E5ED2">
        <w:rPr>
          <w:rFonts w:ascii="Arial" w:hAnsi="Arial" w:cs="Arial"/>
          <w:sz w:val="22"/>
          <w:szCs w:val="22"/>
        </w:rPr>
        <w:t xml:space="preserve"> </w:t>
      </w:r>
      <w:r w:rsidR="00E64DA9" w:rsidRPr="003E5ED2">
        <w:rPr>
          <w:rFonts w:ascii="Arial" w:hAnsi="Arial" w:cs="Arial"/>
          <w:sz w:val="22"/>
          <w:szCs w:val="22"/>
        </w:rPr>
        <w:t>robnog zajma Grada Rijeke prema Rijeka sportu d.o.o.</w:t>
      </w:r>
      <w:r w:rsidR="0093397B" w:rsidRPr="003E5ED2">
        <w:rPr>
          <w:rFonts w:ascii="Arial" w:hAnsi="Arial" w:cs="Arial"/>
          <w:sz w:val="22"/>
          <w:szCs w:val="22"/>
        </w:rPr>
        <w:t>.</w:t>
      </w:r>
    </w:p>
    <w:p w:rsidR="00857311" w:rsidRPr="003E5ED2" w:rsidRDefault="006B6C82" w:rsidP="00D12821">
      <w:pPr>
        <w:tabs>
          <w:tab w:val="center" w:pos="4320"/>
          <w:tab w:val="right" w:pos="8640"/>
        </w:tabs>
        <w:ind w:left="284"/>
        <w:jc w:val="both"/>
        <w:rPr>
          <w:rFonts w:ascii="Arial" w:hAnsi="Arial" w:cs="Arial"/>
          <w:b/>
          <w:sz w:val="22"/>
          <w:szCs w:val="22"/>
        </w:rPr>
      </w:pPr>
      <w:r w:rsidRPr="003E5ED2">
        <w:rPr>
          <w:rFonts w:ascii="Arial" w:hAnsi="Arial" w:cs="Arial"/>
          <w:sz w:val="22"/>
          <w:szCs w:val="22"/>
        </w:rPr>
        <w:t xml:space="preserve"> </w:t>
      </w:r>
      <w:r w:rsidR="00E64DA9" w:rsidRPr="003E5ED2">
        <w:rPr>
          <w:rFonts w:ascii="Arial" w:hAnsi="Arial" w:cs="Arial"/>
          <w:b/>
          <w:sz w:val="22"/>
          <w:szCs w:val="22"/>
        </w:rPr>
        <w:t>Tijekom 2024</w:t>
      </w:r>
      <w:r w:rsidR="004974E7" w:rsidRPr="003E5ED2">
        <w:rPr>
          <w:rFonts w:ascii="Arial" w:hAnsi="Arial" w:cs="Arial"/>
          <w:b/>
          <w:sz w:val="22"/>
          <w:szCs w:val="22"/>
        </w:rPr>
        <w:t>. godine</w:t>
      </w:r>
      <w:r w:rsidR="000E69DA" w:rsidRPr="003E5ED2">
        <w:rPr>
          <w:rFonts w:ascii="Arial" w:hAnsi="Arial" w:cs="Arial"/>
          <w:b/>
          <w:sz w:val="22"/>
          <w:szCs w:val="22"/>
        </w:rPr>
        <w:t xml:space="preserve"> otplaćeno je </w:t>
      </w:r>
      <w:r w:rsidR="00E64DA9" w:rsidRPr="003E5ED2">
        <w:rPr>
          <w:rFonts w:ascii="Arial" w:hAnsi="Arial" w:cs="Arial"/>
          <w:b/>
          <w:sz w:val="22"/>
          <w:szCs w:val="22"/>
        </w:rPr>
        <w:t>901.327,14</w:t>
      </w:r>
      <w:r w:rsidR="008D1311" w:rsidRPr="003E5ED2">
        <w:rPr>
          <w:rFonts w:ascii="Arial" w:hAnsi="Arial" w:cs="Arial"/>
          <w:b/>
          <w:sz w:val="22"/>
          <w:szCs w:val="22"/>
        </w:rPr>
        <w:t xml:space="preserve"> eura</w:t>
      </w:r>
      <w:r w:rsidR="000E69DA" w:rsidRPr="003E5ED2">
        <w:rPr>
          <w:rFonts w:ascii="Arial" w:hAnsi="Arial" w:cs="Arial"/>
          <w:b/>
          <w:sz w:val="22"/>
          <w:szCs w:val="22"/>
        </w:rPr>
        <w:t xml:space="preserve"> ovog z</w:t>
      </w:r>
      <w:r w:rsidR="004974E7" w:rsidRPr="003E5ED2">
        <w:rPr>
          <w:rFonts w:ascii="Arial" w:hAnsi="Arial" w:cs="Arial"/>
          <w:b/>
          <w:sz w:val="22"/>
          <w:szCs w:val="22"/>
        </w:rPr>
        <w:t>ajma te stanje obveze</w:t>
      </w:r>
      <w:r w:rsidR="000E69DA" w:rsidRPr="003E5ED2">
        <w:rPr>
          <w:rFonts w:ascii="Arial" w:hAnsi="Arial" w:cs="Arial"/>
          <w:b/>
          <w:sz w:val="22"/>
          <w:szCs w:val="22"/>
        </w:rPr>
        <w:t xml:space="preserve"> </w:t>
      </w:r>
      <w:r w:rsidR="008D1311" w:rsidRPr="003E5ED2">
        <w:rPr>
          <w:rFonts w:ascii="Arial" w:hAnsi="Arial" w:cs="Arial"/>
          <w:b/>
          <w:sz w:val="22"/>
          <w:szCs w:val="22"/>
        </w:rPr>
        <w:t xml:space="preserve">na dan </w:t>
      </w:r>
    </w:p>
    <w:p w:rsidR="000E69DA" w:rsidRPr="003E5ED2" w:rsidRDefault="00AD724E" w:rsidP="00D12821">
      <w:pPr>
        <w:tabs>
          <w:tab w:val="center" w:pos="4320"/>
          <w:tab w:val="right" w:pos="8640"/>
        </w:tabs>
        <w:ind w:left="284"/>
        <w:jc w:val="both"/>
        <w:rPr>
          <w:rFonts w:ascii="Arial" w:hAnsi="Arial" w:cs="Arial"/>
          <w:sz w:val="22"/>
          <w:szCs w:val="22"/>
        </w:rPr>
      </w:pPr>
      <w:r w:rsidRPr="003E5ED2">
        <w:rPr>
          <w:rFonts w:ascii="Arial" w:hAnsi="Arial" w:cs="Arial"/>
          <w:b/>
          <w:sz w:val="22"/>
          <w:szCs w:val="22"/>
        </w:rPr>
        <w:t xml:space="preserve"> 31. prosinca </w:t>
      </w:r>
      <w:r w:rsidR="00E64DA9" w:rsidRPr="003E5ED2">
        <w:rPr>
          <w:rFonts w:ascii="Arial" w:hAnsi="Arial" w:cs="Arial"/>
          <w:b/>
          <w:sz w:val="22"/>
          <w:szCs w:val="22"/>
        </w:rPr>
        <w:t>2024</w:t>
      </w:r>
      <w:r w:rsidR="000E69DA" w:rsidRPr="003E5ED2">
        <w:rPr>
          <w:rFonts w:ascii="Arial" w:hAnsi="Arial" w:cs="Arial"/>
          <w:b/>
          <w:sz w:val="22"/>
          <w:szCs w:val="22"/>
        </w:rPr>
        <w:t xml:space="preserve">. godine iznosi </w:t>
      </w:r>
      <w:r w:rsidR="00E64DA9" w:rsidRPr="003E5ED2">
        <w:rPr>
          <w:rFonts w:ascii="Arial" w:hAnsi="Arial" w:cs="Arial"/>
          <w:b/>
          <w:sz w:val="22"/>
          <w:szCs w:val="22"/>
        </w:rPr>
        <w:t>8.458.631,15</w:t>
      </w:r>
      <w:r w:rsidR="008D1311" w:rsidRPr="003E5ED2">
        <w:rPr>
          <w:rFonts w:ascii="Arial" w:hAnsi="Arial" w:cs="Arial"/>
          <w:b/>
          <w:sz w:val="22"/>
          <w:szCs w:val="22"/>
        </w:rPr>
        <w:t xml:space="preserve"> eura</w:t>
      </w:r>
      <w:r w:rsidR="000E69DA" w:rsidRPr="003E5ED2">
        <w:rPr>
          <w:rFonts w:ascii="Arial" w:hAnsi="Arial" w:cs="Arial"/>
          <w:b/>
          <w:sz w:val="22"/>
          <w:szCs w:val="22"/>
        </w:rPr>
        <w:t>.</w:t>
      </w:r>
    </w:p>
    <w:p w:rsidR="00B61FAE" w:rsidRPr="003E5ED2" w:rsidRDefault="00B61FAE" w:rsidP="006538C0">
      <w:pPr>
        <w:tabs>
          <w:tab w:val="center" w:pos="4320"/>
          <w:tab w:val="right" w:pos="8640"/>
        </w:tabs>
        <w:ind w:left="340"/>
        <w:jc w:val="both"/>
        <w:rPr>
          <w:rFonts w:ascii="Arial" w:hAnsi="Arial" w:cs="Arial"/>
          <w:sz w:val="22"/>
          <w:szCs w:val="22"/>
          <w:highlight w:val="yellow"/>
        </w:rPr>
      </w:pPr>
    </w:p>
    <w:p w:rsidR="000E69DA" w:rsidRPr="003E5ED2" w:rsidRDefault="000E69DA" w:rsidP="006538C0">
      <w:pPr>
        <w:ind w:left="340"/>
        <w:jc w:val="both"/>
        <w:rPr>
          <w:rFonts w:ascii="Arial" w:hAnsi="Arial" w:cs="Arial"/>
          <w:sz w:val="22"/>
          <w:szCs w:val="22"/>
          <w:highlight w:val="yellow"/>
        </w:rPr>
      </w:pPr>
    </w:p>
    <w:p w:rsidR="000E69DA" w:rsidRPr="004F3ECD" w:rsidRDefault="000E69DA" w:rsidP="00E64DA9">
      <w:pPr>
        <w:pBdr>
          <w:top w:val="single" w:sz="4" w:space="0" w:color="FFFFFF"/>
          <w:left w:val="single" w:sz="4" w:space="4" w:color="FFFFFF"/>
          <w:bottom w:val="single" w:sz="4" w:space="1" w:color="FFFFFF"/>
          <w:right w:val="single" w:sz="4" w:space="4" w:color="FFFFFF"/>
        </w:pBdr>
        <w:jc w:val="both"/>
        <w:rPr>
          <w:rFonts w:ascii="Arial" w:hAnsi="Arial" w:cs="Arial"/>
          <w:sz w:val="22"/>
          <w:szCs w:val="22"/>
        </w:rPr>
      </w:pPr>
      <w:r w:rsidRPr="004F3ECD">
        <w:rPr>
          <w:rFonts w:ascii="Arial" w:hAnsi="Arial" w:cs="Arial"/>
          <w:sz w:val="22"/>
          <w:szCs w:val="22"/>
          <w:bdr w:val="single" w:sz="4" w:space="0" w:color="FFFFFF"/>
        </w:rPr>
        <w:t xml:space="preserve">Ukupne </w:t>
      </w:r>
      <w:r w:rsidR="00562884" w:rsidRPr="004F3ECD">
        <w:rPr>
          <w:rFonts w:ascii="Arial" w:hAnsi="Arial" w:cs="Arial"/>
          <w:sz w:val="22"/>
          <w:szCs w:val="22"/>
          <w:bdr w:val="single" w:sz="4" w:space="0" w:color="FFFFFF"/>
        </w:rPr>
        <w:t xml:space="preserve">nedospjele </w:t>
      </w:r>
      <w:r w:rsidRPr="004F3ECD">
        <w:rPr>
          <w:rFonts w:ascii="Arial" w:hAnsi="Arial" w:cs="Arial"/>
          <w:sz w:val="22"/>
          <w:szCs w:val="22"/>
          <w:bdr w:val="single" w:sz="4" w:space="0" w:color="FFFFFF"/>
        </w:rPr>
        <w:t xml:space="preserve">obveze za </w:t>
      </w:r>
      <w:r w:rsidR="00562884" w:rsidRPr="004F3ECD">
        <w:rPr>
          <w:rFonts w:ascii="Arial" w:hAnsi="Arial" w:cs="Arial"/>
          <w:sz w:val="22"/>
          <w:szCs w:val="22"/>
          <w:bdr w:val="single" w:sz="4" w:space="0" w:color="FFFFFF"/>
        </w:rPr>
        <w:t xml:space="preserve">dugoročne </w:t>
      </w:r>
      <w:r w:rsidRPr="004F3ECD">
        <w:rPr>
          <w:rFonts w:ascii="Arial" w:hAnsi="Arial" w:cs="Arial"/>
          <w:sz w:val="22"/>
          <w:szCs w:val="22"/>
          <w:bdr w:val="single" w:sz="4" w:space="0" w:color="FFFFFF"/>
        </w:rPr>
        <w:t>kre</w:t>
      </w:r>
      <w:r w:rsidR="00FB06E4" w:rsidRPr="004F3ECD">
        <w:rPr>
          <w:rFonts w:ascii="Arial" w:hAnsi="Arial" w:cs="Arial"/>
          <w:sz w:val="22"/>
          <w:szCs w:val="22"/>
          <w:bdr w:val="single" w:sz="4" w:space="0" w:color="FFFFFF"/>
        </w:rPr>
        <w:t>dite i zajmove</w:t>
      </w:r>
      <w:r w:rsidR="00F97EB5" w:rsidRPr="004F3ECD">
        <w:rPr>
          <w:rFonts w:ascii="Arial" w:hAnsi="Arial" w:cs="Arial"/>
          <w:sz w:val="22"/>
          <w:szCs w:val="22"/>
          <w:bdr w:val="single" w:sz="4" w:space="0" w:color="FFFFFF"/>
        </w:rPr>
        <w:t xml:space="preserve"> </w:t>
      </w:r>
      <w:r w:rsidR="00FB06E4" w:rsidRPr="004F3ECD">
        <w:rPr>
          <w:rFonts w:ascii="Arial" w:hAnsi="Arial" w:cs="Arial"/>
          <w:sz w:val="22"/>
          <w:szCs w:val="22"/>
          <w:bdr w:val="single" w:sz="4" w:space="0" w:color="FFFFFF"/>
        </w:rPr>
        <w:t>na dan 31.</w:t>
      </w:r>
      <w:r w:rsidR="00CA1F92" w:rsidRPr="004F3ECD">
        <w:rPr>
          <w:rFonts w:ascii="Arial" w:hAnsi="Arial" w:cs="Arial"/>
          <w:sz w:val="22"/>
          <w:szCs w:val="22"/>
          <w:bdr w:val="single" w:sz="4" w:space="0" w:color="FFFFFF"/>
        </w:rPr>
        <w:t xml:space="preserve"> prosinca </w:t>
      </w:r>
      <w:r w:rsidR="00FB06E4" w:rsidRPr="004F3ECD">
        <w:rPr>
          <w:rFonts w:ascii="Arial" w:hAnsi="Arial" w:cs="Arial"/>
          <w:sz w:val="22"/>
          <w:szCs w:val="22"/>
          <w:bdr w:val="single" w:sz="4" w:space="0" w:color="FFFFFF"/>
        </w:rPr>
        <w:t>20</w:t>
      </w:r>
      <w:r w:rsidR="00E13379" w:rsidRPr="004F3ECD">
        <w:rPr>
          <w:rFonts w:ascii="Arial" w:hAnsi="Arial" w:cs="Arial"/>
          <w:sz w:val="22"/>
          <w:szCs w:val="22"/>
          <w:bdr w:val="single" w:sz="4" w:space="0" w:color="FFFFFF"/>
        </w:rPr>
        <w:t>24</w:t>
      </w:r>
      <w:r w:rsidR="00FF20E5" w:rsidRPr="004F3ECD">
        <w:rPr>
          <w:rFonts w:ascii="Arial" w:hAnsi="Arial" w:cs="Arial"/>
          <w:sz w:val="22"/>
          <w:szCs w:val="22"/>
          <w:bdr w:val="single" w:sz="4" w:space="0" w:color="FFFFFF"/>
        </w:rPr>
        <w:t xml:space="preserve">. godine iznose </w:t>
      </w:r>
      <w:r w:rsidR="00E64DA9" w:rsidRPr="004F3ECD">
        <w:rPr>
          <w:rFonts w:ascii="Arial" w:hAnsi="Arial" w:cs="Arial"/>
          <w:sz w:val="22"/>
          <w:szCs w:val="22"/>
          <w:bdr w:val="single" w:sz="4" w:space="0" w:color="FFFFFF"/>
        </w:rPr>
        <w:t>36.454.440,37 eura</w:t>
      </w:r>
      <w:r w:rsidR="00F30EBD" w:rsidRPr="004F3ECD">
        <w:rPr>
          <w:rFonts w:ascii="Arial" w:hAnsi="Arial" w:cs="Arial"/>
          <w:sz w:val="22"/>
          <w:szCs w:val="22"/>
          <w:bdr w:val="single" w:sz="4" w:space="0" w:color="FFFFFF"/>
        </w:rPr>
        <w:t>.</w:t>
      </w:r>
      <w:r w:rsidR="00F30EBD" w:rsidRPr="004F3ECD">
        <w:rPr>
          <w:rFonts w:ascii="Arial" w:hAnsi="Arial" w:cs="Arial"/>
          <w:sz w:val="22"/>
          <w:szCs w:val="22"/>
        </w:rPr>
        <w:t xml:space="preserve"> </w:t>
      </w:r>
      <w:r w:rsidR="00562884" w:rsidRPr="004F3ECD">
        <w:rPr>
          <w:rFonts w:ascii="Arial" w:hAnsi="Arial" w:cs="Arial"/>
          <w:sz w:val="22"/>
          <w:szCs w:val="22"/>
        </w:rPr>
        <w:t xml:space="preserve">Dospjelih obveza za kredite i zajmove nema. </w:t>
      </w:r>
    </w:p>
    <w:p w:rsidR="00482D50" w:rsidRPr="003E5ED2" w:rsidRDefault="00482D50" w:rsidP="00E64DA9">
      <w:pPr>
        <w:pBdr>
          <w:top w:val="single" w:sz="4" w:space="0" w:color="FFFFFF"/>
          <w:left w:val="single" w:sz="4" w:space="4" w:color="FFFFFF"/>
          <w:bottom w:val="single" w:sz="4" w:space="1" w:color="FFFFFF"/>
          <w:right w:val="single" w:sz="4" w:space="4" w:color="FFFFFF"/>
        </w:pBdr>
        <w:jc w:val="both"/>
        <w:rPr>
          <w:rFonts w:ascii="Arial" w:hAnsi="Arial" w:cs="Arial"/>
          <w:b/>
          <w:sz w:val="22"/>
          <w:szCs w:val="22"/>
        </w:rPr>
      </w:pPr>
    </w:p>
    <w:p w:rsidR="003E4DE6" w:rsidRPr="003E5ED2" w:rsidRDefault="003E4DE6" w:rsidP="00E64DA9">
      <w:pPr>
        <w:pBdr>
          <w:top w:val="single" w:sz="4" w:space="0" w:color="FFFFFF"/>
          <w:left w:val="single" w:sz="4" w:space="4" w:color="FFFFFF"/>
          <w:bottom w:val="single" w:sz="4" w:space="1" w:color="FFFFFF"/>
          <w:right w:val="single" w:sz="4" w:space="4" w:color="FFFFFF"/>
        </w:pBdr>
        <w:jc w:val="both"/>
        <w:rPr>
          <w:rFonts w:ascii="Arial" w:hAnsi="Arial" w:cs="Arial"/>
          <w:b/>
          <w:sz w:val="22"/>
          <w:szCs w:val="22"/>
        </w:rPr>
      </w:pPr>
    </w:p>
    <w:p w:rsidR="00CA1F92" w:rsidRPr="003E5ED2" w:rsidRDefault="003E4DE6" w:rsidP="00E64DA9">
      <w:pPr>
        <w:pBdr>
          <w:top w:val="single" w:sz="4" w:space="0" w:color="FFFFFF"/>
          <w:left w:val="single" w:sz="4" w:space="4" w:color="FFFFFF"/>
          <w:bottom w:val="single" w:sz="4" w:space="1" w:color="FFFFFF"/>
          <w:right w:val="single" w:sz="4" w:space="4" w:color="FFFFFF"/>
        </w:pBdr>
        <w:jc w:val="both"/>
        <w:rPr>
          <w:rFonts w:ascii="Arial" w:hAnsi="Arial" w:cs="Arial"/>
          <w:b/>
          <w:sz w:val="22"/>
          <w:szCs w:val="22"/>
          <w:u w:val="single"/>
        </w:rPr>
      </w:pPr>
      <w:r w:rsidRPr="003E5ED2">
        <w:rPr>
          <w:rFonts w:ascii="Arial" w:hAnsi="Arial" w:cs="Arial"/>
          <w:b/>
          <w:sz w:val="22"/>
          <w:szCs w:val="22"/>
        </w:rPr>
        <w:t>K</w:t>
      </w:r>
      <w:r w:rsidR="001172A9" w:rsidRPr="003E5ED2">
        <w:rPr>
          <w:rFonts w:ascii="Arial" w:hAnsi="Arial" w:cs="Arial"/>
          <w:b/>
          <w:sz w:val="22"/>
          <w:szCs w:val="22"/>
        </w:rPr>
        <w:t xml:space="preserve">ratkoročni </w:t>
      </w:r>
      <w:r w:rsidR="00F030D7" w:rsidRPr="003E5ED2">
        <w:rPr>
          <w:rFonts w:ascii="Arial" w:hAnsi="Arial" w:cs="Arial"/>
          <w:b/>
          <w:sz w:val="22"/>
          <w:szCs w:val="22"/>
        </w:rPr>
        <w:t>zajmovi:</w:t>
      </w:r>
      <w:r w:rsidR="00F0238E" w:rsidRPr="003E5ED2">
        <w:rPr>
          <w:rFonts w:ascii="Arial" w:hAnsi="Arial" w:cs="Arial"/>
          <w:b/>
          <w:sz w:val="22"/>
          <w:szCs w:val="22"/>
        </w:rPr>
        <w:t xml:space="preserve"> </w:t>
      </w:r>
    </w:p>
    <w:p w:rsidR="00C375C1" w:rsidRPr="003E5ED2" w:rsidRDefault="00C375C1" w:rsidP="00E64DA9">
      <w:pPr>
        <w:pBdr>
          <w:top w:val="single" w:sz="4" w:space="0" w:color="FFFFFF"/>
          <w:left w:val="single" w:sz="4" w:space="4" w:color="FFFFFF"/>
          <w:bottom w:val="single" w:sz="4" w:space="1" w:color="FFFFFF"/>
          <w:right w:val="single" w:sz="4" w:space="4" w:color="FFFFFF"/>
        </w:pBdr>
        <w:jc w:val="both"/>
        <w:rPr>
          <w:rFonts w:ascii="Arial" w:hAnsi="Arial" w:cs="Arial"/>
          <w:b/>
          <w:sz w:val="22"/>
          <w:szCs w:val="22"/>
          <w:u w:val="single"/>
        </w:rPr>
      </w:pPr>
    </w:p>
    <w:p w:rsidR="004F244C" w:rsidRPr="003E5ED2" w:rsidRDefault="00EA694F" w:rsidP="00214034">
      <w:pPr>
        <w:pStyle w:val="ListParagraph"/>
        <w:keepNext/>
        <w:numPr>
          <w:ilvl w:val="0"/>
          <w:numId w:val="7"/>
        </w:numPr>
        <w:jc w:val="both"/>
        <w:outlineLvl w:val="3"/>
        <w:rPr>
          <w:rFonts w:ascii="Arial" w:hAnsi="Arial" w:cs="Arial"/>
          <w:bCs/>
          <w:sz w:val="22"/>
          <w:szCs w:val="22"/>
        </w:rPr>
      </w:pPr>
      <w:r w:rsidRPr="003E5ED2">
        <w:rPr>
          <w:rFonts w:ascii="Arial" w:hAnsi="Arial" w:cs="Arial"/>
          <w:b/>
          <w:bCs/>
          <w:sz w:val="22"/>
          <w:szCs w:val="22"/>
        </w:rPr>
        <w:t xml:space="preserve">Beskamatni zajam </w:t>
      </w:r>
      <w:r w:rsidR="00E76F52" w:rsidRPr="003E5ED2">
        <w:rPr>
          <w:rFonts w:ascii="Arial" w:hAnsi="Arial" w:cs="Arial"/>
          <w:b/>
          <w:sz w:val="22"/>
          <w:szCs w:val="22"/>
          <w:shd w:val="clear" w:color="auto" w:fill="FFFFFF"/>
        </w:rPr>
        <w:t>jedinicama lokalne i područne (regionalne) samouprave</w:t>
      </w:r>
    </w:p>
    <w:p w:rsidR="002331F6" w:rsidRPr="003E5ED2" w:rsidRDefault="002331F6" w:rsidP="009955E7">
      <w:pPr>
        <w:pStyle w:val="ListParagraph"/>
        <w:keepNext/>
        <w:ind w:left="360"/>
        <w:jc w:val="both"/>
        <w:outlineLvl w:val="3"/>
        <w:rPr>
          <w:rFonts w:ascii="Arial" w:hAnsi="Arial" w:cs="Arial"/>
          <w:bCs/>
          <w:sz w:val="22"/>
          <w:szCs w:val="22"/>
        </w:rPr>
      </w:pPr>
    </w:p>
    <w:p w:rsidR="009955E7" w:rsidRPr="003E5ED2" w:rsidRDefault="002331F6" w:rsidP="009955E7">
      <w:pPr>
        <w:pStyle w:val="ListParagraph"/>
        <w:keepNext/>
        <w:ind w:left="360"/>
        <w:jc w:val="both"/>
        <w:outlineLvl w:val="3"/>
        <w:rPr>
          <w:rFonts w:ascii="Arial" w:hAnsi="Arial" w:cs="Arial"/>
          <w:bCs/>
          <w:sz w:val="22"/>
          <w:szCs w:val="22"/>
        </w:rPr>
      </w:pPr>
      <w:r w:rsidRPr="003E5ED2">
        <w:rPr>
          <w:rFonts w:ascii="Arial" w:hAnsi="Arial" w:cs="Arial"/>
          <w:bCs/>
          <w:sz w:val="22"/>
          <w:szCs w:val="22"/>
        </w:rPr>
        <w:t>P</w:t>
      </w:r>
      <w:r w:rsidR="009955E7" w:rsidRPr="003E5ED2">
        <w:rPr>
          <w:rFonts w:ascii="Arial" w:hAnsi="Arial" w:cs="Arial"/>
          <w:bCs/>
          <w:sz w:val="22"/>
          <w:szCs w:val="22"/>
        </w:rPr>
        <w:t xml:space="preserve">ovrat poreza na dohodak po godišnjoj prijavi za 2023. godinu započeo je 2. svibnja 2024. godine. </w:t>
      </w:r>
    </w:p>
    <w:p w:rsidR="009955E7" w:rsidRPr="003E5ED2" w:rsidRDefault="009955E7" w:rsidP="009955E7">
      <w:pPr>
        <w:pStyle w:val="ListParagraph"/>
        <w:keepNext/>
        <w:ind w:left="360"/>
        <w:jc w:val="both"/>
        <w:outlineLvl w:val="3"/>
        <w:rPr>
          <w:rFonts w:ascii="Arial" w:hAnsi="Arial" w:cs="Arial"/>
          <w:bCs/>
          <w:sz w:val="22"/>
          <w:szCs w:val="22"/>
        </w:rPr>
      </w:pPr>
      <w:r w:rsidRPr="003E5ED2">
        <w:rPr>
          <w:rFonts w:ascii="Arial" w:hAnsi="Arial" w:cs="Arial"/>
          <w:bCs/>
          <w:sz w:val="22"/>
          <w:szCs w:val="22"/>
        </w:rPr>
        <w:t>U Naputku o načinu uplaćivanja prihoda proračuna, obveznih doprinosa te prihoda za financiranje drugih javnih potreba u 2024. godini (Narodne novine, br. 15/24</w:t>
      </w:r>
      <w:r w:rsidR="002331F6" w:rsidRPr="003E5ED2">
        <w:rPr>
          <w:rFonts w:ascii="Arial" w:hAnsi="Arial" w:cs="Arial"/>
          <w:bCs/>
          <w:sz w:val="22"/>
          <w:szCs w:val="22"/>
        </w:rPr>
        <w:t>)</w:t>
      </w:r>
      <w:r w:rsidRPr="003E5ED2">
        <w:rPr>
          <w:rFonts w:ascii="Arial" w:hAnsi="Arial" w:cs="Arial"/>
          <w:bCs/>
          <w:sz w:val="22"/>
          <w:szCs w:val="22"/>
        </w:rPr>
        <w:t xml:space="preserve">, točka 9. Povrat i </w:t>
      </w:r>
      <w:proofErr w:type="spellStart"/>
      <w:r w:rsidRPr="003E5ED2">
        <w:rPr>
          <w:rFonts w:ascii="Arial" w:hAnsi="Arial" w:cs="Arial"/>
          <w:bCs/>
          <w:sz w:val="22"/>
          <w:szCs w:val="22"/>
        </w:rPr>
        <w:t>preknjiženje</w:t>
      </w:r>
      <w:proofErr w:type="spellEnd"/>
      <w:r w:rsidRPr="003E5ED2">
        <w:rPr>
          <w:rFonts w:ascii="Arial" w:hAnsi="Arial" w:cs="Arial"/>
          <w:bCs/>
          <w:sz w:val="22"/>
          <w:szCs w:val="22"/>
        </w:rPr>
        <w:t xml:space="preserve"> javnih prihoda, </w:t>
      </w:r>
      <w:proofErr w:type="spellStart"/>
      <w:r w:rsidRPr="003E5ED2">
        <w:rPr>
          <w:rFonts w:ascii="Arial" w:hAnsi="Arial" w:cs="Arial"/>
          <w:bCs/>
          <w:sz w:val="22"/>
          <w:szCs w:val="22"/>
        </w:rPr>
        <w:t>podtočka</w:t>
      </w:r>
      <w:proofErr w:type="spellEnd"/>
      <w:r w:rsidRPr="003E5ED2">
        <w:rPr>
          <w:rFonts w:ascii="Arial" w:hAnsi="Arial" w:cs="Arial"/>
          <w:bCs/>
          <w:sz w:val="22"/>
          <w:szCs w:val="22"/>
        </w:rPr>
        <w:t xml:space="preserve"> 9.5.3. Namirenje nedostajućih sredstava za izvršenje naloga za povrat, ispravak prijenosom ili </w:t>
      </w:r>
      <w:proofErr w:type="spellStart"/>
      <w:r w:rsidRPr="003E5ED2">
        <w:rPr>
          <w:rFonts w:ascii="Arial" w:hAnsi="Arial" w:cs="Arial"/>
          <w:bCs/>
          <w:sz w:val="22"/>
          <w:szCs w:val="22"/>
        </w:rPr>
        <w:t>preknjiženje</w:t>
      </w:r>
      <w:proofErr w:type="spellEnd"/>
      <w:r w:rsidRPr="003E5ED2">
        <w:rPr>
          <w:rFonts w:ascii="Arial" w:hAnsi="Arial" w:cs="Arial"/>
          <w:bCs/>
          <w:sz w:val="22"/>
          <w:szCs w:val="22"/>
        </w:rPr>
        <w:t xml:space="preserve"> na računu za uplatu i raspored zajedničkog prihoda propisan je postupak namirenja nedostajućih sredstava na računu poreza na dohodak koje će jedinice lokalne samouprave koristiti za povrat poreza na dohodak po godišnjoj prijavi za 2023. godinu u razdoblju od 2. svibnja do 31. prosinca 2024. godine. </w:t>
      </w:r>
    </w:p>
    <w:p w:rsidR="009955E7" w:rsidRPr="003E5ED2" w:rsidRDefault="009955E7" w:rsidP="009955E7">
      <w:pPr>
        <w:pStyle w:val="ListParagraph"/>
        <w:keepNext/>
        <w:ind w:left="360"/>
        <w:jc w:val="both"/>
        <w:outlineLvl w:val="3"/>
        <w:rPr>
          <w:rFonts w:ascii="Arial" w:hAnsi="Arial" w:cs="Arial"/>
          <w:bCs/>
          <w:sz w:val="22"/>
          <w:szCs w:val="22"/>
        </w:rPr>
      </w:pPr>
      <w:r w:rsidRPr="003E5ED2">
        <w:rPr>
          <w:rFonts w:ascii="Arial" w:hAnsi="Arial" w:cs="Arial"/>
          <w:bCs/>
          <w:sz w:val="22"/>
          <w:szCs w:val="22"/>
        </w:rPr>
        <w:t xml:space="preserve">Naputkom </w:t>
      </w:r>
      <w:r w:rsidR="00587C09" w:rsidRPr="003E5ED2">
        <w:rPr>
          <w:rFonts w:ascii="Arial" w:hAnsi="Arial" w:cs="Arial"/>
          <w:bCs/>
          <w:sz w:val="22"/>
          <w:szCs w:val="22"/>
        </w:rPr>
        <w:t xml:space="preserve">je </w:t>
      </w:r>
      <w:r w:rsidRPr="003E5ED2">
        <w:rPr>
          <w:rFonts w:ascii="Arial" w:hAnsi="Arial" w:cs="Arial"/>
          <w:bCs/>
          <w:sz w:val="22"/>
          <w:szCs w:val="22"/>
        </w:rPr>
        <w:t xml:space="preserve">propisano da ako na računu za uplatu i raspored zajedničkog prihoda, nema dovoljno sredstava za izvršenje naloga za povrat, ispravak prijenosom ili </w:t>
      </w:r>
      <w:proofErr w:type="spellStart"/>
      <w:r w:rsidRPr="003E5ED2">
        <w:rPr>
          <w:rFonts w:ascii="Arial" w:hAnsi="Arial" w:cs="Arial"/>
          <w:bCs/>
          <w:sz w:val="22"/>
          <w:szCs w:val="22"/>
        </w:rPr>
        <w:t>preknjiženje</w:t>
      </w:r>
      <w:proofErr w:type="spellEnd"/>
      <w:r w:rsidRPr="003E5ED2">
        <w:rPr>
          <w:rFonts w:ascii="Arial" w:hAnsi="Arial" w:cs="Arial"/>
          <w:bCs/>
          <w:sz w:val="22"/>
          <w:szCs w:val="22"/>
        </w:rPr>
        <w:t xml:space="preserve"> u 2024. godini, nedostajuća sredstva za provedbu naloga namiruju se na teret jedinstvenog računa državnog proračuna. Sredstva korištena za izvršenje naloga za povrat, ispravak prijenosom ili </w:t>
      </w:r>
      <w:proofErr w:type="spellStart"/>
      <w:r w:rsidRPr="003E5ED2">
        <w:rPr>
          <w:rFonts w:ascii="Arial" w:hAnsi="Arial" w:cs="Arial"/>
          <w:bCs/>
          <w:sz w:val="22"/>
          <w:szCs w:val="22"/>
        </w:rPr>
        <w:t>preknjiženje</w:t>
      </w:r>
      <w:proofErr w:type="spellEnd"/>
      <w:r w:rsidRPr="003E5ED2">
        <w:rPr>
          <w:rFonts w:ascii="Arial" w:hAnsi="Arial" w:cs="Arial"/>
          <w:bCs/>
          <w:sz w:val="22"/>
          <w:szCs w:val="22"/>
        </w:rPr>
        <w:t xml:space="preserve"> na računu za uplatu i raspored zajedničkog prihoda, namirena na teret jedinstvenog računa državnog proračuna vraćaju se na jedinstveni račun državnog proračuna iz prvoga priljeva sredstava na račun za uplatu i raspored zajedničkog prihoda. </w:t>
      </w:r>
    </w:p>
    <w:p w:rsidR="009955E7" w:rsidRPr="003E5ED2" w:rsidRDefault="009955E7" w:rsidP="009955E7">
      <w:pPr>
        <w:pStyle w:val="ListParagraph"/>
        <w:keepNext/>
        <w:ind w:left="360"/>
        <w:jc w:val="both"/>
        <w:outlineLvl w:val="3"/>
        <w:rPr>
          <w:rFonts w:ascii="Arial" w:hAnsi="Arial" w:cs="Arial"/>
          <w:bCs/>
          <w:sz w:val="22"/>
          <w:szCs w:val="22"/>
        </w:rPr>
      </w:pPr>
    </w:p>
    <w:p w:rsidR="00214034" w:rsidRPr="003E5ED2" w:rsidRDefault="00214034" w:rsidP="00214034">
      <w:pPr>
        <w:keepNext/>
        <w:ind w:left="360"/>
        <w:contextualSpacing/>
        <w:jc w:val="both"/>
        <w:rPr>
          <w:rFonts w:ascii="Arial" w:eastAsiaTheme="minorHAnsi" w:hAnsi="Arial" w:cs="Arial"/>
          <w:sz w:val="22"/>
          <w:szCs w:val="22"/>
          <w:lang w:eastAsia="en-US"/>
        </w:rPr>
      </w:pPr>
      <w:r w:rsidRPr="003E5ED2">
        <w:rPr>
          <w:rFonts w:ascii="Arial" w:eastAsiaTheme="minorHAnsi" w:hAnsi="Arial" w:cs="Arial"/>
          <w:sz w:val="22"/>
          <w:szCs w:val="22"/>
          <w:lang w:eastAsia="en-US"/>
        </w:rPr>
        <w:t>U izvještajnom razdoblju, sredstva namirenja na teret državnog proračuna u svrhu isplate poreza i prireza po godišnjoj pr</w:t>
      </w:r>
      <w:r w:rsidR="00BF349F" w:rsidRPr="003E5ED2">
        <w:rPr>
          <w:rFonts w:ascii="Arial" w:eastAsiaTheme="minorHAnsi" w:hAnsi="Arial" w:cs="Arial"/>
          <w:sz w:val="22"/>
          <w:szCs w:val="22"/>
          <w:lang w:eastAsia="en-US"/>
        </w:rPr>
        <w:t>ijavi za 2023</w:t>
      </w:r>
      <w:r w:rsidRPr="003E5ED2">
        <w:rPr>
          <w:rFonts w:ascii="Arial" w:eastAsiaTheme="minorHAnsi" w:hAnsi="Arial" w:cs="Arial"/>
          <w:sz w:val="22"/>
          <w:szCs w:val="22"/>
          <w:lang w:eastAsia="en-US"/>
        </w:rPr>
        <w:t xml:space="preserve">. godinu, u visini od </w:t>
      </w:r>
      <w:r w:rsidR="00935C3B" w:rsidRPr="003E5ED2">
        <w:rPr>
          <w:rFonts w:ascii="Arial" w:eastAsiaTheme="minorHAnsi" w:hAnsi="Arial" w:cs="Arial"/>
          <w:sz w:val="22"/>
          <w:szCs w:val="22"/>
          <w:lang w:eastAsia="en-US"/>
        </w:rPr>
        <w:t>4.494.192,14</w:t>
      </w:r>
      <w:r w:rsidRPr="003E5ED2">
        <w:rPr>
          <w:rFonts w:ascii="Arial" w:eastAsiaTheme="minorHAnsi" w:hAnsi="Arial" w:cs="Arial"/>
          <w:sz w:val="22"/>
          <w:szCs w:val="22"/>
          <w:lang w:eastAsia="en-US"/>
        </w:rPr>
        <w:t xml:space="preserve"> eura, evidentirana su u skladu s Uputom Ministarstva financija kao obveza za kratkoročni zajam i </w:t>
      </w:r>
      <w:r w:rsidR="00177C56" w:rsidRPr="003E5ED2">
        <w:rPr>
          <w:rFonts w:ascii="Arial" w:eastAsiaTheme="minorHAnsi" w:hAnsi="Arial" w:cs="Arial"/>
          <w:sz w:val="22"/>
          <w:szCs w:val="22"/>
          <w:lang w:eastAsia="en-US"/>
        </w:rPr>
        <w:t xml:space="preserve">u cijelosti </w:t>
      </w:r>
      <w:r w:rsidRPr="003E5ED2">
        <w:rPr>
          <w:rFonts w:ascii="Arial" w:eastAsiaTheme="minorHAnsi" w:hAnsi="Arial" w:cs="Arial"/>
          <w:sz w:val="22"/>
          <w:szCs w:val="22"/>
          <w:lang w:eastAsia="en-US"/>
        </w:rPr>
        <w:t>vraćena</w:t>
      </w:r>
      <w:r w:rsidR="001172A9" w:rsidRPr="003E5ED2">
        <w:rPr>
          <w:rFonts w:ascii="Arial" w:eastAsiaTheme="minorHAnsi" w:hAnsi="Arial" w:cs="Arial"/>
          <w:sz w:val="22"/>
          <w:szCs w:val="22"/>
          <w:lang w:eastAsia="en-US"/>
        </w:rPr>
        <w:t xml:space="preserve"> </w:t>
      </w:r>
      <w:r w:rsidR="00BF349F" w:rsidRPr="003E5ED2">
        <w:rPr>
          <w:rFonts w:ascii="Arial" w:eastAsiaTheme="minorHAnsi" w:hAnsi="Arial" w:cs="Arial"/>
          <w:sz w:val="22"/>
          <w:szCs w:val="22"/>
          <w:lang w:eastAsia="en-US"/>
        </w:rPr>
        <w:t>do kraja listopada 2024</w:t>
      </w:r>
      <w:r w:rsidR="001172A9" w:rsidRPr="003E5ED2">
        <w:rPr>
          <w:rFonts w:ascii="Arial" w:eastAsiaTheme="minorHAnsi" w:hAnsi="Arial" w:cs="Arial"/>
          <w:sz w:val="22"/>
          <w:szCs w:val="22"/>
          <w:lang w:eastAsia="en-US"/>
        </w:rPr>
        <w:t>. godine.</w:t>
      </w:r>
    </w:p>
    <w:p w:rsidR="00214034" w:rsidRPr="003E5ED2" w:rsidRDefault="00214034" w:rsidP="00CA5A9D">
      <w:pPr>
        <w:pStyle w:val="ListParagraph"/>
        <w:keepNext/>
        <w:ind w:left="360"/>
        <w:jc w:val="both"/>
        <w:outlineLvl w:val="3"/>
        <w:rPr>
          <w:rFonts w:ascii="Arial" w:hAnsi="Arial" w:cs="Arial"/>
          <w:sz w:val="22"/>
          <w:szCs w:val="22"/>
        </w:rPr>
      </w:pPr>
    </w:p>
    <w:p w:rsidR="00476A7F" w:rsidRPr="003E5ED2" w:rsidRDefault="00476A7F" w:rsidP="000E69DA">
      <w:pPr>
        <w:jc w:val="both"/>
        <w:rPr>
          <w:rFonts w:ascii="Arial" w:hAnsi="Arial" w:cs="Arial"/>
          <w:b/>
          <w:sz w:val="22"/>
          <w:szCs w:val="22"/>
        </w:rPr>
      </w:pPr>
    </w:p>
    <w:p w:rsidR="000E69DA" w:rsidRPr="003E5ED2" w:rsidRDefault="000E69DA" w:rsidP="000E69DA">
      <w:pPr>
        <w:jc w:val="both"/>
        <w:rPr>
          <w:rFonts w:ascii="Arial" w:hAnsi="Arial" w:cs="Arial"/>
          <w:sz w:val="22"/>
          <w:szCs w:val="22"/>
        </w:rPr>
      </w:pPr>
      <w:r w:rsidRPr="003E5ED2">
        <w:rPr>
          <w:rFonts w:ascii="Arial" w:hAnsi="Arial" w:cs="Arial"/>
          <w:b/>
          <w:sz w:val="22"/>
          <w:szCs w:val="22"/>
        </w:rPr>
        <w:t xml:space="preserve">Odgođeno plaćanje </w:t>
      </w:r>
      <w:r w:rsidR="004E4085" w:rsidRPr="003E5ED2">
        <w:rPr>
          <w:rFonts w:ascii="Arial" w:hAnsi="Arial" w:cs="Arial"/>
          <w:b/>
          <w:sz w:val="22"/>
          <w:szCs w:val="22"/>
        </w:rPr>
        <w:t xml:space="preserve">rashoda </w:t>
      </w:r>
      <w:r w:rsidRPr="003E5ED2">
        <w:rPr>
          <w:rFonts w:ascii="Arial" w:hAnsi="Arial" w:cs="Arial"/>
          <w:b/>
          <w:sz w:val="22"/>
          <w:szCs w:val="22"/>
        </w:rPr>
        <w:t>i pr</w:t>
      </w:r>
      <w:r w:rsidR="00CC787C" w:rsidRPr="003E5ED2">
        <w:rPr>
          <w:rFonts w:ascii="Arial" w:hAnsi="Arial" w:cs="Arial"/>
          <w:b/>
          <w:sz w:val="22"/>
          <w:szCs w:val="22"/>
        </w:rPr>
        <w:t>ihodi budućih razdoblja (</w:t>
      </w:r>
      <w:r w:rsidR="00BA1EFA" w:rsidRPr="003E5ED2">
        <w:rPr>
          <w:rFonts w:ascii="Arial" w:hAnsi="Arial" w:cs="Arial"/>
          <w:b/>
          <w:sz w:val="22"/>
          <w:szCs w:val="22"/>
        </w:rPr>
        <w:t>29</w:t>
      </w:r>
      <w:r w:rsidRPr="003E5ED2">
        <w:rPr>
          <w:rFonts w:ascii="Arial" w:hAnsi="Arial" w:cs="Arial"/>
          <w:b/>
          <w:sz w:val="22"/>
          <w:szCs w:val="22"/>
        </w:rPr>
        <w:t>)</w:t>
      </w:r>
      <w:r w:rsidRPr="003E5ED2">
        <w:rPr>
          <w:rFonts w:ascii="Arial" w:hAnsi="Arial" w:cs="Arial"/>
          <w:b/>
          <w:i/>
          <w:sz w:val="22"/>
          <w:szCs w:val="22"/>
        </w:rPr>
        <w:t xml:space="preserve"> </w:t>
      </w:r>
      <w:r w:rsidR="00A44502" w:rsidRPr="003E5ED2">
        <w:rPr>
          <w:rFonts w:ascii="Arial" w:hAnsi="Arial" w:cs="Arial"/>
          <w:sz w:val="22"/>
          <w:szCs w:val="22"/>
        </w:rPr>
        <w:t xml:space="preserve">iznose </w:t>
      </w:r>
      <w:r w:rsidR="00A142F5" w:rsidRPr="003E5ED2">
        <w:rPr>
          <w:rFonts w:ascii="Arial" w:hAnsi="Arial" w:cs="Arial"/>
          <w:sz w:val="22"/>
          <w:szCs w:val="22"/>
        </w:rPr>
        <w:t>64.391,94</w:t>
      </w:r>
      <w:r w:rsidR="00C47F74" w:rsidRPr="003E5ED2">
        <w:rPr>
          <w:rFonts w:ascii="Arial" w:hAnsi="Arial" w:cs="Arial"/>
          <w:sz w:val="22"/>
          <w:szCs w:val="22"/>
        </w:rPr>
        <w:t xml:space="preserve"> eura</w:t>
      </w:r>
      <w:r w:rsidRPr="003E5ED2">
        <w:rPr>
          <w:rFonts w:ascii="Arial" w:hAnsi="Arial" w:cs="Arial"/>
          <w:sz w:val="22"/>
          <w:szCs w:val="22"/>
        </w:rPr>
        <w:t xml:space="preserve"> i odnose se na obračunatu naknadu za uporabu javnih cesta koja se plaća pri registraciji vozila prema obračunu Županijske uprave za ceste PGŽ.</w:t>
      </w:r>
    </w:p>
    <w:p w:rsidR="00F030D7" w:rsidRPr="003E5ED2" w:rsidRDefault="00F030D7" w:rsidP="000E69DA">
      <w:pPr>
        <w:jc w:val="both"/>
        <w:rPr>
          <w:rFonts w:ascii="Arial" w:hAnsi="Arial" w:cs="Arial"/>
          <w:b/>
          <w:color w:val="1F3864" w:themeColor="accent5" w:themeShade="80"/>
          <w:sz w:val="22"/>
          <w:szCs w:val="22"/>
        </w:rPr>
      </w:pPr>
    </w:p>
    <w:p w:rsidR="00D41060" w:rsidRPr="003E5ED2" w:rsidRDefault="00D41060" w:rsidP="000E69DA">
      <w:pPr>
        <w:jc w:val="both"/>
        <w:rPr>
          <w:rFonts w:ascii="Arial" w:hAnsi="Arial" w:cs="Arial"/>
          <w:b/>
          <w:color w:val="1F3864" w:themeColor="accent5" w:themeShade="80"/>
          <w:sz w:val="22"/>
          <w:szCs w:val="22"/>
        </w:rPr>
      </w:pPr>
    </w:p>
    <w:p w:rsidR="00226890" w:rsidRPr="003E5ED2" w:rsidRDefault="00226890" w:rsidP="000E69DA">
      <w:pPr>
        <w:jc w:val="both"/>
        <w:rPr>
          <w:rFonts w:ascii="Arial" w:hAnsi="Arial" w:cs="Arial"/>
          <w:b/>
          <w:color w:val="1F3864" w:themeColor="accent5" w:themeShade="80"/>
          <w:sz w:val="24"/>
          <w:szCs w:val="24"/>
        </w:rPr>
      </w:pPr>
    </w:p>
    <w:p w:rsidR="000E69DA" w:rsidRPr="003E5ED2" w:rsidRDefault="00E808B1" w:rsidP="000E69DA">
      <w:pPr>
        <w:jc w:val="both"/>
        <w:rPr>
          <w:rFonts w:ascii="Arial" w:hAnsi="Arial" w:cs="Arial"/>
          <w:b/>
          <w:color w:val="1F3864" w:themeColor="accent5" w:themeShade="80"/>
          <w:sz w:val="24"/>
          <w:szCs w:val="24"/>
          <w:u w:val="single"/>
        </w:rPr>
      </w:pPr>
      <w:r w:rsidRPr="003E5ED2">
        <w:rPr>
          <w:rFonts w:ascii="Arial" w:hAnsi="Arial" w:cs="Arial"/>
          <w:b/>
          <w:color w:val="1F3864" w:themeColor="accent5" w:themeShade="80"/>
          <w:sz w:val="24"/>
          <w:szCs w:val="24"/>
        </w:rPr>
        <w:t>F i n a n c i j s k i   r</w:t>
      </w:r>
      <w:r w:rsidR="000E69DA" w:rsidRPr="003E5ED2">
        <w:rPr>
          <w:rFonts w:ascii="Arial" w:hAnsi="Arial" w:cs="Arial"/>
          <w:b/>
          <w:color w:val="1F3864" w:themeColor="accent5" w:themeShade="80"/>
          <w:sz w:val="24"/>
          <w:szCs w:val="24"/>
        </w:rPr>
        <w:t xml:space="preserve"> e z u l t a t   </w:t>
      </w:r>
      <w:r w:rsidR="00041BB6" w:rsidRPr="003E5ED2">
        <w:rPr>
          <w:rFonts w:ascii="Arial" w:hAnsi="Arial" w:cs="Arial"/>
          <w:b/>
          <w:color w:val="1F3864" w:themeColor="accent5" w:themeShade="80"/>
          <w:sz w:val="24"/>
          <w:szCs w:val="24"/>
        </w:rPr>
        <w:t xml:space="preserve"> </w:t>
      </w:r>
    </w:p>
    <w:p w:rsidR="00780348" w:rsidRPr="003E5ED2" w:rsidRDefault="00780348" w:rsidP="000E69DA">
      <w:pPr>
        <w:jc w:val="both"/>
        <w:rPr>
          <w:rFonts w:ascii="Arial" w:hAnsi="Arial" w:cs="Arial"/>
          <w:sz w:val="22"/>
          <w:szCs w:val="22"/>
          <w:highlight w:val="yellow"/>
        </w:rPr>
      </w:pPr>
    </w:p>
    <w:p w:rsidR="00226890" w:rsidRPr="003E5ED2" w:rsidRDefault="00226890" w:rsidP="000E69DA">
      <w:pPr>
        <w:jc w:val="both"/>
        <w:rPr>
          <w:rFonts w:ascii="Arial" w:hAnsi="Arial" w:cs="Arial"/>
          <w:sz w:val="22"/>
          <w:szCs w:val="22"/>
        </w:rPr>
      </w:pPr>
    </w:p>
    <w:p w:rsidR="00EF7CE9" w:rsidRPr="003E5ED2" w:rsidRDefault="00670995" w:rsidP="000E69DA">
      <w:pPr>
        <w:jc w:val="both"/>
        <w:rPr>
          <w:rFonts w:ascii="Arial" w:hAnsi="Arial" w:cs="Arial"/>
          <w:sz w:val="22"/>
          <w:szCs w:val="22"/>
        </w:rPr>
      </w:pPr>
      <w:r w:rsidRPr="003E5ED2">
        <w:rPr>
          <w:rFonts w:ascii="Arial" w:hAnsi="Arial" w:cs="Arial"/>
          <w:sz w:val="22"/>
          <w:szCs w:val="22"/>
        </w:rPr>
        <w:t>Višak prihoda i primitaka ras</w:t>
      </w:r>
      <w:r w:rsidR="00660E7C" w:rsidRPr="003E5ED2">
        <w:rPr>
          <w:rFonts w:ascii="Arial" w:hAnsi="Arial" w:cs="Arial"/>
          <w:sz w:val="22"/>
          <w:szCs w:val="22"/>
        </w:rPr>
        <w:t xml:space="preserve">položiv 1. siječnja </w:t>
      </w:r>
      <w:r w:rsidR="000A1DE6" w:rsidRPr="003E5ED2">
        <w:rPr>
          <w:rFonts w:ascii="Arial" w:hAnsi="Arial" w:cs="Arial"/>
          <w:sz w:val="22"/>
          <w:szCs w:val="22"/>
        </w:rPr>
        <w:t>2024. godine</w:t>
      </w:r>
      <w:r w:rsidRPr="003E5ED2">
        <w:rPr>
          <w:rFonts w:ascii="Arial" w:hAnsi="Arial" w:cs="Arial"/>
          <w:sz w:val="22"/>
          <w:szCs w:val="22"/>
        </w:rPr>
        <w:t xml:space="preserve"> iznosio je 17.152.493,09 eura</w:t>
      </w:r>
      <w:r w:rsidR="006C3405" w:rsidRPr="003E5ED2">
        <w:rPr>
          <w:rFonts w:ascii="Arial" w:hAnsi="Arial" w:cs="Arial"/>
          <w:sz w:val="22"/>
          <w:szCs w:val="22"/>
        </w:rPr>
        <w:t>.</w:t>
      </w:r>
      <w:r w:rsidR="00A57A61" w:rsidRPr="003E5ED2">
        <w:rPr>
          <w:rFonts w:ascii="Arial" w:hAnsi="Arial" w:cs="Arial"/>
          <w:sz w:val="22"/>
          <w:szCs w:val="22"/>
        </w:rPr>
        <w:t xml:space="preserve"> </w:t>
      </w:r>
    </w:p>
    <w:p w:rsidR="00560E5B" w:rsidRPr="003E5ED2" w:rsidRDefault="006C3405" w:rsidP="000E69DA">
      <w:pPr>
        <w:jc w:val="both"/>
        <w:rPr>
          <w:rFonts w:ascii="Arial" w:hAnsi="Arial" w:cs="Arial"/>
          <w:b/>
          <w:sz w:val="22"/>
          <w:szCs w:val="22"/>
        </w:rPr>
      </w:pPr>
      <w:r w:rsidRPr="003E5ED2">
        <w:rPr>
          <w:rFonts w:ascii="Arial" w:hAnsi="Arial" w:cs="Arial"/>
          <w:sz w:val="22"/>
          <w:szCs w:val="22"/>
        </w:rPr>
        <w:t xml:space="preserve">U </w:t>
      </w:r>
      <w:r w:rsidR="00AB7103" w:rsidRPr="003E5ED2">
        <w:rPr>
          <w:rFonts w:ascii="Arial" w:hAnsi="Arial" w:cs="Arial"/>
          <w:sz w:val="22"/>
          <w:szCs w:val="22"/>
        </w:rPr>
        <w:t>Obrascu PR-RAS</w:t>
      </w:r>
      <w:r w:rsidR="006F614D" w:rsidRPr="003E5ED2">
        <w:rPr>
          <w:rFonts w:ascii="Arial" w:hAnsi="Arial" w:cs="Arial"/>
          <w:sz w:val="22"/>
          <w:szCs w:val="22"/>
        </w:rPr>
        <w:t xml:space="preserve"> </w:t>
      </w:r>
      <w:r w:rsidR="004E5517" w:rsidRPr="003E5ED2">
        <w:rPr>
          <w:rFonts w:ascii="Arial" w:hAnsi="Arial" w:cs="Arial"/>
          <w:sz w:val="22"/>
          <w:szCs w:val="22"/>
        </w:rPr>
        <w:t xml:space="preserve">je </w:t>
      </w:r>
      <w:r w:rsidR="006F614D" w:rsidRPr="003E5ED2">
        <w:rPr>
          <w:rFonts w:ascii="Arial" w:hAnsi="Arial" w:cs="Arial"/>
          <w:sz w:val="22"/>
          <w:szCs w:val="22"/>
        </w:rPr>
        <w:t>preneseni višak</w:t>
      </w:r>
      <w:r w:rsidRPr="003E5ED2">
        <w:rPr>
          <w:rFonts w:ascii="Arial" w:hAnsi="Arial" w:cs="Arial"/>
          <w:sz w:val="22"/>
          <w:szCs w:val="22"/>
        </w:rPr>
        <w:t xml:space="preserve"> </w:t>
      </w:r>
      <w:r w:rsidR="00686EDB" w:rsidRPr="003E5ED2">
        <w:rPr>
          <w:rFonts w:ascii="Arial" w:hAnsi="Arial" w:cs="Arial"/>
          <w:sz w:val="22"/>
          <w:szCs w:val="22"/>
        </w:rPr>
        <w:t xml:space="preserve">prihoda poslovanja </w:t>
      </w:r>
      <w:r w:rsidR="00A57A61" w:rsidRPr="003E5ED2">
        <w:rPr>
          <w:rFonts w:ascii="Arial" w:hAnsi="Arial" w:cs="Arial"/>
          <w:sz w:val="22"/>
          <w:szCs w:val="22"/>
        </w:rPr>
        <w:t xml:space="preserve">uvećan </w:t>
      </w:r>
      <w:r w:rsidR="00AB7103" w:rsidRPr="003E5ED2">
        <w:rPr>
          <w:rFonts w:ascii="Arial" w:hAnsi="Arial" w:cs="Arial"/>
          <w:sz w:val="22"/>
          <w:szCs w:val="22"/>
        </w:rPr>
        <w:t xml:space="preserve">za </w:t>
      </w:r>
      <w:r w:rsidR="00A57A61" w:rsidRPr="003E5ED2">
        <w:rPr>
          <w:rFonts w:ascii="Arial" w:hAnsi="Arial" w:cs="Arial"/>
          <w:sz w:val="22"/>
          <w:szCs w:val="22"/>
        </w:rPr>
        <w:t>15.</w:t>
      </w:r>
      <w:r w:rsidR="00AF4DDB" w:rsidRPr="003E5ED2">
        <w:rPr>
          <w:rFonts w:ascii="Arial" w:hAnsi="Arial" w:cs="Arial"/>
          <w:sz w:val="22"/>
          <w:szCs w:val="22"/>
        </w:rPr>
        <w:t xml:space="preserve">060,15 eura </w:t>
      </w:r>
      <w:r w:rsidR="00686EDB" w:rsidRPr="003E5ED2">
        <w:rPr>
          <w:rFonts w:ascii="Arial" w:hAnsi="Arial" w:cs="Arial"/>
          <w:sz w:val="22"/>
          <w:szCs w:val="22"/>
        </w:rPr>
        <w:t>zbog</w:t>
      </w:r>
      <w:r w:rsidR="006F614D" w:rsidRPr="003E5ED2">
        <w:rPr>
          <w:rFonts w:ascii="Arial" w:hAnsi="Arial" w:cs="Arial"/>
          <w:sz w:val="22"/>
          <w:szCs w:val="22"/>
        </w:rPr>
        <w:t xml:space="preserve"> proveden</w:t>
      </w:r>
      <w:r w:rsidR="00686EDB" w:rsidRPr="003E5ED2">
        <w:rPr>
          <w:rFonts w:ascii="Arial" w:hAnsi="Arial" w:cs="Arial"/>
          <w:sz w:val="22"/>
          <w:szCs w:val="22"/>
        </w:rPr>
        <w:t xml:space="preserve">ih </w:t>
      </w:r>
      <w:r w:rsidR="0052323A" w:rsidRPr="003E5ED2">
        <w:rPr>
          <w:rFonts w:ascii="Arial" w:hAnsi="Arial" w:cs="Arial"/>
          <w:sz w:val="22"/>
          <w:szCs w:val="22"/>
        </w:rPr>
        <w:t>korekcija rezultata prilikom otpisa obveza iz prethodnih godina</w:t>
      </w:r>
      <w:r w:rsidR="00AA1D56" w:rsidRPr="003E5ED2">
        <w:rPr>
          <w:rFonts w:ascii="Arial" w:hAnsi="Arial" w:cs="Arial"/>
          <w:sz w:val="22"/>
          <w:szCs w:val="22"/>
        </w:rPr>
        <w:t xml:space="preserve">. </w:t>
      </w:r>
      <w:r w:rsidR="00AA1D56" w:rsidRPr="003E5ED2">
        <w:rPr>
          <w:rFonts w:ascii="Arial" w:hAnsi="Arial" w:cs="Arial"/>
          <w:color w:val="000000"/>
          <w:sz w:val="22"/>
          <w:szCs w:val="22"/>
        </w:rPr>
        <w:t>Više opisano uz Bilješku broj 18</w:t>
      </w:r>
      <w:r w:rsidR="009D0986" w:rsidRPr="003E5ED2">
        <w:rPr>
          <w:rFonts w:ascii="Arial" w:hAnsi="Arial" w:cs="Arial"/>
          <w:color w:val="000000"/>
          <w:sz w:val="22"/>
          <w:szCs w:val="22"/>
        </w:rPr>
        <w:t xml:space="preserve"> </w:t>
      </w:r>
      <w:r w:rsidR="002125E9" w:rsidRPr="003E5ED2">
        <w:rPr>
          <w:rFonts w:ascii="Arial" w:hAnsi="Arial" w:cs="Arial"/>
          <w:color w:val="000000"/>
          <w:sz w:val="22"/>
          <w:szCs w:val="22"/>
        </w:rPr>
        <w:t>Višak prihoda i primitaka – preneseni.</w:t>
      </w:r>
    </w:p>
    <w:p w:rsidR="00AD724E" w:rsidRPr="003E5ED2" w:rsidRDefault="00AD724E" w:rsidP="000E69DA">
      <w:pPr>
        <w:jc w:val="both"/>
        <w:rPr>
          <w:rFonts w:ascii="Arial" w:hAnsi="Arial" w:cs="Arial"/>
          <w:b/>
          <w:sz w:val="22"/>
          <w:szCs w:val="22"/>
        </w:rPr>
      </w:pPr>
    </w:p>
    <w:p w:rsidR="005B6B71" w:rsidRPr="003E5ED2" w:rsidRDefault="006B145F" w:rsidP="005B6B71">
      <w:pPr>
        <w:jc w:val="both"/>
        <w:rPr>
          <w:rFonts w:ascii="Arial" w:hAnsi="Arial" w:cs="Arial"/>
          <w:sz w:val="22"/>
          <w:szCs w:val="22"/>
        </w:rPr>
      </w:pPr>
      <w:r w:rsidRPr="003E5ED2">
        <w:rPr>
          <w:rFonts w:ascii="Arial" w:hAnsi="Arial" w:cs="Arial"/>
          <w:b/>
          <w:sz w:val="22"/>
          <w:szCs w:val="22"/>
        </w:rPr>
        <w:t xml:space="preserve">Bilješka broj 5 - </w:t>
      </w:r>
      <w:r w:rsidR="000E69DA" w:rsidRPr="003E5ED2">
        <w:rPr>
          <w:rFonts w:ascii="Arial" w:hAnsi="Arial" w:cs="Arial"/>
          <w:sz w:val="22"/>
          <w:szCs w:val="22"/>
        </w:rPr>
        <w:t xml:space="preserve">U izvještajnom razdoblju ostvaren je tekući višak prihoda </w:t>
      </w:r>
      <w:r w:rsidR="00AB7103" w:rsidRPr="003E5ED2">
        <w:rPr>
          <w:rFonts w:ascii="Arial" w:hAnsi="Arial" w:cs="Arial"/>
          <w:sz w:val="22"/>
          <w:szCs w:val="22"/>
        </w:rPr>
        <w:t xml:space="preserve">i primitaka </w:t>
      </w:r>
      <w:r w:rsidR="000E69DA" w:rsidRPr="003E5ED2">
        <w:rPr>
          <w:rFonts w:ascii="Arial" w:hAnsi="Arial" w:cs="Arial"/>
          <w:sz w:val="22"/>
          <w:szCs w:val="22"/>
        </w:rPr>
        <w:t xml:space="preserve">u iznosu od </w:t>
      </w:r>
      <w:r w:rsidR="00670995" w:rsidRPr="003E5ED2">
        <w:rPr>
          <w:rFonts w:ascii="Arial" w:hAnsi="Arial" w:cs="Arial"/>
          <w:sz w:val="22"/>
          <w:szCs w:val="22"/>
        </w:rPr>
        <w:t xml:space="preserve">11.403.816,55 </w:t>
      </w:r>
      <w:r w:rsidR="00EF3A8B" w:rsidRPr="003E5ED2">
        <w:rPr>
          <w:rFonts w:ascii="Arial" w:hAnsi="Arial" w:cs="Arial"/>
          <w:sz w:val="22"/>
          <w:szCs w:val="22"/>
        </w:rPr>
        <w:t>eura</w:t>
      </w:r>
      <w:r w:rsidR="000E69DA" w:rsidRPr="003E5ED2">
        <w:rPr>
          <w:rFonts w:ascii="Arial" w:hAnsi="Arial" w:cs="Arial"/>
          <w:sz w:val="22"/>
          <w:szCs w:val="22"/>
        </w:rPr>
        <w:t>, proizašao iz:</w:t>
      </w:r>
    </w:p>
    <w:p w:rsidR="005B6B71" w:rsidRPr="003E5ED2" w:rsidRDefault="005B6B71" w:rsidP="005B6B71">
      <w:pPr>
        <w:jc w:val="both"/>
        <w:rPr>
          <w:rFonts w:ascii="Arial" w:hAnsi="Arial" w:cs="Arial"/>
          <w:sz w:val="22"/>
          <w:szCs w:val="22"/>
        </w:rPr>
      </w:pPr>
    </w:p>
    <w:p w:rsidR="005B6B71" w:rsidRPr="003E5ED2" w:rsidRDefault="000E69DA" w:rsidP="005B6B71">
      <w:pPr>
        <w:pStyle w:val="ListParagraph"/>
        <w:numPr>
          <w:ilvl w:val="0"/>
          <w:numId w:val="28"/>
        </w:numPr>
        <w:jc w:val="both"/>
        <w:rPr>
          <w:rFonts w:ascii="Arial" w:hAnsi="Arial" w:cs="Arial"/>
          <w:sz w:val="22"/>
          <w:szCs w:val="22"/>
        </w:rPr>
      </w:pPr>
      <w:r w:rsidRPr="003E5ED2">
        <w:rPr>
          <w:rFonts w:ascii="Arial" w:hAnsi="Arial" w:cs="Arial"/>
          <w:sz w:val="22"/>
          <w:szCs w:val="22"/>
        </w:rPr>
        <w:t>višk</w:t>
      </w:r>
      <w:r w:rsidR="00DE08FB" w:rsidRPr="003E5ED2">
        <w:rPr>
          <w:rFonts w:ascii="Arial" w:hAnsi="Arial" w:cs="Arial"/>
          <w:sz w:val="22"/>
          <w:szCs w:val="22"/>
        </w:rPr>
        <w:t>a prihoda poslovanja (</w:t>
      </w:r>
      <w:r w:rsidR="00BA1EFA" w:rsidRPr="003E5ED2">
        <w:rPr>
          <w:rFonts w:ascii="Arial" w:hAnsi="Arial" w:cs="Arial"/>
          <w:sz w:val="22"/>
          <w:szCs w:val="22"/>
        </w:rPr>
        <w:t>X001</w:t>
      </w:r>
      <w:r w:rsidR="00B81236" w:rsidRPr="003E5ED2">
        <w:rPr>
          <w:rFonts w:ascii="Arial" w:hAnsi="Arial" w:cs="Arial"/>
          <w:sz w:val="22"/>
          <w:szCs w:val="22"/>
        </w:rPr>
        <w:t xml:space="preserve"> PR-RAS</w:t>
      </w:r>
      <w:r w:rsidR="005B6B71" w:rsidRPr="003E5ED2">
        <w:rPr>
          <w:rFonts w:ascii="Arial" w:hAnsi="Arial" w:cs="Arial"/>
          <w:sz w:val="22"/>
          <w:szCs w:val="22"/>
        </w:rPr>
        <w:t>)</w:t>
      </w:r>
      <w:r w:rsidR="005B6B71" w:rsidRPr="003E5ED2">
        <w:rPr>
          <w:rFonts w:ascii="Arial" w:hAnsi="Arial" w:cs="Arial"/>
          <w:sz w:val="22"/>
          <w:szCs w:val="22"/>
        </w:rPr>
        <w:tab/>
      </w:r>
      <w:r w:rsidR="005B6B71" w:rsidRPr="003E5ED2">
        <w:rPr>
          <w:rFonts w:ascii="Arial" w:hAnsi="Arial" w:cs="Arial"/>
          <w:sz w:val="22"/>
          <w:szCs w:val="22"/>
        </w:rPr>
        <w:tab/>
      </w:r>
      <w:r w:rsidR="005B6B71" w:rsidRPr="003E5ED2">
        <w:rPr>
          <w:rFonts w:ascii="Arial" w:hAnsi="Arial" w:cs="Arial"/>
          <w:sz w:val="22"/>
          <w:szCs w:val="22"/>
        </w:rPr>
        <w:tab/>
      </w:r>
      <w:r w:rsidR="005B6B71" w:rsidRPr="003E5ED2">
        <w:rPr>
          <w:rFonts w:ascii="Arial" w:hAnsi="Arial" w:cs="Arial"/>
          <w:sz w:val="22"/>
          <w:szCs w:val="22"/>
        </w:rPr>
        <w:tab/>
      </w:r>
      <w:r w:rsidR="004C35B7" w:rsidRPr="003E5ED2">
        <w:rPr>
          <w:rFonts w:ascii="Arial" w:hAnsi="Arial" w:cs="Arial"/>
          <w:sz w:val="22"/>
          <w:szCs w:val="22"/>
        </w:rPr>
        <w:t xml:space="preserve"> </w:t>
      </w:r>
      <w:r w:rsidR="00670995" w:rsidRPr="003E5ED2">
        <w:rPr>
          <w:rFonts w:ascii="Arial" w:hAnsi="Arial" w:cs="Arial"/>
          <w:sz w:val="22"/>
          <w:szCs w:val="22"/>
        </w:rPr>
        <w:t>23.383.784,59</w:t>
      </w:r>
      <w:r w:rsidR="00EF3A8B" w:rsidRPr="003E5ED2">
        <w:rPr>
          <w:rFonts w:ascii="Arial" w:hAnsi="Arial" w:cs="Arial"/>
          <w:sz w:val="22"/>
          <w:szCs w:val="22"/>
        </w:rPr>
        <w:t xml:space="preserve"> eura</w:t>
      </w:r>
    </w:p>
    <w:p w:rsidR="005B6B71" w:rsidRPr="003E5ED2" w:rsidRDefault="000E69DA" w:rsidP="005B6B71">
      <w:pPr>
        <w:pStyle w:val="ListParagraph"/>
        <w:numPr>
          <w:ilvl w:val="0"/>
          <w:numId w:val="28"/>
        </w:numPr>
        <w:jc w:val="both"/>
        <w:rPr>
          <w:rFonts w:ascii="Arial" w:hAnsi="Arial" w:cs="Arial"/>
          <w:sz w:val="22"/>
          <w:szCs w:val="22"/>
        </w:rPr>
      </w:pPr>
      <w:r w:rsidRPr="003E5ED2">
        <w:rPr>
          <w:rFonts w:ascii="Arial" w:hAnsi="Arial" w:cs="Arial"/>
          <w:sz w:val="22"/>
          <w:szCs w:val="22"/>
        </w:rPr>
        <w:t>manjka prihoda od nefinancij</w:t>
      </w:r>
      <w:r w:rsidR="00133588" w:rsidRPr="003E5ED2">
        <w:rPr>
          <w:rFonts w:ascii="Arial" w:hAnsi="Arial" w:cs="Arial"/>
          <w:sz w:val="22"/>
          <w:szCs w:val="22"/>
        </w:rPr>
        <w:t>ske imovine (</w:t>
      </w:r>
      <w:r w:rsidR="00B81236" w:rsidRPr="003E5ED2">
        <w:rPr>
          <w:rFonts w:ascii="Arial" w:hAnsi="Arial" w:cs="Arial"/>
          <w:sz w:val="22"/>
          <w:szCs w:val="22"/>
        </w:rPr>
        <w:t>Y002</w:t>
      </w:r>
      <w:r w:rsidR="00D003BB" w:rsidRPr="003E5ED2">
        <w:rPr>
          <w:rFonts w:ascii="Arial" w:hAnsi="Arial" w:cs="Arial"/>
          <w:sz w:val="22"/>
          <w:szCs w:val="22"/>
        </w:rPr>
        <w:t xml:space="preserve"> PR-RAS)</w:t>
      </w:r>
      <w:r w:rsidR="00D003BB" w:rsidRPr="003E5ED2">
        <w:rPr>
          <w:rFonts w:ascii="Arial" w:hAnsi="Arial" w:cs="Arial"/>
          <w:sz w:val="22"/>
          <w:szCs w:val="22"/>
        </w:rPr>
        <w:tab/>
        <w:t xml:space="preserve">           </w:t>
      </w:r>
      <w:r w:rsidR="004C35B7" w:rsidRPr="003E5ED2">
        <w:rPr>
          <w:rFonts w:ascii="Arial" w:hAnsi="Arial" w:cs="Arial"/>
          <w:sz w:val="22"/>
          <w:szCs w:val="22"/>
        </w:rPr>
        <w:t xml:space="preserve"> </w:t>
      </w:r>
      <w:r w:rsidR="00EF3A8B" w:rsidRPr="003E5ED2">
        <w:rPr>
          <w:rFonts w:ascii="Arial" w:hAnsi="Arial" w:cs="Arial"/>
          <w:sz w:val="22"/>
          <w:szCs w:val="22"/>
        </w:rPr>
        <w:t>-</w:t>
      </w:r>
      <w:r w:rsidR="00670995" w:rsidRPr="003E5ED2">
        <w:rPr>
          <w:rFonts w:ascii="Arial" w:hAnsi="Arial" w:cs="Arial"/>
          <w:sz w:val="22"/>
          <w:szCs w:val="22"/>
        </w:rPr>
        <w:t xml:space="preserve">  8.657.824,79</w:t>
      </w:r>
      <w:r w:rsidR="00EF3A8B" w:rsidRPr="003E5ED2">
        <w:rPr>
          <w:rFonts w:ascii="Arial" w:hAnsi="Arial" w:cs="Arial"/>
          <w:sz w:val="22"/>
          <w:szCs w:val="22"/>
        </w:rPr>
        <w:t xml:space="preserve"> eura</w:t>
      </w:r>
    </w:p>
    <w:p w:rsidR="000E69DA" w:rsidRPr="003E5ED2" w:rsidRDefault="00670995" w:rsidP="005B6B71">
      <w:pPr>
        <w:pStyle w:val="ListParagraph"/>
        <w:numPr>
          <w:ilvl w:val="0"/>
          <w:numId w:val="28"/>
        </w:numPr>
        <w:jc w:val="both"/>
        <w:rPr>
          <w:rFonts w:ascii="Arial" w:hAnsi="Arial" w:cs="Arial"/>
          <w:sz w:val="22"/>
          <w:szCs w:val="22"/>
        </w:rPr>
      </w:pPr>
      <w:r w:rsidRPr="003E5ED2">
        <w:rPr>
          <w:rFonts w:ascii="Arial" w:hAnsi="Arial" w:cs="Arial"/>
          <w:sz w:val="22"/>
          <w:szCs w:val="22"/>
        </w:rPr>
        <w:t>manjka</w:t>
      </w:r>
      <w:r w:rsidR="000E69DA" w:rsidRPr="003E5ED2">
        <w:rPr>
          <w:rFonts w:ascii="Arial" w:hAnsi="Arial" w:cs="Arial"/>
          <w:sz w:val="22"/>
          <w:szCs w:val="22"/>
        </w:rPr>
        <w:t xml:space="preserve"> primitaka od financijske imovine </w:t>
      </w:r>
      <w:r w:rsidR="00DE08FB" w:rsidRPr="003E5ED2">
        <w:rPr>
          <w:rFonts w:ascii="Arial" w:hAnsi="Arial" w:cs="Arial"/>
          <w:sz w:val="22"/>
          <w:szCs w:val="22"/>
        </w:rPr>
        <w:t>(</w:t>
      </w:r>
      <w:r w:rsidR="00871F7C" w:rsidRPr="003E5ED2">
        <w:rPr>
          <w:rFonts w:ascii="Arial" w:hAnsi="Arial" w:cs="Arial"/>
          <w:sz w:val="22"/>
          <w:szCs w:val="22"/>
        </w:rPr>
        <w:t>Y</w:t>
      </w:r>
      <w:r w:rsidR="00B81236" w:rsidRPr="003E5ED2">
        <w:rPr>
          <w:rFonts w:ascii="Arial" w:hAnsi="Arial" w:cs="Arial"/>
          <w:sz w:val="22"/>
          <w:szCs w:val="22"/>
        </w:rPr>
        <w:t>003</w:t>
      </w:r>
      <w:r w:rsidR="00F2701A" w:rsidRPr="003E5ED2">
        <w:rPr>
          <w:rFonts w:ascii="Arial" w:hAnsi="Arial" w:cs="Arial"/>
          <w:sz w:val="22"/>
          <w:szCs w:val="22"/>
        </w:rPr>
        <w:t xml:space="preserve"> PR-RAS)</w:t>
      </w:r>
      <w:r w:rsidR="00F2701A" w:rsidRPr="003E5ED2">
        <w:rPr>
          <w:rFonts w:ascii="Arial" w:hAnsi="Arial" w:cs="Arial"/>
          <w:sz w:val="22"/>
          <w:szCs w:val="22"/>
        </w:rPr>
        <w:tab/>
      </w:r>
      <w:r w:rsidR="00F2701A" w:rsidRPr="003E5ED2">
        <w:rPr>
          <w:rFonts w:ascii="Arial" w:hAnsi="Arial" w:cs="Arial"/>
          <w:sz w:val="22"/>
          <w:szCs w:val="22"/>
        </w:rPr>
        <w:tab/>
      </w:r>
      <w:r w:rsidR="00871F7C" w:rsidRPr="003E5ED2">
        <w:rPr>
          <w:rFonts w:ascii="Arial" w:hAnsi="Arial" w:cs="Arial"/>
          <w:sz w:val="22"/>
          <w:szCs w:val="22"/>
        </w:rPr>
        <w:t>-  3.322.143,25</w:t>
      </w:r>
      <w:r w:rsidR="00592B50" w:rsidRPr="003E5ED2">
        <w:rPr>
          <w:rFonts w:ascii="Arial" w:hAnsi="Arial" w:cs="Arial"/>
          <w:sz w:val="22"/>
          <w:szCs w:val="22"/>
        </w:rPr>
        <w:t xml:space="preserve"> eura</w:t>
      </w:r>
    </w:p>
    <w:p w:rsidR="000E69DA" w:rsidRPr="003E5ED2" w:rsidRDefault="000E69DA" w:rsidP="005B6B71">
      <w:pPr>
        <w:jc w:val="both"/>
        <w:rPr>
          <w:rFonts w:ascii="Arial" w:hAnsi="Arial" w:cs="Arial"/>
          <w:sz w:val="22"/>
          <w:szCs w:val="22"/>
          <w:highlight w:val="yellow"/>
        </w:rPr>
      </w:pPr>
    </w:p>
    <w:p w:rsidR="000E69DA" w:rsidRPr="003E5ED2" w:rsidRDefault="000E69DA" w:rsidP="000E69DA">
      <w:pPr>
        <w:jc w:val="both"/>
        <w:rPr>
          <w:rFonts w:ascii="Arial" w:hAnsi="Arial" w:cs="Arial"/>
          <w:sz w:val="22"/>
          <w:szCs w:val="22"/>
        </w:rPr>
      </w:pPr>
      <w:r w:rsidRPr="003E5ED2">
        <w:rPr>
          <w:rFonts w:ascii="Arial" w:hAnsi="Arial" w:cs="Arial"/>
          <w:sz w:val="22"/>
          <w:szCs w:val="22"/>
        </w:rPr>
        <w:t xml:space="preserve">Utvrđeni viškovi i manjkovi </w:t>
      </w:r>
      <w:r w:rsidR="00650ABB" w:rsidRPr="003E5ED2">
        <w:rPr>
          <w:rFonts w:ascii="Arial" w:hAnsi="Arial" w:cs="Arial"/>
          <w:sz w:val="22"/>
          <w:szCs w:val="22"/>
        </w:rPr>
        <w:t>(</w:t>
      </w:r>
      <w:r w:rsidR="00634DD7" w:rsidRPr="003E5ED2">
        <w:rPr>
          <w:rFonts w:ascii="Arial" w:hAnsi="Arial" w:cs="Arial"/>
          <w:sz w:val="22"/>
          <w:szCs w:val="22"/>
        </w:rPr>
        <w:t xml:space="preserve">ukupno </w:t>
      </w:r>
      <w:r w:rsidRPr="003E5ED2">
        <w:rPr>
          <w:rFonts w:ascii="Arial" w:hAnsi="Arial" w:cs="Arial"/>
          <w:sz w:val="22"/>
          <w:szCs w:val="22"/>
        </w:rPr>
        <w:t>prenesen</w:t>
      </w:r>
      <w:r w:rsidR="00650ABB" w:rsidRPr="003E5ED2">
        <w:rPr>
          <w:rFonts w:ascii="Arial" w:hAnsi="Arial" w:cs="Arial"/>
          <w:sz w:val="22"/>
          <w:szCs w:val="22"/>
        </w:rPr>
        <w:t>i i tekući)</w:t>
      </w:r>
      <w:r w:rsidRPr="003E5ED2">
        <w:rPr>
          <w:rFonts w:ascii="Arial" w:hAnsi="Arial" w:cs="Arial"/>
          <w:sz w:val="22"/>
          <w:szCs w:val="22"/>
        </w:rPr>
        <w:t xml:space="preserve"> naknadno se prebijaju po istovrsnim kategorijama </w:t>
      </w:r>
      <w:r w:rsidR="00F21144" w:rsidRPr="003E5ED2">
        <w:rPr>
          <w:rFonts w:ascii="Arial" w:hAnsi="Arial" w:cs="Arial"/>
          <w:sz w:val="22"/>
          <w:szCs w:val="22"/>
        </w:rPr>
        <w:t xml:space="preserve">aktivnosti </w:t>
      </w:r>
      <w:r w:rsidRPr="003E5ED2">
        <w:rPr>
          <w:rFonts w:ascii="Arial" w:hAnsi="Arial" w:cs="Arial"/>
          <w:sz w:val="22"/>
          <w:szCs w:val="22"/>
        </w:rPr>
        <w:t xml:space="preserve">i korigiraju u skladu s člankom </w:t>
      </w:r>
      <w:r w:rsidR="001427C8" w:rsidRPr="003E5ED2">
        <w:rPr>
          <w:rFonts w:ascii="Arial" w:hAnsi="Arial" w:cs="Arial"/>
          <w:sz w:val="22"/>
          <w:szCs w:val="22"/>
        </w:rPr>
        <w:t>215.</w:t>
      </w:r>
      <w:r w:rsidRPr="003E5ED2">
        <w:rPr>
          <w:rFonts w:ascii="Arial" w:hAnsi="Arial" w:cs="Arial"/>
          <w:sz w:val="22"/>
          <w:szCs w:val="22"/>
        </w:rPr>
        <w:t xml:space="preserve"> Pravilnika o proračunskom računovodstvu i računskom planu</w:t>
      </w:r>
      <w:r w:rsidR="00F030D7" w:rsidRPr="003E5ED2">
        <w:rPr>
          <w:rFonts w:ascii="Arial" w:hAnsi="Arial" w:cs="Arial"/>
          <w:sz w:val="22"/>
          <w:szCs w:val="22"/>
        </w:rPr>
        <w:t>.</w:t>
      </w:r>
      <w:r w:rsidRPr="003E5ED2">
        <w:rPr>
          <w:rFonts w:ascii="Arial" w:hAnsi="Arial" w:cs="Arial"/>
          <w:sz w:val="22"/>
          <w:szCs w:val="22"/>
        </w:rPr>
        <w:t xml:space="preserve"> </w:t>
      </w:r>
    </w:p>
    <w:p w:rsidR="00A6737D" w:rsidRPr="003E5ED2" w:rsidRDefault="00A6737D" w:rsidP="000E69DA">
      <w:pPr>
        <w:jc w:val="both"/>
        <w:rPr>
          <w:rFonts w:ascii="Arial" w:hAnsi="Arial" w:cs="Arial"/>
          <w:sz w:val="22"/>
          <w:szCs w:val="22"/>
          <w:highlight w:val="yellow"/>
        </w:rPr>
      </w:pPr>
    </w:p>
    <w:p w:rsidR="00A4372B" w:rsidRPr="003E5ED2" w:rsidRDefault="000E69DA" w:rsidP="00A4372B">
      <w:pPr>
        <w:jc w:val="both"/>
        <w:rPr>
          <w:rFonts w:ascii="Arial" w:hAnsi="Arial" w:cs="Arial"/>
          <w:sz w:val="22"/>
          <w:szCs w:val="22"/>
        </w:rPr>
      </w:pPr>
      <w:r w:rsidRPr="003E5ED2">
        <w:rPr>
          <w:rFonts w:ascii="Arial" w:hAnsi="Arial" w:cs="Arial"/>
          <w:sz w:val="22"/>
          <w:szCs w:val="22"/>
        </w:rPr>
        <w:t xml:space="preserve">Na kraju </w:t>
      </w:r>
      <w:r w:rsidR="00871F7C" w:rsidRPr="003E5ED2">
        <w:rPr>
          <w:rFonts w:ascii="Arial" w:hAnsi="Arial" w:cs="Arial"/>
          <w:sz w:val="22"/>
          <w:szCs w:val="22"/>
        </w:rPr>
        <w:t>izvještajne 2024</w:t>
      </w:r>
      <w:r w:rsidR="003D2474" w:rsidRPr="003E5ED2">
        <w:rPr>
          <w:rFonts w:ascii="Arial" w:hAnsi="Arial" w:cs="Arial"/>
          <w:sz w:val="22"/>
          <w:szCs w:val="22"/>
        </w:rPr>
        <w:t>.</w:t>
      </w:r>
      <w:r w:rsidR="003E158C" w:rsidRPr="003E5ED2">
        <w:rPr>
          <w:rFonts w:ascii="Arial" w:hAnsi="Arial" w:cs="Arial"/>
          <w:sz w:val="22"/>
          <w:szCs w:val="22"/>
        </w:rPr>
        <w:t xml:space="preserve"> godine utvrđen je višak</w:t>
      </w:r>
      <w:r w:rsidRPr="003E5ED2">
        <w:rPr>
          <w:rFonts w:ascii="Arial" w:hAnsi="Arial" w:cs="Arial"/>
          <w:sz w:val="22"/>
          <w:szCs w:val="22"/>
        </w:rPr>
        <w:t xml:space="preserve"> prihoda</w:t>
      </w:r>
      <w:r w:rsidR="0085300D" w:rsidRPr="003E5ED2">
        <w:rPr>
          <w:rFonts w:ascii="Arial" w:hAnsi="Arial" w:cs="Arial"/>
          <w:sz w:val="22"/>
          <w:szCs w:val="22"/>
        </w:rPr>
        <w:t xml:space="preserve"> i primitaka</w:t>
      </w:r>
      <w:r w:rsidRPr="003E5ED2">
        <w:rPr>
          <w:rFonts w:ascii="Arial" w:hAnsi="Arial" w:cs="Arial"/>
          <w:sz w:val="22"/>
          <w:szCs w:val="22"/>
        </w:rPr>
        <w:t xml:space="preserve"> </w:t>
      </w:r>
      <w:r w:rsidR="003E158C" w:rsidRPr="003E5ED2">
        <w:rPr>
          <w:rFonts w:ascii="Arial" w:hAnsi="Arial" w:cs="Arial"/>
          <w:sz w:val="22"/>
          <w:szCs w:val="22"/>
        </w:rPr>
        <w:t>raspoloživ u sl</w:t>
      </w:r>
      <w:r w:rsidRPr="003E5ED2">
        <w:rPr>
          <w:rFonts w:ascii="Arial" w:hAnsi="Arial" w:cs="Arial"/>
          <w:sz w:val="22"/>
          <w:szCs w:val="22"/>
        </w:rPr>
        <w:t>jedećem razdoblju</w:t>
      </w:r>
      <w:r w:rsidR="00133588" w:rsidRPr="003E5ED2">
        <w:rPr>
          <w:rFonts w:ascii="Arial" w:hAnsi="Arial" w:cs="Arial"/>
          <w:sz w:val="22"/>
          <w:szCs w:val="22"/>
        </w:rPr>
        <w:t xml:space="preserve"> u ukupnom iznosu od </w:t>
      </w:r>
      <w:r w:rsidR="00AF4DDB" w:rsidRPr="003E5ED2">
        <w:rPr>
          <w:rFonts w:ascii="Arial" w:hAnsi="Arial" w:cs="Arial"/>
          <w:sz w:val="22"/>
          <w:szCs w:val="22"/>
        </w:rPr>
        <w:t>28.571.369,79</w:t>
      </w:r>
      <w:r w:rsidR="003E158C" w:rsidRPr="003E5ED2">
        <w:rPr>
          <w:rFonts w:ascii="Arial" w:hAnsi="Arial" w:cs="Arial"/>
          <w:sz w:val="22"/>
          <w:szCs w:val="22"/>
        </w:rPr>
        <w:t xml:space="preserve"> eura</w:t>
      </w:r>
      <w:r w:rsidR="00BC227F" w:rsidRPr="003E5ED2">
        <w:rPr>
          <w:rFonts w:ascii="Arial" w:hAnsi="Arial" w:cs="Arial"/>
          <w:sz w:val="22"/>
          <w:szCs w:val="22"/>
        </w:rPr>
        <w:t xml:space="preserve"> koji se sastoji</w:t>
      </w:r>
      <w:r w:rsidRPr="003E5ED2">
        <w:rPr>
          <w:rFonts w:ascii="Arial" w:hAnsi="Arial" w:cs="Arial"/>
          <w:sz w:val="22"/>
          <w:szCs w:val="22"/>
        </w:rPr>
        <w:t xml:space="preserve"> od</w:t>
      </w:r>
      <w:r w:rsidR="003D2474" w:rsidRPr="003E5ED2">
        <w:rPr>
          <w:rFonts w:ascii="Arial" w:hAnsi="Arial" w:cs="Arial"/>
          <w:sz w:val="22"/>
          <w:szCs w:val="22"/>
        </w:rPr>
        <w:t>:</w:t>
      </w:r>
    </w:p>
    <w:p w:rsidR="00A4372B" w:rsidRPr="003E5ED2" w:rsidRDefault="00A4372B" w:rsidP="00A4372B">
      <w:pPr>
        <w:jc w:val="both"/>
        <w:rPr>
          <w:rFonts w:ascii="Arial" w:hAnsi="Arial" w:cs="Arial"/>
          <w:sz w:val="22"/>
          <w:szCs w:val="22"/>
          <w:highlight w:val="yellow"/>
        </w:rPr>
      </w:pPr>
    </w:p>
    <w:p w:rsidR="00A4372B" w:rsidRPr="003E5ED2" w:rsidRDefault="000E69DA" w:rsidP="005B6B71">
      <w:pPr>
        <w:pStyle w:val="ListParagraph"/>
        <w:numPr>
          <w:ilvl w:val="0"/>
          <w:numId w:val="27"/>
        </w:numPr>
        <w:jc w:val="both"/>
        <w:rPr>
          <w:rFonts w:ascii="Arial" w:hAnsi="Arial" w:cs="Arial"/>
          <w:sz w:val="22"/>
          <w:szCs w:val="22"/>
        </w:rPr>
      </w:pPr>
      <w:r w:rsidRPr="003E5ED2">
        <w:rPr>
          <w:rFonts w:ascii="Arial" w:hAnsi="Arial" w:cs="Arial"/>
          <w:sz w:val="22"/>
          <w:szCs w:val="22"/>
        </w:rPr>
        <w:t xml:space="preserve">viška prihoda poslovanja </w:t>
      </w:r>
      <w:r w:rsidR="003D2474" w:rsidRPr="003E5ED2">
        <w:rPr>
          <w:rFonts w:ascii="Arial" w:hAnsi="Arial" w:cs="Arial"/>
          <w:sz w:val="22"/>
          <w:szCs w:val="22"/>
        </w:rPr>
        <w:tab/>
      </w:r>
      <w:r w:rsidR="003D2474" w:rsidRPr="003E5ED2">
        <w:rPr>
          <w:rFonts w:ascii="Arial" w:hAnsi="Arial" w:cs="Arial"/>
          <w:sz w:val="22"/>
          <w:szCs w:val="22"/>
        </w:rPr>
        <w:tab/>
      </w:r>
      <w:r w:rsidR="003D2474" w:rsidRPr="003E5ED2">
        <w:rPr>
          <w:rFonts w:ascii="Arial" w:hAnsi="Arial" w:cs="Arial"/>
          <w:sz w:val="22"/>
          <w:szCs w:val="22"/>
        </w:rPr>
        <w:tab/>
        <w:t xml:space="preserve"> </w:t>
      </w:r>
      <w:r w:rsidR="0056457B" w:rsidRPr="003E5ED2">
        <w:rPr>
          <w:rFonts w:ascii="Arial" w:hAnsi="Arial" w:cs="Arial"/>
          <w:sz w:val="22"/>
          <w:szCs w:val="22"/>
        </w:rPr>
        <w:tab/>
      </w:r>
      <w:r w:rsidR="0056457B" w:rsidRPr="003E5ED2">
        <w:rPr>
          <w:rFonts w:ascii="Arial" w:hAnsi="Arial" w:cs="Arial"/>
          <w:sz w:val="22"/>
          <w:szCs w:val="22"/>
        </w:rPr>
        <w:tab/>
      </w:r>
      <w:r w:rsidR="0056457B" w:rsidRPr="003E5ED2">
        <w:rPr>
          <w:rFonts w:ascii="Arial" w:hAnsi="Arial" w:cs="Arial"/>
          <w:sz w:val="22"/>
          <w:szCs w:val="22"/>
        </w:rPr>
        <w:tab/>
      </w:r>
      <w:r w:rsidR="003A0AD7" w:rsidRPr="003E5ED2">
        <w:rPr>
          <w:rFonts w:ascii="Arial" w:hAnsi="Arial" w:cs="Arial"/>
          <w:sz w:val="22"/>
          <w:szCs w:val="22"/>
        </w:rPr>
        <w:t xml:space="preserve"> </w:t>
      </w:r>
      <w:r w:rsidR="0056457B" w:rsidRPr="003E5ED2">
        <w:rPr>
          <w:rFonts w:ascii="Arial" w:hAnsi="Arial" w:cs="Arial"/>
          <w:sz w:val="22"/>
          <w:szCs w:val="22"/>
        </w:rPr>
        <w:t xml:space="preserve"> </w:t>
      </w:r>
      <w:r w:rsidR="00AF4DDB" w:rsidRPr="003E5ED2">
        <w:rPr>
          <w:rFonts w:ascii="Arial" w:hAnsi="Arial" w:cs="Arial"/>
          <w:sz w:val="22"/>
          <w:szCs w:val="22"/>
        </w:rPr>
        <w:t>35.681.523,32</w:t>
      </w:r>
      <w:r w:rsidR="003A0AD7" w:rsidRPr="003E5ED2">
        <w:rPr>
          <w:rFonts w:ascii="Arial" w:hAnsi="Arial" w:cs="Arial"/>
          <w:sz w:val="22"/>
          <w:szCs w:val="22"/>
        </w:rPr>
        <w:t xml:space="preserve"> eura</w:t>
      </w:r>
      <w:r w:rsidR="00A4372B" w:rsidRPr="003E5ED2">
        <w:rPr>
          <w:rFonts w:ascii="Arial" w:hAnsi="Arial" w:cs="Arial"/>
          <w:sz w:val="22"/>
          <w:szCs w:val="22"/>
        </w:rPr>
        <w:t xml:space="preserve"> </w:t>
      </w:r>
    </w:p>
    <w:p w:rsidR="00A4372B" w:rsidRPr="003E5ED2" w:rsidRDefault="003A0AD7" w:rsidP="005B6B71">
      <w:pPr>
        <w:pStyle w:val="ListParagraph"/>
        <w:numPr>
          <w:ilvl w:val="0"/>
          <w:numId w:val="27"/>
        </w:numPr>
        <w:jc w:val="both"/>
        <w:rPr>
          <w:rFonts w:ascii="Arial" w:hAnsi="Arial" w:cs="Arial"/>
          <w:sz w:val="22"/>
          <w:szCs w:val="22"/>
        </w:rPr>
      </w:pPr>
      <w:r w:rsidRPr="003E5ED2">
        <w:rPr>
          <w:rFonts w:ascii="Arial" w:hAnsi="Arial" w:cs="Arial"/>
          <w:sz w:val="22"/>
          <w:szCs w:val="22"/>
        </w:rPr>
        <w:t>manjka</w:t>
      </w:r>
      <w:r w:rsidR="003F24E7" w:rsidRPr="003E5ED2">
        <w:rPr>
          <w:rFonts w:ascii="Arial" w:hAnsi="Arial" w:cs="Arial"/>
          <w:sz w:val="22"/>
          <w:szCs w:val="22"/>
        </w:rPr>
        <w:t xml:space="preserve"> prihoda</w:t>
      </w:r>
      <w:r w:rsidR="000E69DA" w:rsidRPr="003E5ED2">
        <w:rPr>
          <w:rFonts w:ascii="Arial" w:hAnsi="Arial" w:cs="Arial"/>
          <w:sz w:val="22"/>
          <w:szCs w:val="22"/>
        </w:rPr>
        <w:t xml:space="preserve"> od </w:t>
      </w:r>
      <w:r w:rsidR="005C61FC" w:rsidRPr="003E5ED2">
        <w:rPr>
          <w:rFonts w:ascii="Arial" w:hAnsi="Arial" w:cs="Arial"/>
          <w:sz w:val="22"/>
          <w:szCs w:val="22"/>
        </w:rPr>
        <w:t>ne</w:t>
      </w:r>
      <w:r w:rsidR="000E69DA" w:rsidRPr="003E5ED2">
        <w:rPr>
          <w:rFonts w:ascii="Arial" w:hAnsi="Arial" w:cs="Arial"/>
          <w:sz w:val="22"/>
          <w:szCs w:val="22"/>
        </w:rPr>
        <w:t xml:space="preserve">financijske imovine </w:t>
      </w:r>
      <w:r w:rsidR="003D2474" w:rsidRPr="003E5ED2">
        <w:rPr>
          <w:rFonts w:ascii="Arial" w:hAnsi="Arial" w:cs="Arial"/>
          <w:sz w:val="22"/>
          <w:szCs w:val="22"/>
        </w:rPr>
        <w:tab/>
      </w:r>
      <w:r w:rsidR="0056457B" w:rsidRPr="003E5ED2">
        <w:rPr>
          <w:rFonts w:ascii="Arial" w:hAnsi="Arial" w:cs="Arial"/>
          <w:sz w:val="22"/>
          <w:szCs w:val="22"/>
        </w:rPr>
        <w:tab/>
      </w:r>
      <w:r w:rsidR="0056457B" w:rsidRPr="003E5ED2">
        <w:rPr>
          <w:rFonts w:ascii="Arial" w:hAnsi="Arial" w:cs="Arial"/>
          <w:sz w:val="22"/>
          <w:szCs w:val="22"/>
        </w:rPr>
        <w:tab/>
      </w:r>
      <w:r w:rsidR="0056457B" w:rsidRPr="003E5ED2">
        <w:rPr>
          <w:rFonts w:ascii="Arial" w:hAnsi="Arial" w:cs="Arial"/>
          <w:sz w:val="22"/>
          <w:szCs w:val="22"/>
        </w:rPr>
        <w:tab/>
      </w:r>
      <w:r w:rsidRPr="003E5ED2">
        <w:rPr>
          <w:rFonts w:ascii="Arial" w:hAnsi="Arial" w:cs="Arial"/>
          <w:sz w:val="22"/>
          <w:szCs w:val="22"/>
        </w:rPr>
        <w:t xml:space="preserve"> </w:t>
      </w:r>
      <w:r w:rsidR="006C3405" w:rsidRPr="003E5ED2">
        <w:rPr>
          <w:rFonts w:ascii="Arial" w:hAnsi="Arial" w:cs="Arial"/>
          <w:sz w:val="22"/>
          <w:szCs w:val="22"/>
        </w:rPr>
        <w:t xml:space="preserve">  -</w:t>
      </w:r>
      <w:r w:rsidR="00AF4DDB" w:rsidRPr="003E5ED2">
        <w:rPr>
          <w:rFonts w:ascii="Arial" w:hAnsi="Arial" w:cs="Arial"/>
          <w:sz w:val="22"/>
          <w:szCs w:val="22"/>
        </w:rPr>
        <w:t>4.027.815,48</w:t>
      </w:r>
      <w:r w:rsidRPr="003E5ED2">
        <w:rPr>
          <w:rFonts w:ascii="Arial" w:hAnsi="Arial" w:cs="Arial"/>
          <w:sz w:val="22"/>
          <w:szCs w:val="22"/>
        </w:rPr>
        <w:t xml:space="preserve"> eura</w:t>
      </w:r>
      <w:r w:rsidR="00760304" w:rsidRPr="003E5ED2">
        <w:rPr>
          <w:rFonts w:ascii="Arial" w:hAnsi="Arial" w:cs="Arial"/>
          <w:sz w:val="22"/>
          <w:szCs w:val="22"/>
        </w:rPr>
        <w:t xml:space="preserve"> </w:t>
      </w:r>
    </w:p>
    <w:p w:rsidR="003D2474" w:rsidRPr="003E5ED2" w:rsidRDefault="00AF4DDB" w:rsidP="003D2474">
      <w:pPr>
        <w:pStyle w:val="ListParagraph"/>
        <w:numPr>
          <w:ilvl w:val="0"/>
          <w:numId w:val="27"/>
        </w:numPr>
        <w:jc w:val="both"/>
        <w:rPr>
          <w:rFonts w:ascii="Arial" w:hAnsi="Arial" w:cs="Arial"/>
          <w:sz w:val="22"/>
          <w:szCs w:val="22"/>
        </w:rPr>
      </w:pPr>
      <w:r w:rsidRPr="003E5ED2">
        <w:rPr>
          <w:rFonts w:ascii="Arial" w:hAnsi="Arial" w:cs="Arial"/>
          <w:sz w:val="22"/>
          <w:szCs w:val="22"/>
        </w:rPr>
        <w:t>manjka</w:t>
      </w:r>
      <w:r w:rsidR="005C61FC" w:rsidRPr="003E5ED2">
        <w:rPr>
          <w:rFonts w:ascii="Arial" w:hAnsi="Arial" w:cs="Arial"/>
          <w:sz w:val="22"/>
          <w:szCs w:val="22"/>
        </w:rPr>
        <w:t xml:space="preserve"> primitaka</w:t>
      </w:r>
      <w:r w:rsidR="000E69DA" w:rsidRPr="003E5ED2">
        <w:rPr>
          <w:rFonts w:ascii="Arial" w:hAnsi="Arial" w:cs="Arial"/>
          <w:sz w:val="22"/>
          <w:szCs w:val="22"/>
        </w:rPr>
        <w:t xml:space="preserve"> o</w:t>
      </w:r>
      <w:r w:rsidR="005C61FC" w:rsidRPr="003E5ED2">
        <w:rPr>
          <w:rFonts w:ascii="Arial" w:hAnsi="Arial" w:cs="Arial"/>
          <w:sz w:val="22"/>
          <w:szCs w:val="22"/>
        </w:rPr>
        <w:t xml:space="preserve">d financijske imovine </w:t>
      </w:r>
      <w:r w:rsidR="003D2474" w:rsidRPr="003E5ED2">
        <w:rPr>
          <w:rFonts w:ascii="Arial" w:hAnsi="Arial" w:cs="Arial"/>
          <w:sz w:val="22"/>
          <w:szCs w:val="22"/>
        </w:rPr>
        <w:tab/>
      </w:r>
      <w:r w:rsidR="003D2474" w:rsidRPr="003E5ED2">
        <w:rPr>
          <w:rFonts w:ascii="Arial" w:hAnsi="Arial" w:cs="Arial"/>
          <w:sz w:val="22"/>
          <w:szCs w:val="22"/>
        </w:rPr>
        <w:tab/>
        <w:t xml:space="preserve">  </w:t>
      </w:r>
      <w:r w:rsidR="0056457B" w:rsidRPr="003E5ED2">
        <w:rPr>
          <w:rFonts w:ascii="Arial" w:hAnsi="Arial" w:cs="Arial"/>
          <w:sz w:val="22"/>
          <w:szCs w:val="22"/>
        </w:rPr>
        <w:tab/>
      </w:r>
      <w:r w:rsidR="0056457B" w:rsidRPr="003E5ED2">
        <w:rPr>
          <w:rFonts w:ascii="Arial" w:hAnsi="Arial" w:cs="Arial"/>
          <w:sz w:val="22"/>
          <w:szCs w:val="22"/>
        </w:rPr>
        <w:tab/>
      </w:r>
      <w:r w:rsidR="003A0AD7" w:rsidRPr="003E5ED2">
        <w:rPr>
          <w:rFonts w:ascii="Arial" w:hAnsi="Arial" w:cs="Arial"/>
          <w:sz w:val="22"/>
          <w:szCs w:val="22"/>
        </w:rPr>
        <w:t xml:space="preserve">   </w:t>
      </w:r>
      <w:r w:rsidR="006C3405" w:rsidRPr="003E5ED2">
        <w:rPr>
          <w:rFonts w:ascii="Arial" w:hAnsi="Arial" w:cs="Arial"/>
          <w:sz w:val="22"/>
          <w:szCs w:val="22"/>
        </w:rPr>
        <w:t>-</w:t>
      </w:r>
      <w:r w:rsidRPr="003E5ED2">
        <w:rPr>
          <w:rFonts w:ascii="Arial" w:hAnsi="Arial" w:cs="Arial"/>
          <w:sz w:val="22"/>
          <w:szCs w:val="22"/>
        </w:rPr>
        <w:t>3.082.338,05</w:t>
      </w:r>
      <w:r w:rsidR="003A0AD7" w:rsidRPr="003E5ED2">
        <w:rPr>
          <w:rFonts w:ascii="Arial" w:hAnsi="Arial" w:cs="Arial"/>
          <w:sz w:val="22"/>
          <w:szCs w:val="22"/>
        </w:rPr>
        <w:t xml:space="preserve"> eura</w:t>
      </w:r>
    </w:p>
    <w:p w:rsidR="00A27B47" w:rsidRPr="003E5ED2" w:rsidRDefault="00A27B47" w:rsidP="00383B18">
      <w:pPr>
        <w:rPr>
          <w:rFonts w:ascii="Arial" w:hAnsi="Arial"/>
          <w:highlight w:val="yellow"/>
        </w:rPr>
      </w:pPr>
    </w:p>
    <w:p w:rsidR="0044145C" w:rsidRPr="003E5ED2" w:rsidRDefault="006D15F7" w:rsidP="0044145C">
      <w:pPr>
        <w:jc w:val="both"/>
        <w:rPr>
          <w:rFonts w:ascii="Arial" w:hAnsi="Arial" w:cs="Arial"/>
          <w:sz w:val="22"/>
          <w:szCs w:val="22"/>
        </w:rPr>
      </w:pPr>
      <w:r w:rsidRPr="004F3ECD">
        <w:rPr>
          <w:rFonts w:ascii="Arial" w:hAnsi="Arial" w:cs="Arial"/>
          <w:sz w:val="22"/>
          <w:szCs w:val="22"/>
        </w:rPr>
        <w:t xml:space="preserve">Dio navedenog iznosa Viška </w:t>
      </w:r>
      <w:r w:rsidR="0044145C" w:rsidRPr="004F3ECD">
        <w:rPr>
          <w:rFonts w:ascii="Arial" w:hAnsi="Arial" w:cs="Arial"/>
          <w:sz w:val="22"/>
          <w:szCs w:val="22"/>
        </w:rPr>
        <w:t>prihoda</w:t>
      </w:r>
      <w:r w:rsidRPr="004F3ECD">
        <w:rPr>
          <w:rFonts w:ascii="Arial" w:hAnsi="Arial" w:cs="Arial"/>
          <w:sz w:val="22"/>
          <w:szCs w:val="22"/>
        </w:rPr>
        <w:t xml:space="preserve"> i primitaka</w:t>
      </w:r>
      <w:r w:rsidR="0044145C" w:rsidRPr="004F3ECD">
        <w:rPr>
          <w:rFonts w:ascii="Arial" w:hAnsi="Arial" w:cs="Arial"/>
          <w:sz w:val="22"/>
          <w:szCs w:val="22"/>
        </w:rPr>
        <w:t xml:space="preserve"> u iznosu od 19.777.630,00 eura </w:t>
      </w:r>
      <w:r w:rsidRPr="004F3ECD">
        <w:rPr>
          <w:rFonts w:ascii="Arial" w:hAnsi="Arial" w:cs="Arial"/>
          <w:sz w:val="22"/>
          <w:szCs w:val="22"/>
        </w:rPr>
        <w:t xml:space="preserve">već je </w:t>
      </w:r>
      <w:r w:rsidR="0044145C" w:rsidRPr="004F3ECD">
        <w:rPr>
          <w:rFonts w:ascii="Arial" w:hAnsi="Arial" w:cs="Arial"/>
          <w:sz w:val="22"/>
          <w:szCs w:val="22"/>
        </w:rPr>
        <w:t xml:space="preserve">planirano </w:t>
      </w:r>
      <w:r w:rsidR="00E35542" w:rsidRPr="004F3ECD">
        <w:rPr>
          <w:rFonts w:ascii="Arial" w:hAnsi="Arial" w:cs="Arial"/>
          <w:sz w:val="22"/>
          <w:szCs w:val="22"/>
        </w:rPr>
        <w:t xml:space="preserve">za korištenje </w:t>
      </w:r>
      <w:r w:rsidR="0044145C" w:rsidRPr="004F3ECD">
        <w:rPr>
          <w:rFonts w:ascii="Arial" w:hAnsi="Arial" w:cs="Arial"/>
          <w:sz w:val="22"/>
          <w:szCs w:val="22"/>
        </w:rPr>
        <w:t>u Proračunu Grada Rijeke za 2025. godinu.</w:t>
      </w:r>
      <w:r w:rsidR="0044145C" w:rsidRPr="003E5ED2">
        <w:rPr>
          <w:rFonts w:ascii="Arial" w:hAnsi="Arial" w:cs="Arial"/>
          <w:sz w:val="22"/>
          <w:szCs w:val="22"/>
        </w:rPr>
        <w:t xml:space="preserve"> </w:t>
      </w:r>
    </w:p>
    <w:p w:rsidR="00383B18" w:rsidRPr="003E5ED2" w:rsidRDefault="00383B18" w:rsidP="009F0EF4">
      <w:pPr>
        <w:jc w:val="right"/>
        <w:rPr>
          <w:rFonts w:ascii="Arial" w:hAnsi="Arial"/>
          <w:highlight w:val="yellow"/>
        </w:rPr>
      </w:pPr>
    </w:p>
    <w:p w:rsidR="00685D02" w:rsidRPr="003E5ED2" w:rsidRDefault="00685D02" w:rsidP="009F0EF4">
      <w:pPr>
        <w:jc w:val="right"/>
        <w:rPr>
          <w:rFonts w:ascii="Arial" w:hAnsi="Arial"/>
          <w:highlight w:val="yellow"/>
        </w:rPr>
      </w:pPr>
    </w:p>
    <w:p w:rsidR="000E69DA" w:rsidRPr="003E5ED2" w:rsidRDefault="000E69DA" w:rsidP="009F0EF4">
      <w:pPr>
        <w:jc w:val="both"/>
        <w:rPr>
          <w:rFonts w:ascii="Arial" w:hAnsi="Arial"/>
          <w:sz w:val="16"/>
          <w:szCs w:val="16"/>
        </w:rPr>
      </w:pPr>
      <w:r w:rsidRPr="003E5ED2">
        <w:rPr>
          <w:rFonts w:ascii="Arial" w:hAnsi="Arial"/>
        </w:rPr>
        <w:t xml:space="preserve">Tablica 2. </w:t>
      </w:r>
      <w:r w:rsidR="00161485" w:rsidRPr="003E5ED2">
        <w:rPr>
          <w:rFonts w:ascii="Arial" w:hAnsi="Arial"/>
        </w:rPr>
        <w:t>Financijski rezultat</w:t>
      </w:r>
      <w:r w:rsidRPr="003E5ED2">
        <w:rPr>
          <w:rFonts w:ascii="Arial" w:hAnsi="Arial"/>
        </w:rPr>
        <w:t xml:space="preserve"> </w:t>
      </w:r>
      <w:r w:rsidRPr="003E5ED2">
        <w:rPr>
          <w:rFonts w:ascii="Arial" w:hAnsi="Arial"/>
        </w:rPr>
        <w:tab/>
      </w:r>
      <w:r w:rsidRPr="003E5ED2">
        <w:rPr>
          <w:rFonts w:ascii="Arial" w:hAnsi="Arial"/>
        </w:rPr>
        <w:tab/>
      </w:r>
      <w:r w:rsidRPr="003E5ED2">
        <w:rPr>
          <w:rFonts w:ascii="Arial" w:hAnsi="Arial"/>
        </w:rPr>
        <w:tab/>
      </w:r>
      <w:r w:rsidRPr="003E5ED2">
        <w:rPr>
          <w:rFonts w:ascii="Arial" w:hAnsi="Arial"/>
        </w:rPr>
        <w:tab/>
      </w:r>
      <w:r w:rsidRPr="003E5ED2">
        <w:rPr>
          <w:rFonts w:ascii="Arial" w:hAnsi="Arial"/>
        </w:rPr>
        <w:tab/>
      </w:r>
      <w:r w:rsidRPr="003E5ED2">
        <w:rPr>
          <w:rFonts w:ascii="Arial" w:hAnsi="Arial"/>
        </w:rPr>
        <w:tab/>
      </w:r>
      <w:r w:rsidRPr="003E5ED2">
        <w:rPr>
          <w:rFonts w:ascii="Arial" w:hAnsi="Arial"/>
        </w:rPr>
        <w:tab/>
      </w:r>
      <w:r w:rsidRPr="003E5ED2">
        <w:rPr>
          <w:rFonts w:ascii="Arial" w:hAnsi="Arial"/>
        </w:rPr>
        <w:tab/>
      </w:r>
      <w:r w:rsidRPr="003E5ED2">
        <w:rPr>
          <w:rFonts w:ascii="Arial" w:hAnsi="Arial"/>
        </w:rPr>
        <w:tab/>
      </w:r>
      <w:r w:rsidRPr="003E5ED2">
        <w:rPr>
          <w:rFonts w:ascii="Arial" w:hAnsi="Arial"/>
          <w:i/>
          <w:sz w:val="16"/>
          <w:szCs w:val="16"/>
        </w:rPr>
        <w:t xml:space="preserve">u </w:t>
      </w:r>
      <w:r w:rsidR="00445B35" w:rsidRPr="003E5ED2">
        <w:rPr>
          <w:rFonts w:ascii="Arial" w:hAnsi="Arial"/>
          <w:i/>
          <w:sz w:val="16"/>
          <w:szCs w:val="16"/>
        </w:rPr>
        <w:t>EUR</w:t>
      </w:r>
    </w:p>
    <w:tbl>
      <w:tblPr>
        <w:tblW w:w="9781" w:type="dxa"/>
        <w:tblLook w:val="04A0" w:firstRow="1" w:lastRow="0" w:firstColumn="1" w:lastColumn="0" w:noHBand="0" w:noVBand="1"/>
      </w:tblPr>
      <w:tblGrid>
        <w:gridCol w:w="1134"/>
        <w:gridCol w:w="3686"/>
        <w:gridCol w:w="1120"/>
        <w:gridCol w:w="1680"/>
        <w:gridCol w:w="2161"/>
      </w:tblGrid>
      <w:tr w:rsidR="000E69DA" w:rsidRPr="003E5ED2" w:rsidTr="00445B35">
        <w:trPr>
          <w:trHeight w:val="288"/>
        </w:trPr>
        <w:tc>
          <w:tcPr>
            <w:tcW w:w="1134" w:type="dxa"/>
            <w:vMerge w:val="restart"/>
            <w:tcBorders>
              <w:top w:val="single" w:sz="8" w:space="0" w:color="auto"/>
              <w:left w:val="nil"/>
              <w:bottom w:val="single" w:sz="8" w:space="0" w:color="000000"/>
              <w:right w:val="nil"/>
            </w:tcBorders>
            <w:shd w:val="clear" w:color="auto" w:fill="D5DCE4" w:themeFill="text2" w:themeFillTint="33"/>
            <w:vAlign w:val="center"/>
            <w:hideMark/>
          </w:tcPr>
          <w:p w:rsidR="000E69DA" w:rsidRPr="003E5ED2" w:rsidRDefault="000E69DA" w:rsidP="000E69DA">
            <w:pPr>
              <w:jc w:val="both"/>
              <w:rPr>
                <w:rFonts w:ascii="Arial" w:hAnsi="Arial" w:cs="Arial"/>
                <w:b/>
                <w:bCs/>
                <w:color w:val="000000"/>
                <w:sz w:val="18"/>
                <w:szCs w:val="18"/>
              </w:rPr>
            </w:pPr>
            <w:r w:rsidRPr="003E5ED2">
              <w:rPr>
                <w:rFonts w:ascii="Arial" w:hAnsi="Arial" w:cs="Arial"/>
                <w:b/>
                <w:bCs/>
                <w:color w:val="000000"/>
                <w:sz w:val="18"/>
                <w:szCs w:val="18"/>
              </w:rPr>
              <w:t xml:space="preserve">Račun   </w:t>
            </w:r>
          </w:p>
        </w:tc>
        <w:tc>
          <w:tcPr>
            <w:tcW w:w="3686" w:type="dxa"/>
            <w:vMerge w:val="restart"/>
            <w:tcBorders>
              <w:top w:val="single" w:sz="8" w:space="0" w:color="auto"/>
              <w:left w:val="nil"/>
              <w:bottom w:val="single" w:sz="8" w:space="0" w:color="000000"/>
              <w:right w:val="nil"/>
            </w:tcBorders>
            <w:shd w:val="clear" w:color="auto" w:fill="D5DCE4" w:themeFill="text2" w:themeFillTint="33"/>
            <w:noWrap/>
            <w:vAlign w:val="center"/>
            <w:hideMark/>
          </w:tcPr>
          <w:p w:rsidR="000E69DA" w:rsidRPr="003E5ED2" w:rsidRDefault="000E69DA" w:rsidP="000E69DA">
            <w:pPr>
              <w:jc w:val="center"/>
              <w:rPr>
                <w:rFonts w:ascii="Arial" w:hAnsi="Arial" w:cs="Arial"/>
                <w:b/>
                <w:bCs/>
                <w:color w:val="000000"/>
                <w:sz w:val="18"/>
                <w:szCs w:val="18"/>
              </w:rPr>
            </w:pPr>
            <w:r w:rsidRPr="003E5ED2">
              <w:rPr>
                <w:rFonts w:ascii="Arial" w:hAnsi="Arial" w:cs="Arial"/>
                <w:b/>
                <w:bCs/>
                <w:color w:val="000000"/>
                <w:sz w:val="18"/>
                <w:szCs w:val="18"/>
              </w:rPr>
              <w:t>O P I S</w:t>
            </w:r>
          </w:p>
        </w:tc>
        <w:tc>
          <w:tcPr>
            <w:tcW w:w="1120" w:type="dxa"/>
            <w:vMerge w:val="restart"/>
            <w:tcBorders>
              <w:top w:val="single" w:sz="8" w:space="0" w:color="auto"/>
              <w:left w:val="nil"/>
              <w:bottom w:val="single" w:sz="8" w:space="0" w:color="000000"/>
              <w:right w:val="nil"/>
            </w:tcBorders>
            <w:shd w:val="clear" w:color="auto" w:fill="D5DCE4" w:themeFill="text2" w:themeFillTint="33"/>
            <w:vAlign w:val="center"/>
            <w:hideMark/>
          </w:tcPr>
          <w:p w:rsidR="000E69DA" w:rsidRPr="003E5ED2" w:rsidRDefault="007B3992" w:rsidP="000E69DA">
            <w:pPr>
              <w:jc w:val="both"/>
              <w:rPr>
                <w:rFonts w:ascii="Arial" w:hAnsi="Arial" w:cs="Arial"/>
                <w:b/>
                <w:bCs/>
                <w:color w:val="000000"/>
                <w:sz w:val="18"/>
                <w:szCs w:val="18"/>
              </w:rPr>
            </w:pPr>
            <w:r w:rsidRPr="003E5ED2">
              <w:rPr>
                <w:rFonts w:ascii="Arial" w:hAnsi="Arial" w:cs="Arial"/>
                <w:b/>
                <w:bCs/>
                <w:color w:val="000000"/>
                <w:sz w:val="18"/>
                <w:szCs w:val="18"/>
              </w:rPr>
              <w:t xml:space="preserve">  Šifra</w:t>
            </w:r>
            <w:r w:rsidR="000E69DA" w:rsidRPr="003E5ED2">
              <w:rPr>
                <w:rFonts w:ascii="Arial" w:hAnsi="Arial" w:cs="Arial"/>
                <w:b/>
                <w:bCs/>
                <w:color w:val="000000"/>
                <w:sz w:val="18"/>
                <w:szCs w:val="18"/>
              </w:rPr>
              <w:t xml:space="preserve">  </w:t>
            </w:r>
          </w:p>
        </w:tc>
        <w:tc>
          <w:tcPr>
            <w:tcW w:w="1680" w:type="dxa"/>
            <w:vMerge w:val="restart"/>
            <w:tcBorders>
              <w:top w:val="single" w:sz="8" w:space="0" w:color="auto"/>
              <w:left w:val="nil"/>
              <w:bottom w:val="single" w:sz="8" w:space="0" w:color="000000"/>
              <w:right w:val="nil"/>
            </w:tcBorders>
            <w:shd w:val="clear" w:color="auto" w:fill="D5DCE4" w:themeFill="text2" w:themeFillTint="33"/>
            <w:vAlign w:val="center"/>
            <w:hideMark/>
          </w:tcPr>
          <w:p w:rsidR="000E69DA" w:rsidRPr="003E5ED2" w:rsidRDefault="00F27C7D" w:rsidP="00C024EB">
            <w:pPr>
              <w:jc w:val="center"/>
              <w:rPr>
                <w:rFonts w:ascii="Arial" w:hAnsi="Arial" w:cs="Arial"/>
                <w:b/>
                <w:bCs/>
                <w:color w:val="000000"/>
                <w:sz w:val="18"/>
                <w:szCs w:val="18"/>
              </w:rPr>
            </w:pPr>
            <w:r w:rsidRPr="003E5ED2">
              <w:rPr>
                <w:rFonts w:ascii="Arial" w:hAnsi="Arial" w:cs="Arial"/>
                <w:b/>
                <w:bCs/>
                <w:color w:val="000000"/>
                <w:sz w:val="18"/>
                <w:szCs w:val="18"/>
              </w:rPr>
              <w:t>Stanje 1.1.202</w:t>
            </w:r>
            <w:r w:rsidR="00871F7C" w:rsidRPr="003E5ED2">
              <w:rPr>
                <w:rFonts w:ascii="Arial" w:hAnsi="Arial" w:cs="Arial"/>
                <w:b/>
                <w:bCs/>
                <w:color w:val="000000"/>
                <w:sz w:val="18"/>
                <w:szCs w:val="18"/>
              </w:rPr>
              <w:t>4</w:t>
            </w:r>
            <w:r w:rsidR="000E69DA" w:rsidRPr="003E5ED2">
              <w:rPr>
                <w:rFonts w:ascii="Arial" w:hAnsi="Arial" w:cs="Arial"/>
                <w:b/>
                <w:bCs/>
                <w:color w:val="000000"/>
                <w:sz w:val="18"/>
                <w:szCs w:val="18"/>
              </w:rPr>
              <w:t>.</w:t>
            </w:r>
          </w:p>
        </w:tc>
        <w:tc>
          <w:tcPr>
            <w:tcW w:w="2161" w:type="dxa"/>
            <w:vMerge w:val="restart"/>
            <w:tcBorders>
              <w:top w:val="single" w:sz="8" w:space="0" w:color="auto"/>
              <w:left w:val="nil"/>
              <w:bottom w:val="single" w:sz="8" w:space="0" w:color="000000"/>
              <w:right w:val="nil"/>
            </w:tcBorders>
            <w:shd w:val="clear" w:color="auto" w:fill="D5DCE4" w:themeFill="text2" w:themeFillTint="33"/>
            <w:vAlign w:val="center"/>
            <w:hideMark/>
          </w:tcPr>
          <w:p w:rsidR="000E69DA" w:rsidRPr="003E5ED2" w:rsidRDefault="00F27C7D" w:rsidP="00C024EB">
            <w:pPr>
              <w:jc w:val="center"/>
              <w:rPr>
                <w:rFonts w:ascii="Arial" w:hAnsi="Arial" w:cs="Arial"/>
                <w:b/>
                <w:bCs/>
                <w:color w:val="000000"/>
                <w:sz w:val="18"/>
                <w:szCs w:val="18"/>
              </w:rPr>
            </w:pPr>
            <w:r w:rsidRPr="003E5ED2">
              <w:rPr>
                <w:rFonts w:ascii="Arial" w:hAnsi="Arial" w:cs="Arial"/>
                <w:b/>
                <w:bCs/>
                <w:color w:val="000000"/>
                <w:sz w:val="18"/>
                <w:szCs w:val="18"/>
              </w:rPr>
              <w:t>Stanje 31.12.202</w:t>
            </w:r>
            <w:r w:rsidR="00871F7C" w:rsidRPr="003E5ED2">
              <w:rPr>
                <w:rFonts w:ascii="Arial" w:hAnsi="Arial" w:cs="Arial"/>
                <w:b/>
                <w:bCs/>
                <w:color w:val="000000"/>
                <w:sz w:val="18"/>
                <w:szCs w:val="18"/>
              </w:rPr>
              <w:t>4</w:t>
            </w:r>
            <w:r w:rsidR="000E69DA" w:rsidRPr="003E5ED2">
              <w:rPr>
                <w:rFonts w:ascii="Arial" w:hAnsi="Arial" w:cs="Arial"/>
                <w:b/>
                <w:bCs/>
                <w:color w:val="000000"/>
                <w:sz w:val="18"/>
                <w:szCs w:val="18"/>
              </w:rPr>
              <w:t>.</w:t>
            </w:r>
          </w:p>
        </w:tc>
      </w:tr>
      <w:tr w:rsidR="000E69DA" w:rsidRPr="003E5ED2" w:rsidTr="00445B35">
        <w:trPr>
          <w:trHeight w:val="300"/>
        </w:trPr>
        <w:tc>
          <w:tcPr>
            <w:tcW w:w="1134" w:type="dxa"/>
            <w:vMerge/>
            <w:tcBorders>
              <w:top w:val="single" w:sz="8" w:space="0" w:color="auto"/>
              <w:left w:val="nil"/>
              <w:bottom w:val="single" w:sz="8" w:space="0" w:color="000000"/>
              <w:right w:val="nil"/>
            </w:tcBorders>
            <w:shd w:val="clear" w:color="auto" w:fill="D5DCE4" w:themeFill="text2" w:themeFillTint="33"/>
            <w:vAlign w:val="center"/>
            <w:hideMark/>
          </w:tcPr>
          <w:p w:rsidR="000E69DA" w:rsidRPr="003E5ED2" w:rsidRDefault="000E69DA" w:rsidP="000E69DA">
            <w:pPr>
              <w:rPr>
                <w:rFonts w:ascii="Arial" w:hAnsi="Arial" w:cs="Arial"/>
                <w:b/>
                <w:bCs/>
                <w:color w:val="000000"/>
                <w:sz w:val="18"/>
                <w:szCs w:val="18"/>
              </w:rPr>
            </w:pPr>
          </w:p>
        </w:tc>
        <w:tc>
          <w:tcPr>
            <w:tcW w:w="3686" w:type="dxa"/>
            <w:vMerge/>
            <w:tcBorders>
              <w:top w:val="single" w:sz="8" w:space="0" w:color="auto"/>
              <w:left w:val="nil"/>
              <w:bottom w:val="single" w:sz="8" w:space="0" w:color="000000"/>
              <w:right w:val="nil"/>
            </w:tcBorders>
            <w:shd w:val="clear" w:color="auto" w:fill="D5DCE4" w:themeFill="text2" w:themeFillTint="33"/>
            <w:vAlign w:val="center"/>
            <w:hideMark/>
          </w:tcPr>
          <w:p w:rsidR="000E69DA" w:rsidRPr="003E5ED2" w:rsidRDefault="000E69DA" w:rsidP="000E69DA">
            <w:pPr>
              <w:rPr>
                <w:rFonts w:ascii="Arial" w:hAnsi="Arial" w:cs="Arial"/>
                <w:b/>
                <w:bCs/>
                <w:color w:val="000000"/>
                <w:sz w:val="18"/>
                <w:szCs w:val="18"/>
              </w:rPr>
            </w:pPr>
          </w:p>
        </w:tc>
        <w:tc>
          <w:tcPr>
            <w:tcW w:w="1120" w:type="dxa"/>
            <w:vMerge/>
            <w:tcBorders>
              <w:top w:val="single" w:sz="8" w:space="0" w:color="auto"/>
              <w:left w:val="nil"/>
              <w:bottom w:val="single" w:sz="8" w:space="0" w:color="000000"/>
              <w:right w:val="nil"/>
            </w:tcBorders>
            <w:shd w:val="clear" w:color="auto" w:fill="D5DCE4" w:themeFill="text2" w:themeFillTint="33"/>
            <w:vAlign w:val="center"/>
            <w:hideMark/>
          </w:tcPr>
          <w:p w:rsidR="000E69DA" w:rsidRPr="003E5ED2" w:rsidRDefault="000E69DA" w:rsidP="000E69DA">
            <w:pPr>
              <w:rPr>
                <w:rFonts w:ascii="Arial" w:hAnsi="Arial" w:cs="Arial"/>
                <w:b/>
                <w:bCs/>
                <w:color w:val="000000"/>
                <w:sz w:val="18"/>
                <w:szCs w:val="18"/>
              </w:rPr>
            </w:pPr>
          </w:p>
        </w:tc>
        <w:tc>
          <w:tcPr>
            <w:tcW w:w="1680" w:type="dxa"/>
            <w:vMerge/>
            <w:tcBorders>
              <w:top w:val="single" w:sz="8" w:space="0" w:color="auto"/>
              <w:left w:val="nil"/>
              <w:bottom w:val="single" w:sz="8" w:space="0" w:color="000000"/>
              <w:right w:val="nil"/>
            </w:tcBorders>
            <w:shd w:val="clear" w:color="auto" w:fill="D5DCE4" w:themeFill="text2" w:themeFillTint="33"/>
            <w:vAlign w:val="center"/>
            <w:hideMark/>
          </w:tcPr>
          <w:p w:rsidR="000E69DA" w:rsidRPr="003E5ED2" w:rsidRDefault="000E69DA" w:rsidP="000E69DA">
            <w:pPr>
              <w:rPr>
                <w:rFonts w:ascii="Arial" w:hAnsi="Arial" w:cs="Arial"/>
                <w:b/>
                <w:bCs/>
                <w:color w:val="000000"/>
                <w:sz w:val="18"/>
                <w:szCs w:val="18"/>
              </w:rPr>
            </w:pPr>
          </w:p>
        </w:tc>
        <w:tc>
          <w:tcPr>
            <w:tcW w:w="2161" w:type="dxa"/>
            <w:vMerge/>
            <w:tcBorders>
              <w:top w:val="single" w:sz="8" w:space="0" w:color="auto"/>
              <w:left w:val="nil"/>
              <w:bottom w:val="single" w:sz="8" w:space="0" w:color="000000"/>
              <w:right w:val="nil"/>
            </w:tcBorders>
            <w:shd w:val="clear" w:color="auto" w:fill="D5DCE4" w:themeFill="text2" w:themeFillTint="33"/>
            <w:vAlign w:val="center"/>
            <w:hideMark/>
          </w:tcPr>
          <w:p w:rsidR="000E69DA" w:rsidRPr="003E5ED2" w:rsidRDefault="000E69DA" w:rsidP="000E69DA">
            <w:pPr>
              <w:rPr>
                <w:rFonts w:ascii="Arial" w:hAnsi="Arial" w:cs="Arial"/>
                <w:b/>
                <w:bCs/>
                <w:color w:val="000000"/>
                <w:sz w:val="18"/>
                <w:szCs w:val="18"/>
              </w:rPr>
            </w:pPr>
          </w:p>
        </w:tc>
      </w:tr>
      <w:tr w:rsidR="000E69DA" w:rsidRPr="003E5ED2" w:rsidTr="00445B35">
        <w:trPr>
          <w:trHeight w:val="288"/>
        </w:trPr>
        <w:tc>
          <w:tcPr>
            <w:tcW w:w="1134" w:type="dxa"/>
            <w:tcBorders>
              <w:top w:val="nil"/>
              <w:left w:val="nil"/>
              <w:bottom w:val="nil"/>
              <w:right w:val="nil"/>
            </w:tcBorders>
            <w:shd w:val="clear" w:color="auto" w:fill="D5DCE4" w:themeFill="text2" w:themeFillTint="33"/>
            <w:noWrap/>
            <w:vAlign w:val="center"/>
            <w:hideMark/>
          </w:tcPr>
          <w:p w:rsidR="000E69DA" w:rsidRPr="003E5ED2" w:rsidRDefault="000E69DA" w:rsidP="000E69DA">
            <w:pPr>
              <w:jc w:val="center"/>
              <w:rPr>
                <w:rFonts w:ascii="Arial" w:hAnsi="Arial" w:cs="Arial"/>
                <w:i/>
                <w:iCs/>
                <w:color w:val="000000"/>
                <w:sz w:val="16"/>
                <w:szCs w:val="16"/>
              </w:rPr>
            </w:pPr>
            <w:r w:rsidRPr="003E5ED2">
              <w:rPr>
                <w:rFonts w:ascii="Arial" w:hAnsi="Arial" w:cs="Arial"/>
                <w:i/>
                <w:iCs/>
                <w:color w:val="000000"/>
                <w:sz w:val="16"/>
                <w:szCs w:val="16"/>
              </w:rPr>
              <w:t>1</w:t>
            </w:r>
          </w:p>
        </w:tc>
        <w:tc>
          <w:tcPr>
            <w:tcW w:w="3686" w:type="dxa"/>
            <w:tcBorders>
              <w:top w:val="nil"/>
              <w:left w:val="nil"/>
              <w:bottom w:val="nil"/>
              <w:right w:val="nil"/>
            </w:tcBorders>
            <w:shd w:val="clear" w:color="auto" w:fill="D5DCE4" w:themeFill="text2" w:themeFillTint="33"/>
            <w:noWrap/>
            <w:vAlign w:val="center"/>
            <w:hideMark/>
          </w:tcPr>
          <w:p w:rsidR="000E69DA" w:rsidRPr="003E5ED2" w:rsidRDefault="000E69DA" w:rsidP="000E69DA">
            <w:pPr>
              <w:jc w:val="center"/>
              <w:rPr>
                <w:rFonts w:ascii="Arial" w:hAnsi="Arial" w:cs="Arial"/>
                <w:i/>
                <w:iCs/>
                <w:color w:val="000000"/>
                <w:sz w:val="16"/>
                <w:szCs w:val="16"/>
              </w:rPr>
            </w:pPr>
            <w:r w:rsidRPr="003E5ED2">
              <w:rPr>
                <w:rFonts w:ascii="Arial" w:hAnsi="Arial" w:cs="Arial"/>
                <w:i/>
                <w:iCs/>
                <w:color w:val="000000"/>
                <w:sz w:val="16"/>
                <w:szCs w:val="16"/>
              </w:rPr>
              <w:t>2</w:t>
            </w:r>
          </w:p>
        </w:tc>
        <w:tc>
          <w:tcPr>
            <w:tcW w:w="1120" w:type="dxa"/>
            <w:tcBorders>
              <w:top w:val="nil"/>
              <w:left w:val="nil"/>
              <w:bottom w:val="nil"/>
              <w:right w:val="nil"/>
            </w:tcBorders>
            <w:shd w:val="clear" w:color="auto" w:fill="D5DCE4" w:themeFill="text2" w:themeFillTint="33"/>
            <w:noWrap/>
            <w:vAlign w:val="center"/>
            <w:hideMark/>
          </w:tcPr>
          <w:p w:rsidR="000E69DA" w:rsidRPr="003E5ED2" w:rsidRDefault="000E69DA" w:rsidP="000E69DA">
            <w:pPr>
              <w:jc w:val="center"/>
              <w:rPr>
                <w:rFonts w:ascii="Arial" w:hAnsi="Arial" w:cs="Arial"/>
                <w:i/>
                <w:iCs/>
                <w:color w:val="000000"/>
                <w:sz w:val="16"/>
                <w:szCs w:val="16"/>
              </w:rPr>
            </w:pPr>
            <w:r w:rsidRPr="003E5ED2">
              <w:rPr>
                <w:rFonts w:ascii="Arial" w:hAnsi="Arial" w:cs="Arial"/>
                <w:i/>
                <w:iCs/>
                <w:color w:val="000000"/>
                <w:sz w:val="16"/>
                <w:szCs w:val="16"/>
              </w:rPr>
              <w:t>3</w:t>
            </w:r>
          </w:p>
        </w:tc>
        <w:tc>
          <w:tcPr>
            <w:tcW w:w="1680" w:type="dxa"/>
            <w:tcBorders>
              <w:top w:val="nil"/>
              <w:left w:val="nil"/>
              <w:bottom w:val="nil"/>
              <w:right w:val="nil"/>
            </w:tcBorders>
            <w:shd w:val="clear" w:color="auto" w:fill="D5DCE4" w:themeFill="text2" w:themeFillTint="33"/>
            <w:noWrap/>
            <w:vAlign w:val="center"/>
            <w:hideMark/>
          </w:tcPr>
          <w:p w:rsidR="000E69DA" w:rsidRPr="003E5ED2" w:rsidRDefault="008311B5" w:rsidP="000E69DA">
            <w:pPr>
              <w:jc w:val="center"/>
              <w:rPr>
                <w:rFonts w:ascii="Arial" w:hAnsi="Arial" w:cs="Arial"/>
                <w:i/>
                <w:iCs/>
                <w:color w:val="000000"/>
                <w:sz w:val="16"/>
                <w:szCs w:val="16"/>
              </w:rPr>
            </w:pPr>
            <w:r w:rsidRPr="003E5ED2">
              <w:rPr>
                <w:rFonts w:ascii="Arial" w:hAnsi="Arial" w:cs="Arial"/>
                <w:i/>
                <w:iCs/>
                <w:color w:val="000000"/>
                <w:sz w:val="16"/>
                <w:szCs w:val="16"/>
              </w:rPr>
              <w:t xml:space="preserve">       </w:t>
            </w:r>
            <w:r w:rsidR="000E69DA" w:rsidRPr="003E5ED2">
              <w:rPr>
                <w:rFonts w:ascii="Arial" w:hAnsi="Arial" w:cs="Arial"/>
                <w:i/>
                <w:iCs/>
                <w:color w:val="000000"/>
                <w:sz w:val="16"/>
                <w:szCs w:val="16"/>
              </w:rPr>
              <w:t>4</w:t>
            </w:r>
          </w:p>
        </w:tc>
        <w:tc>
          <w:tcPr>
            <w:tcW w:w="2161" w:type="dxa"/>
            <w:tcBorders>
              <w:top w:val="nil"/>
              <w:left w:val="nil"/>
              <w:bottom w:val="nil"/>
              <w:right w:val="nil"/>
            </w:tcBorders>
            <w:shd w:val="clear" w:color="auto" w:fill="D5DCE4" w:themeFill="text2" w:themeFillTint="33"/>
            <w:noWrap/>
            <w:vAlign w:val="center"/>
            <w:hideMark/>
          </w:tcPr>
          <w:p w:rsidR="000E69DA" w:rsidRPr="003E5ED2" w:rsidRDefault="008311B5" w:rsidP="008311B5">
            <w:pPr>
              <w:jc w:val="center"/>
              <w:rPr>
                <w:rFonts w:ascii="Arial" w:hAnsi="Arial" w:cs="Arial"/>
                <w:i/>
                <w:iCs/>
                <w:color w:val="000000"/>
                <w:sz w:val="16"/>
                <w:szCs w:val="16"/>
              </w:rPr>
            </w:pPr>
            <w:r w:rsidRPr="003E5ED2">
              <w:rPr>
                <w:rFonts w:ascii="Arial" w:hAnsi="Arial" w:cs="Arial"/>
                <w:i/>
                <w:iCs/>
                <w:color w:val="000000"/>
                <w:sz w:val="16"/>
                <w:szCs w:val="16"/>
              </w:rPr>
              <w:t xml:space="preserve">              </w:t>
            </w:r>
            <w:r w:rsidR="000E69DA" w:rsidRPr="003E5ED2">
              <w:rPr>
                <w:rFonts w:ascii="Arial" w:hAnsi="Arial" w:cs="Arial"/>
                <w:i/>
                <w:iCs/>
                <w:color w:val="000000"/>
                <w:sz w:val="16"/>
                <w:szCs w:val="16"/>
              </w:rPr>
              <w:t>5</w:t>
            </w:r>
          </w:p>
        </w:tc>
      </w:tr>
      <w:tr w:rsidR="000E69DA" w:rsidRPr="003E5ED2" w:rsidTr="00445B35">
        <w:trPr>
          <w:trHeight w:val="288"/>
        </w:trPr>
        <w:tc>
          <w:tcPr>
            <w:tcW w:w="1134" w:type="dxa"/>
            <w:tcBorders>
              <w:top w:val="single" w:sz="4" w:space="0" w:color="auto"/>
              <w:left w:val="nil"/>
              <w:bottom w:val="single" w:sz="4" w:space="0" w:color="auto"/>
              <w:right w:val="nil"/>
            </w:tcBorders>
            <w:shd w:val="clear" w:color="auto" w:fill="auto"/>
            <w:noWrap/>
            <w:vAlign w:val="center"/>
            <w:hideMark/>
          </w:tcPr>
          <w:p w:rsidR="000E69DA" w:rsidRPr="003E5ED2" w:rsidRDefault="000E69DA" w:rsidP="000E69DA">
            <w:pPr>
              <w:jc w:val="both"/>
              <w:rPr>
                <w:rFonts w:ascii="Arial" w:hAnsi="Arial" w:cs="Arial"/>
                <w:b/>
                <w:bCs/>
                <w:color w:val="000000"/>
                <w:sz w:val="18"/>
                <w:szCs w:val="18"/>
              </w:rPr>
            </w:pPr>
            <w:r w:rsidRPr="003E5ED2">
              <w:rPr>
                <w:rFonts w:ascii="Arial" w:hAnsi="Arial" w:cs="Arial"/>
                <w:b/>
                <w:bCs/>
                <w:color w:val="000000"/>
                <w:sz w:val="18"/>
                <w:szCs w:val="18"/>
              </w:rPr>
              <w:t>922</w:t>
            </w:r>
          </w:p>
        </w:tc>
        <w:tc>
          <w:tcPr>
            <w:tcW w:w="3686" w:type="dxa"/>
            <w:tcBorders>
              <w:top w:val="single" w:sz="4" w:space="0" w:color="auto"/>
              <w:left w:val="nil"/>
              <w:bottom w:val="single" w:sz="4" w:space="0" w:color="auto"/>
              <w:right w:val="nil"/>
            </w:tcBorders>
            <w:shd w:val="clear" w:color="auto" w:fill="auto"/>
            <w:noWrap/>
            <w:vAlign w:val="center"/>
            <w:hideMark/>
          </w:tcPr>
          <w:p w:rsidR="000E69DA" w:rsidRPr="003E5ED2" w:rsidRDefault="00A631EF" w:rsidP="000E69DA">
            <w:pPr>
              <w:jc w:val="both"/>
              <w:rPr>
                <w:rFonts w:ascii="Arial" w:hAnsi="Arial" w:cs="Arial"/>
                <w:b/>
                <w:bCs/>
                <w:color w:val="000000"/>
                <w:sz w:val="18"/>
                <w:szCs w:val="18"/>
              </w:rPr>
            </w:pPr>
            <w:r w:rsidRPr="003E5ED2">
              <w:rPr>
                <w:rFonts w:ascii="Arial" w:hAnsi="Arial" w:cs="Arial"/>
                <w:b/>
                <w:bCs/>
                <w:color w:val="000000"/>
                <w:sz w:val="18"/>
                <w:szCs w:val="18"/>
              </w:rPr>
              <w:t xml:space="preserve"> </w:t>
            </w:r>
            <w:r w:rsidR="000E69DA" w:rsidRPr="003E5ED2">
              <w:rPr>
                <w:rFonts w:ascii="Arial" w:hAnsi="Arial" w:cs="Arial"/>
                <w:b/>
                <w:bCs/>
                <w:color w:val="000000"/>
                <w:sz w:val="18"/>
                <w:szCs w:val="18"/>
              </w:rPr>
              <w:t>Višak/manjak prihoda</w:t>
            </w:r>
          </w:p>
        </w:tc>
        <w:tc>
          <w:tcPr>
            <w:tcW w:w="1120" w:type="dxa"/>
            <w:tcBorders>
              <w:top w:val="single" w:sz="4" w:space="0" w:color="auto"/>
              <w:left w:val="nil"/>
              <w:bottom w:val="single" w:sz="4" w:space="0" w:color="auto"/>
              <w:right w:val="nil"/>
            </w:tcBorders>
            <w:shd w:val="clear" w:color="auto" w:fill="auto"/>
            <w:noWrap/>
            <w:vAlign w:val="center"/>
            <w:hideMark/>
          </w:tcPr>
          <w:p w:rsidR="000E69DA" w:rsidRPr="003E5ED2" w:rsidRDefault="00B81236" w:rsidP="000E69DA">
            <w:pPr>
              <w:jc w:val="center"/>
              <w:rPr>
                <w:rFonts w:ascii="Arial" w:hAnsi="Arial" w:cs="Arial"/>
                <w:b/>
                <w:bCs/>
                <w:color w:val="000000"/>
                <w:sz w:val="18"/>
                <w:szCs w:val="18"/>
              </w:rPr>
            </w:pPr>
            <w:r w:rsidRPr="003E5ED2">
              <w:rPr>
                <w:rFonts w:ascii="Arial" w:hAnsi="Arial" w:cs="Arial"/>
                <w:b/>
                <w:bCs/>
                <w:color w:val="000000"/>
                <w:sz w:val="18"/>
                <w:szCs w:val="18"/>
              </w:rPr>
              <w:t>922</w:t>
            </w:r>
          </w:p>
        </w:tc>
        <w:tc>
          <w:tcPr>
            <w:tcW w:w="1680" w:type="dxa"/>
            <w:tcBorders>
              <w:top w:val="single" w:sz="4" w:space="0" w:color="auto"/>
              <w:left w:val="nil"/>
              <w:bottom w:val="single" w:sz="4" w:space="0" w:color="auto"/>
              <w:right w:val="nil"/>
            </w:tcBorders>
            <w:shd w:val="clear" w:color="auto" w:fill="auto"/>
            <w:noWrap/>
            <w:vAlign w:val="center"/>
            <w:hideMark/>
          </w:tcPr>
          <w:p w:rsidR="000E69DA" w:rsidRPr="003E5ED2" w:rsidRDefault="00AF4DDB" w:rsidP="008311B5">
            <w:pPr>
              <w:jc w:val="right"/>
              <w:rPr>
                <w:rFonts w:ascii="Arial" w:hAnsi="Arial" w:cs="Arial"/>
                <w:b/>
                <w:bCs/>
                <w:color w:val="000000"/>
                <w:sz w:val="18"/>
                <w:szCs w:val="18"/>
              </w:rPr>
            </w:pPr>
            <w:r w:rsidRPr="003E5ED2">
              <w:rPr>
                <w:rFonts w:ascii="Arial" w:hAnsi="Arial" w:cs="Arial"/>
                <w:b/>
                <w:bCs/>
                <w:color w:val="000000"/>
                <w:sz w:val="18"/>
                <w:szCs w:val="18"/>
              </w:rPr>
              <w:t>17.152.493,09</w:t>
            </w:r>
          </w:p>
        </w:tc>
        <w:tc>
          <w:tcPr>
            <w:tcW w:w="2161" w:type="dxa"/>
            <w:tcBorders>
              <w:top w:val="single" w:sz="4" w:space="0" w:color="auto"/>
              <w:left w:val="nil"/>
              <w:bottom w:val="single" w:sz="4" w:space="0" w:color="auto"/>
              <w:right w:val="nil"/>
            </w:tcBorders>
            <w:shd w:val="clear" w:color="auto" w:fill="auto"/>
            <w:noWrap/>
            <w:vAlign w:val="center"/>
            <w:hideMark/>
          </w:tcPr>
          <w:p w:rsidR="000E69DA" w:rsidRPr="003E5ED2" w:rsidRDefault="00AF4DDB" w:rsidP="000E69DA">
            <w:pPr>
              <w:jc w:val="right"/>
              <w:rPr>
                <w:rFonts w:ascii="Arial" w:hAnsi="Arial" w:cs="Arial"/>
                <w:b/>
                <w:bCs/>
                <w:color w:val="000000"/>
                <w:sz w:val="18"/>
                <w:szCs w:val="18"/>
              </w:rPr>
            </w:pPr>
            <w:r w:rsidRPr="003E5ED2">
              <w:rPr>
                <w:rFonts w:ascii="Arial" w:hAnsi="Arial" w:cs="Arial"/>
                <w:b/>
                <w:bCs/>
                <w:color w:val="000000"/>
                <w:sz w:val="18"/>
                <w:szCs w:val="18"/>
              </w:rPr>
              <w:t>28.571.369,79</w:t>
            </w:r>
          </w:p>
        </w:tc>
      </w:tr>
      <w:tr w:rsidR="000E69DA" w:rsidRPr="003E5ED2" w:rsidTr="00445B35">
        <w:trPr>
          <w:trHeight w:val="288"/>
        </w:trPr>
        <w:tc>
          <w:tcPr>
            <w:tcW w:w="1134" w:type="dxa"/>
            <w:tcBorders>
              <w:top w:val="nil"/>
              <w:left w:val="nil"/>
              <w:bottom w:val="single" w:sz="4" w:space="0" w:color="auto"/>
              <w:right w:val="nil"/>
            </w:tcBorders>
            <w:shd w:val="clear" w:color="auto" w:fill="auto"/>
            <w:vAlign w:val="center"/>
            <w:hideMark/>
          </w:tcPr>
          <w:p w:rsidR="000E69DA" w:rsidRPr="003E5ED2" w:rsidRDefault="000E69DA" w:rsidP="000E69DA">
            <w:pPr>
              <w:jc w:val="both"/>
              <w:rPr>
                <w:rFonts w:ascii="Arial" w:hAnsi="Arial" w:cs="Arial"/>
                <w:color w:val="000000"/>
                <w:sz w:val="17"/>
                <w:szCs w:val="17"/>
              </w:rPr>
            </w:pPr>
            <w:r w:rsidRPr="003E5ED2">
              <w:rPr>
                <w:rFonts w:ascii="Arial" w:hAnsi="Arial" w:cs="Arial"/>
                <w:color w:val="000000"/>
                <w:sz w:val="17"/>
                <w:szCs w:val="17"/>
              </w:rPr>
              <w:t>92211</w:t>
            </w:r>
          </w:p>
        </w:tc>
        <w:tc>
          <w:tcPr>
            <w:tcW w:w="3686" w:type="dxa"/>
            <w:tcBorders>
              <w:top w:val="nil"/>
              <w:left w:val="nil"/>
              <w:bottom w:val="single" w:sz="4" w:space="0" w:color="auto"/>
              <w:right w:val="nil"/>
            </w:tcBorders>
            <w:shd w:val="clear" w:color="auto" w:fill="auto"/>
            <w:vAlign w:val="center"/>
            <w:hideMark/>
          </w:tcPr>
          <w:p w:rsidR="000E69DA" w:rsidRPr="003E5ED2" w:rsidRDefault="00A631EF" w:rsidP="000E69DA">
            <w:pPr>
              <w:jc w:val="both"/>
              <w:rPr>
                <w:rFonts w:ascii="Arial" w:hAnsi="Arial" w:cs="Arial"/>
                <w:color w:val="000000"/>
                <w:sz w:val="17"/>
                <w:szCs w:val="17"/>
              </w:rPr>
            </w:pPr>
            <w:r w:rsidRPr="003E5ED2">
              <w:rPr>
                <w:rFonts w:ascii="Arial" w:hAnsi="Arial" w:cs="Arial"/>
                <w:color w:val="000000"/>
                <w:sz w:val="17"/>
                <w:szCs w:val="17"/>
              </w:rPr>
              <w:t xml:space="preserve">  </w:t>
            </w:r>
            <w:r w:rsidR="000E69DA" w:rsidRPr="003E5ED2">
              <w:rPr>
                <w:rFonts w:ascii="Arial" w:hAnsi="Arial" w:cs="Arial"/>
                <w:color w:val="000000"/>
                <w:sz w:val="17"/>
                <w:szCs w:val="17"/>
              </w:rPr>
              <w:t>Višak prihoda poslovanja</w:t>
            </w:r>
          </w:p>
        </w:tc>
        <w:tc>
          <w:tcPr>
            <w:tcW w:w="1120" w:type="dxa"/>
            <w:tcBorders>
              <w:top w:val="nil"/>
              <w:left w:val="nil"/>
              <w:bottom w:val="single" w:sz="4" w:space="0" w:color="auto"/>
              <w:right w:val="nil"/>
            </w:tcBorders>
            <w:shd w:val="clear" w:color="auto" w:fill="auto"/>
            <w:noWrap/>
            <w:vAlign w:val="center"/>
            <w:hideMark/>
          </w:tcPr>
          <w:p w:rsidR="000E69DA" w:rsidRPr="003E5ED2" w:rsidRDefault="00B81236" w:rsidP="000E69DA">
            <w:pPr>
              <w:jc w:val="center"/>
              <w:rPr>
                <w:rFonts w:ascii="Arial" w:hAnsi="Arial" w:cs="Arial"/>
                <w:color w:val="000000"/>
                <w:sz w:val="17"/>
                <w:szCs w:val="17"/>
              </w:rPr>
            </w:pPr>
            <w:r w:rsidRPr="003E5ED2">
              <w:rPr>
                <w:rFonts w:ascii="Arial" w:hAnsi="Arial" w:cs="Arial"/>
                <w:color w:val="000000"/>
                <w:sz w:val="17"/>
                <w:szCs w:val="17"/>
              </w:rPr>
              <w:t>92211</w:t>
            </w:r>
          </w:p>
        </w:tc>
        <w:tc>
          <w:tcPr>
            <w:tcW w:w="1680" w:type="dxa"/>
            <w:tcBorders>
              <w:top w:val="nil"/>
              <w:left w:val="nil"/>
              <w:bottom w:val="single" w:sz="4" w:space="0" w:color="auto"/>
              <w:right w:val="nil"/>
            </w:tcBorders>
            <w:shd w:val="clear" w:color="auto" w:fill="auto"/>
            <w:noWrap/>
            <w:vAlign w:val="center"/>
            <w:hideMark/>
          </w:tcPr>
          <w:p w:rsidR="000E69DA" w:rsidRPr="003E5ED2" w:rsidRDefault="00AF4DDB" w:rsidP="00950585">
            <w:pPr>
              <w:jc w:val="right"/>
              <w:rPr>
                <w:rFonts w:ascii="Arial" w:hAnsi="Arial" w:cs="Arial"/>
                <w:color w:val="000000"/>
                <w:sz w:val="17"/>
                <w:szCs w:val="17"/>
              </w:rPr>
            </w:pPr>
            <w:r w:rsidRPr="003E5ED2">
              <w:rPr>
                <w:rFonts w:ascii="Arial" w:hAnsi="Arial" w:cs="Arial"/>
                <w:color w:val="000000"/>
                <w:sz w:val="17"/>
                <w:szCs w:val="17"/>
              </w:rPr>
              <w:t>32.376.959,15</w:t>
            </w:r>
          </w:p>
        </w:tc>
        <w:tc>
          <w:tcPr>
            <w:tcW w:w="2161" w:type="dxa"/>
            <w:tcBorders>
              <w:top w:val="nil"/>
              <w:left w:val="nil"/>
              <w:bottom w:val="single" w:sz="4" w:space="0" w:color="auto"/>
              <w:right w:val="nil"/>
            </w:tcBorders>
            <w:shd w:val="clear" w:color="auto" w:fill="auto"/>
            <w:noWrap/>
            <w:vAlign w:val="center"/>
            <w:hideMark/>
          </w:tcPr>
          <w:p w:rsidR="000E69DA" w:rsidRPr="003E5ED2" w:rsidRDefault="00AF4DDB" w:rsidP="000E69DA">
            <w:pPr>
              <w:jc w:val="right"/>
              <w:rPr>
                <w:rFonts w:ascii="Arial" w:hAnsi="Arial" w:cs="Arial"/>
                <w:color w:val="000000"/>
                <w:sz w:val="17"/>
                <w:szCs w:val="17"/>
              </w:rPr>
            </w:pPr>
            <w:r w:rsidRPr="003E5ED2">
              <w:rPr>
                <w:rFonts w:ascii="Arial" w:hAnsi="Arial" w:cs="Arial"/>
                <w:color w:val="000000"/>
                <w:sz w:val="17"/>
                <w:szCs w:val="17"/>
              </w:rPr>
              <w:t>35.681.523,32</w:t>
            </w:r>
          </w:p>
        </w:tc>
      </w:tr>
      <w:tr w:rsidR="000E69DA" w:rsidRPr="003E5ED2" w:rsidTr="00445B35">
        <w:trPr>
          <w:trHeight w:val="288"/>
        </w:trPr>
        <w:tc>
          <w:tcPr>
            <w:tcW w:w="1134" w:type="dxa"/>
            <w:tcBorders>
              <w:top w:val="nil"/>
              <w:left w:val="nil"/>
              <w:bottom w:val="single" w:sz="4" w:space="0" w:color="auto"/>
              <w:right w:val="nil"/>
            </w:tcBorders>
            <w:shd w:val="clear" w:color="auto" w:fill="auto"/>
            <w:vAlign w:val="center"/>
            <w:hideMark/>
          </w:tcPr>
          <w:p w:rsidR="000E69DA" w:rsidRPr="003E5ED2" w:rsidRDefault="000E69DA" w:rsidP="000E69DA">
            <w:pPr>
              <w:jc w:val="both"/>
              <w:rPr>
                <w:rFonts w:ascii="Arial" w:hAnsi="Arial" w:cs="Arial"/>
                <w:color w:val="000000"/>
                <w:sz w:val="17"/>
                <w:szCs w:val="17"/>
              </w:rPr>
            </w:pPr>
            <w:r w:rsidRPr="003E5ED2">
              <w:rPr>
                <w:rFonts w:ascii="Arial" w:hAnsi="Arial" w:cs="Arial"/>
                <w:color w:val="000000"/>
                <w:sz w:val="17"/>
                <w:szCs w:val="17"/>
              </w:rPr>
              <w:t>92222</w:t>
            </w:r>
          </w:p>
        </w:tc>
        <w:tc>
          <w:tcPr>
            <w:tcW w:w="3686" w:type="dxa"/>
            <w:tcBorders>
              <w:top w:val="nil"/>
              <w:left w:val="nil"/>
              <w:bottom w:val="single" w:sz="4" w:space="0" w:color="auto"/>
              <w:right w:val="nil"/>
            </w:tcBorders>
            <w:shd w:val="clear" w:color="auto" w:fill="auto"/>
            <w:vAlign w:val="center"/>
            <w:hideMark/>
          </w:tcPr>
          <w:p w:rsidR="000E69DA" w:rsidRPr="003E5ED2" w:rsidRDefault="00A631EF" w:rsidP="000E69DA">
            <w:pPr>
              <w:jc w:val="both"/>
              <w:rPr>
                <w:rFonts w:ascii="Arial" w:hAnsi="Arial" w:cs="Arial"/>
                <w:color w:val="000000"/>
                <w:sz w:val="17"/>
                <w:szCs w:val="17"/>
              </w:rPr>
            </w:pPr>
            <w:r w:rsidRPr="003E5ED2">
              <w:rPr>
                <w:rFonts w:ascii="Arial" w:hAnsi="Arial" w:cs="Arial"/>
                <w:color w:val="000000"/>
                <w:sz w:val="17"/>
                <w:szCs w:val="17"/>
              </w:rPr>
              <w:t xml:space="preserve">  </w:t>
            </w:r>
            <w:r w:rsidR="000E69DA" w:rsidRPr="003E5ED2">
              <w:rPr>
                <w:rFonts w:ascii="Arial" w:hAnsi="Arial" w:cs="Arial"/>
                <w:color w:val="000000"/>
                <w:sz w:val="17"/>
                <w:szCs w:val="17"/>
              </w:rPr>
              <w:t>Manjak prihoda od nefinancijske imovine</w:t>
            </w:r>
          </w:p>
        </w:tc>
        <w:tc>
          <w:tcPr>
            <w:tcW w:w="1120" w:type="dxa"/>
            <w:tcBorders>
              <w:top w:val="nil"/>
              <w:left w:val="nil"/>
              <w:bottom w:val="single" w:sz="4" w:space="0" w:color="auto"/>
              <w:right w:val="nil"/>
            </w:tcBorders>
            <w:shd w:val="clear" w:color="auto" w:fill="auto"/>
            <w:noWrap/>
            <w:vAlign w:val="center"/>
            <w:hideMark/>
          </w:tcPr>
          <w:p w:rsidR="000E69DA" w:rsidRPr="003E5ED2" w:rsidRDefault="00B81236" w:rsidP="000E69DA">
            <w:pPr>
              <w:jc w:val="center"/>
              <w:rPr>
                <w:rFonts w:ascii="Arial" w:hAnsi="Arial" w:cs="Arial"/>
                <w:color w:val="000000"/>
                <w:sz w:val="17"/>
                <w:szCs w:val="17"/>
              </w:rPr>
            </w:pPr>
            <w:r w:rsidRPr="003E5ED2">
              <w:rPr>
                <w:rFonts w:ascii="Arial" w:hAnsi="Arial" w:cs="Arial"/>
                <w:color w:val="000000"/>
                <w:sz w:val="17"/>
                <w:szCs w:val="17"/>
              </w:rPr>
              <w:t>92222</w:t>
            </w:r>
          </w:p>
        </w:tc>
        <w:tc>
          <w:tcPr>
            <w:tcW w:w="1680" w:type="dxa"/>
            <w:tcBorders>
              <w:top w:val="nil"/>
              <w:left w:val="nil"/>
              <w:bottom w:val="single" w:sz="4" w:space="0" w:color="auto"/>
              <w:right w:val="nil"/>
            </w:tcBorders>
            <w:shd w:val="clear" w:color="auto" w:fill="auto"/>
            <w:noWrap/>
            <w:vAlign w:val="center"/>
            <w:hideMark/>
          </w:tcPr>
          <w:p w:rsidR="000E69DA" w:rsidRPr="003E5ED2" w:rsidRDefault="00AF4DDB" w:rsidP="00A631EF">
            <w:pPr>
              <w:jc w:val="right"/>
              <w:rPr>
                <w:rFonts w:ascii="Arial" w:hAnsi="Arial" w:cs="Arial"/>
                <w:color w:val="000000"/>
                <w:sz w:val="17"/>
                <w:szCs w:val="17"/>
              </w:rPr>
            </w:pPr>
            <w:r w:rsidRPr="003E5ED2">
              <w:rPr>
                <w:rFonts w:ascii="Arial" w:hAnsi="Arial" w:cs="Arial"/>
                <w:color w:val="000000"/>
                <w:sz w:val="17"/>
                <w:szCs w:val="17"/>
              </w:rPr>
              <w:t>-19.210.277,38</w:t>
            </w:r>
          </w:p>
        </w:tc>
        <w:tc>
          <w:tcPr>
            <w:tcW w:w="2161" w:type="dxa"/>
            <w:tcBorders>
              <w:top w:val="nil"/>
              <w:left w:val="nil"/>
              <w:bottom w:val="single" w:sz="4" w:space="0" w:color="auto"/>
              <w:right w:val="nil"/>
            </w:tcBorders>
            <w:shd w:val="clear" w:color="auto" w:fill="auto"/>
            <w:noWrap/>
            <w:vAlign w:val="center"/>
            <w:hideMark/>
          </w:tcPr>
          <w:p w:rsidR="000E69DA" w:rsidRPr="003E5ED2" w:rsidRDefault="00025E76" w:rsidP="00AF4DDB">
            <w:pPr>
              <w:jc w:val="right"/>
              <w:rPr>
                <w:rFonts w:ascii="Arial" w:hAnsi="Arial" w:cs="Arial"/>
                <w:color w:val="000000"/>
                <w:sz w:val="17"/>
                <w:szCs w:val="17"/>
              </w:rPr>
            </w:pPr>
            <w:r w:rsidRPr="003E5ED2">
              <w:rPr>
                <w:rFonts w:ascii="Arial" w:hAnsi="Arial" w:cs="Arial"/>
                <w:color w:val="000000"/>
                <w:sz w:val="17"/>
                <w:szCs w:val="17"/>
              </w:rPr>
              <w:t>-</w:t>
            </w:r>
            <w:r w:rsidR="00AF4DDB" w:rsidRPr="003E5ED2">
              <w:rPr>
                <w:rFonts w:ascii="Arial" w:hAnsi="Arial" w:cs="Arial"/>
                <w:color w:val="000000"/>
                <w:sz w:val="17"/>
                <w:szCs w:val="17"/>
              </w:rPr>
              <w:t>4.027.815,48</w:t>
            </w:r>
          </w:p>
        </w:tc>
      </w:tr>
    </w:tbl>
    <w:p w:rsidR="00A74608" w:rsidRPr="003E5ED2" w:rsidRDefault="00B57F6B" w:rsidP="005B607B">
      <w:pPr>
        <w:pBdr>
          <w:bottom w:val="single" w:sz="4" w:space="3" w:color="auto"/>
        </w:pBdr>
        <w:jc w:val="both"/>
        <w:rPr>
          <w:rFonts w:ascii="Arial" w:hAnsi="Arial"/>
          <w:sz w:val="17"/>
          <w:szCs w:val="17"/>
        </w:rPr>
      </w:pPr>
      <w:r w:rsidRPr="003E5ED2">
        <w:rPr>
          <w:rFonts w:ascii="Arial" w:hAnsi="Arial"/>
          <w:b/>
          <w:sz w:val="17"/>
          <w:szCs w:val="17"/>
        </w:rPr>
        <w:t xml:space="preserve"> </w:t>
      </w:r>
      <w:r w:rsidR="007D3E63" w:rsidRPr="003E5ED2">
        <w:rPr>
          <w:rFonts w:ascii="Arial" w:hAnsi="Arial"/>
          <w:b/>
          <w:sz w:val="17"/>
          <w:szCs w:val="17"/>
        </w:rPr>
        <w:t xml:space="preserve"> </w:t>
      </w:r>
      <w:r w:rsidR="00EE3305" w:rsidRPr="003E5ED2">
        <w:rPr>
          <w:rFonts w:ascii="Arial" w:hAnsi="Arial"/>
          <w:sz w:val="17"/>
          <w:szCs w:val="17"/>
        </w:rPr>
        <w:t>9221</w:t>
      </w:r>
      <w:r w:rsidRPr="003E5ED2">
        <w:rPr>
          <w:rFonts w:ascii="Arial" w:hAnsi="Arial"/>
          <w:sz w:val="17"/>
          <w:szCs w:val="17"/>
        </w:rPr>
        <w:t>3</w:t>
      </w:r>
      <w:r w:rsidR="00EE3305" w:rsidRPr="003E5ED2">
        <w:rPr>
          <w:rFonts w:ascii="Arial" w:hAnsi="Arial"/>
          <w:sz w:val="17"/>
          <w:szCs w:val="17"/>
        </w:rPr>
        <w:t>/9222</w:t>
      </w:r>
      <w:r w:rsidR="00A631EF" w:rsidRPr="003E5ED2">
        <w:rPr>
          <w:rFonts w:ascii="Arial" w:hAnsi="Arial"/>
          <w:sz w:val="17"/>
          <w:szCs w:val="17"/>
        </w:rPr>
        <w:t>3</w:t>
      </w:r>
      <w:r w:rsidR="007D3E63" w:rsidRPr="003E5ED2">
        <w:rPr>
          <w:rFonts w:ascii="Arial" w:hAnsi="Arial"/>
          <w:sz w:val="17"/>
          <w:szCs w:val="17"/>
        </w:rPr>
        <w:t xml:space="preserve"> </w:t>
      </w:r>
      <w:r w:rsidR="00A631EF" w:rsidRPr="003E5ED2">
        <w:rPr>
          <w:rFonts w:ascii="Arial" w:hAnsi="Arial"/>
          <w:sz w:val="17"/>
          <w:szCs w:val="17"/>
        </w:rPr>
        <w:t xml:space="preserve"> </w:t>
      </w:r>
      <w:r w:rsidR="00EE3305" w:rsidRPr="003E5ED2">
        <w:rPr>
          <w:rFonts w:ascii="Arial" w:hAnsi="Arial"/>
          <w:sz w:val="17"/>
          <w:szCs w:val="17"/>
        </w:rPr>
        <w:t>Višak/manjak</w:t>
      </w:r>
      <w:r w:rsidR="007D3E63" w:rsidRPr="003E5ED2">
        <w:rPr>
          <w:rFonts w:ascii="Arial" w:hAnsi="Arial"/>
          <w:sz w:val="17"/>
          <w:szCs w:val="17"/>
        </w:rPr>
        <w:t xml:space="preserve"> primitaka od fi</w:t>
      </w:r>
      <w:r w:rsidR="00A631EF" w:rsidRPr="003E5ED2">
        <w:rPr>
          <w:rFonts w:ascii="Arial" w:hAnsi="Arial"/>
          <w:sz w:val="17"/>
          <w:szCs w:val="17"/>
        </w:rPr>
        <w:t xml:space="preserve">nancijske imovine </w:t>
      </w:r>
      <w:r w:rsidR="007D3E63" w:rsidRPr="003E5ED2">
        <w:rPr>
          <w:rFonts w:ascii="Arial" w:hAnsi="Arial"/>
          <w:sz w:val="17"/>
          <w:szCs w:val="17"/>
        </w:rPr>
        <w:t xml:space="preserve">    </w:t>
      </w:r>
      <w:r w:rsidR="00A631EF" w:rsidRPr="003E5ED2">
        <w:rPr>
          <w:rFonts w:ascii="Arial" w:hAnsi="Arial"/>
          <w:sz w:val="17"/>
          <w:szCs w:val="17"/>
        </w:rPr>
        <w:t xml:space="preserve">  </w:t>
      </w:r>
      <w:r w:rsidR="00EE3305" w:rsidRPr="003E5ED2">
        <w:rPr>
          <w:rFonts w:ascii="Arial" w:hAnsi="Arial"/>
          <w:sz w:val="17"/>
          <w:szCs w:val="17"/>
        </w:rPr>
        <w:t>9221</w:t>
      </w:r>
      <w:r w:rsidR="00B81236" w:rsidRPr="003E5ED2">
        <w:rPr>
          <w:rFonts w:ascii="Arial" w:hAnsi="Arial"/>
          <w:sz w:val="17"/>
          <w:szCs w:val="17"/>
        </w:rPr>
        <w:t>3</w:t>
      </w:r>
      <w:r w:rsidR="00EE3305" w:rsidRPr="003E5ED2">
        <w:rPr>
          <w:rFonts w:ascii="Arial" w:hAnsi="Arial"/>
          <w:sz w:val="17"/>
          <w:szCs w:val="17"/>
        </w:rPr>
        <w:t>/9222</w:t>
      </w:r>
      <w:r w:rsidR="00A631EF" w:rsidRPr="003E5ED2">
        <w:rPr>
          <w:rFonts w:ascii="Arial" w:hAnsi="Arial"/>
          <w:sz w:val="17"/>
          <w:szCs w:val="17"/>
        </w:rPr>
        <w:t>3</w:t>
      </w:r>
      <w:r w:rsidR="00F27C7D" w:rsidRPr="003E5ED2">
        <w:rPr>
          <w:rFonts w:ascii="Arial" w:hAnsi="Arial"/>
          <w:sz w:val="17"/>
          <w:szCs w:val="17"/>
        </w:rPr>
        <w:t xml:space="preserve">       </w:t>
      </w:r>
      <w:r w:rsidR="00025E76" w:rsidRPr="003E5ED2">
        <w:rPr>
          <w:rFonts w:ascii="Arial" w:hAnsi="Arial"/>
          <w:sz w:val="17"/>
          <w:szCs w:val="17"/>
        </w:rPr>
        <w:t xml:space="preserve"> </w:t>
      </w:r>
      <w:r w:rsidR="00A4306A" w:rsidRPr="003E5ED2">
        <w:rPr>
          <w:rFonts w:ascii="Arial" w:hAnsi="Arial"/>
          <w:sz w:val="17"/>
          <w:szCs w:val="17"/>
        </w:rPr>
        <w:t xml:space="preserve"> </w:t>
      </w:r>
      <w:r w:rsidR="00AF4DDB" w:rsidRPr="003E5ED2">
        <w:rPr>
          <w:rFonts w:ascii="Arial" w:hAnsi="Arial"/>
          <w:sz w:val="17"/>
          <w:szCs w:val="17"/>
        </w:rPr>
        <w:t xml:space="preserve">   3.985.811,32</w:t>
      </w:r>
      <w:r w:rsidR="00FB23DB" w:rsidRPr="003E5ED2">
        <w:rPr>
          <w:rFonts w:ascii="Arial" w:hAnsi="Arial"/>
          <w:sz w:val="17"/>
          <w:szCs w:val="17"/>
        </w:rPr>
        <w:t xml:space="preserve">           </w:t>
      </w:r>
      <w:r w:rsidR="00A4306A" w:rsidRPr="003E5ED2">
        <w:rPr>
          <w:rFonts w:ascii="Arial" w:hAnsi="Arial"/>
          <w:sz w:val="17"/>
          <w:szCs w:val="17"/>
        </w:rPr>
        <w:t xml:space="preserve"> </w:t>
      </w:r>
      <w:r w:rsidR="00FB23DB" w:rsidRPr="003E5ED2">
        <w:rPr>
          <w:rFonts w:ascii="Arial" w:hAnsi="Arial"/>
          <w:sz w:val="17"/>
          <w:szCs w:val="17"/>
        </w:rPr>
        <w:t xml:space="preserve"> </w:t>
      </w:r>
      <w:r w:rsidR="00645632" w:rsidRPr="003E5ED2">
        <w:rPr>
          <w:rFonts w:ascii="Arial" w:hAnsi="Arial"/>
          <w:sz w:val="17"/>
          <w:szCs w:val="17"/>
        </w:rPr>
        <w:t xml:space="preserve"> </w:t>
      </w:r>
      <w:r w:rsidR="001D3434" w:rsidRPr="003E5ED2">
        <w:rPr>
          <w:rFonts w:ascii="Arial" w:hAnsi="Arial"/>
          <w:sz w:val="17"/>
          <w:szCs w:val="17"/>
        </w:rPr>
        <w:t xml:space="preserve">     </w:t>
      </w:r>
      <w:r w:rsidR="00617894" w:rsidRPr="003E5ED2">
        <w:rPr>
          <w:rFonts w:ascii="Arial" w:hAnsi="Arial"/>
          <w:sz w:val="17"/>
          <w:szCs w:val="17"/>
        </w:rPr>
        <w:t xml:space="preserve">    </w:t>
      </w:r>
      <w:r w:rsidR="00436002" w:rsidRPr="003E5ED2">
        <w:rPr>
          <w:rFonts w:ascii="Arial" w:hAnsi="Arial"/>
          <w:sz w:val="17"/>
          <w:szCs w:val="17"/>
        </w:rPr>
        <w:t xml:space="preserve"> </w:t>
      </w:r>
      <w:r w:rsidR="00AF4DDB" w:rsidRPr="003E5ED2">
        <w:rPr>
          <w:rFonts w:ascii="Arial" w:hAnsi="Arial"/>
          <w:sz w:val="17"/>
          <w:szCs w:val="17"/>
        </w:rPr>
        <w:t>-3.082.338,05</w:t>
      </w:r>
    </w:p>
    <w:p w:rsidR="00C375C1" w:rsidRPr="003E5ED2" w:rsidRDefault="00C375C1" w:rsidP="00685D02">
      <w:pPr>
        <w:jc w:val="both"/>
        <w:rPr>
          <w:rFonts w:ascii="Arial" w:hAnsi="Arial" w:cs="Arial"/>
          <w:sz w:val="22"/>
          <w:szCs w:val="22"/>
        </w:rPr>
      </w:pPr>
    </w:p>
    <w:p w:rsidR="00770504" w:rsidRPr="003E5ED2" w:rsidRDefault="00770504" w:rsidP="000E69DA">
      <w:pPr>
        <w:jc w:val="both"/>
        <w:rPr>
          <w:rFonts w:ascii="Arial" w:hAnsi="Arial"/>
          <w:b/>
          <w:sz w:val="22"/>
          <w:szCs w:val="22"/>
        </w:rPr>
      </w:pPr>
    </w:p>
    <w:p w:rsidR="00263797" w:rsidRPr="003E5ED2" w:rsidRDefault="000E69DA" w:rsidP="000E69DA">
      <w:pPr>
        <w:jc w:val="both"/>
        <w:rPr>
          <w:rFonts w:ascii="Arial" w:hAnsi="Arial"/>
          <w:sz w:val="22"/>
          <w:szCs w:val="22"/>
        </w:rPr>
      </w:pPr>
      <w:r w:rsidRPr="003E5ED2">
        <w:rPr>
          <w:rFonts w:ascii="Arial" w:hAnsi="Arial"/>
          <w:b/>
          <w:sz w:val="22"/>
          <w:szCs w:val="22"/>
        </w:rPr>
        <w:t xml:space="preserve">Bilješka broj 6 </w:t>
      </w:r>
      <w:r w:rsidRPr="003E5ED2">
        <w:rPr>
          <w:rFonts w:ascii="Arial" w:hAnsi="Arial" w:cs="Arial"/>
          <w:b/>
          <w:sz w:val="22"/>
          <w:szCs w:val="22"/>
        </w:rPr>
        <w:t xml:space="preserve">– </w:t>
      </w:r>
      <w:proofErr w:type="spellStart"/>
      <w:r w:rsidR="002141E6" w:rsidRPr="003E5ED2">
        <w:rPr>
          <w:rFonts w:ascii="Arial" w:hAnsi="Arial"/>
          <w:b/>
          <w:sz w:val="22"/>
          <w:szCs w:val="22"/>
        </w:rPr>
        <w:t>Izvanbilančni</w:t>
      </w:r>
      <w:proofErr w:type="spellEnd"/>
      <w:r w:rsidR="002141E6" w:rsidRPr="003E5ED2">
        <w:rPr>
          <w:rFonts w:ascii="Arial" w:hAnsi="Arial"/>
          <w:b/>
          <w:sz w:val="22"/>
          <w:szCs w:val="22"/>
        </w:rPr>
        <w:t xml:space="preserve"> zapisi (</w:t>
      </w:r>
      <w:r w:rsidR="00D13953" w:rsidRPr="003E5ED2">
        <w:rPr>
          <w:rFonts w:ascii="Arial" w:hAnsi="Arial"/>
          <w:b/>
          <w:sz w:val="22"/>
          <w:szCs w:val="22"/>
        </w:rPr>
        <w:t>991-996</w:t>
      </w:r>
      <w:r w:rsidRPr="003E5ED2">
        <w:rPr>
          <w:rFonts w:ascii="Arial" w:hAnsi="Arial"/>
          <w:b/>
          <w:sz w:val="22"/>
          <w:szCs w:val="22"/>
        </w:rPr>
        <w:t xml:space="preserve">) </w:t>
      </w:r>
      <w:r w:rsidR="00263797" w:rsidRPr="003E5ED2">
        <w:rPr>
          <w:rFonts w:ascii="Arial" w:hAnsi="Arial"/>
          <w:sz w:val="22"/>
          <w:szCs w:val="22"/>
        </w:rPr>
        <w:t>sadrže vrijednosti poslovnih događaja koji u trenutku nastanka nemaju izravan utjecaj niti na jednu poziciju temeljnih financijskih izvještaja. S</w:t>
      </w:r>
      <w:r w:rsidRPr="003E5ED2">
        <w:rPr>
          <w:rFonts w:ascii="Arial" w:hAnsi="Arial"/>
          <w:sz w:val="22"/>
          <w:szCs w:val="22"/>
        </w:rPr>
        <w:t>adrže stavke koje nisu uključene u bilančne kategorije: dana jamstva, tuđu imovinu dobivenu na korištenje,</w:t>
      </w:r>
      <w:r w:rsidR="003058C1" w:rsidRPr="003E5ED2">
        <w:rPr>
          <w:rFonts w:ascii="Arial" w:hAnsi="Arial"/>
          <w:sz w:val="22"/>
          <w:szCs w:val="22"/>
        </w:rPr>
        <w:t xml:space="preserve"> instrumente</w:t>
      </w:r>
      <w:r w:rsidR="00D13953" w:rsidRPr="003E5ED2">
        <w:rPr>
          <w:rFonts w:ascii="Arial" w:hAnsi="Arial"/>
          <w:sz w:val="22"/>
          <w:szCs w:val="22"/>
        </w:rPr>
        <w:t xml:space="preserve"> osiguranja plaćanja,</w:t>
      </w:r>
      <w:r w:rsidRPr="003E5ED2">
        <w:rPr>
          <w:rFonts w:ascii="Arial" w:hAnsi="Arial"/>
          <w:sz w:val="22"/>
          <w:szCs w:val="22"/>
        </w:rPr>
        <w:t xml:space="preserve"> potencijalne obveze i potraživanja temeljem sudskih spor</w:t>
      </w:r>
      <w:r w:rsidR="003058C1" w:rsidRPr="003E5ED2">
        <w:rPr>
          <w:rFonts w:ascii="Arial" w:hAnsi="Arial"/>
          <w:sz w:val="22"/>
          <w:szCs w:val="22"/>
        </w:rPr>
        <w:t>ova i ostalih ugovornih odnosa</w:t>
      </w:r>
      <w:r w:rsidRPr="003E5ED2">
        <w:rPr>
          <w:rFonts w:ascii="Arial" w:hAnsi="Arial"/>
          <w:sz w:val="22"/>
          <w:szCs w:val="22"/>
        </w:rPr>
        <w:t xml:space="preserve">. U </w:t>
      </w:r>
      <w:proofErr w:type="spellStart"/>
      <w:r w:rsidRPr="003E5ED2">
        <w:rPr>
          <w:rFonts w:ascii="Arial" w:hAnsi="Arial"/>
          <w:sz w:val="22"/>
          <w:szCs w:val="22"/>
        </w:rPr>
        <w:t>izvanbilančnim</w:t>
      </w:r>
      <w:proofErr w:type="spellEnd"/>
      <w:r w:rsidRPr="003E5ED2">
        <w:rPr>
          <w:rFonts w:ascii="Arial" w:hAnsi="Arial"/>
          <w:sz w:val="22"/>
          <w:szCs w:val="22"/>
        </w:rPr>
        <w:t xml:space="preserve"> zapisima, pored navedenog, evidentiran</w:t>
      </w:r>
      <w:r w:rsidR="00263797" w:rsidRPr="003E5ED2">
        <w:rPr>
          <w:rFonts w:ascii="Arial" w:hAnsi="Arial"/>
          <w:sz w:val="22"/>
          <w:szCs w:val="22"/>
        </w:rPr>
        <w:t xml:space="preserve"> je iznos </w:t>
      </w:r>
      <w:r w:rsidRPr="003E5ED2">
        <w:rPr>
          <w:rFonts w:ascii="Arial" w:hAnsi="Arial"/>
          <w:sz w:val="22"/>
          <w:szCs w:val="22"/>
        </w:rPr>
        <w:t>nepodmiren</w:t>
      </w:r>
      <w:r w:rsidR="00263797" w:rsidRPr="003E5ED2">
        <w:rPr>
          <w:rFonts w:ascii="Arial" w:hAnsi="Arial"/>
          <w:sz w:val="22"/>
          <w:szCs w:val="22"/>
        </w:rPr>
        <w:t>ih</w:t>
      </w:r>
      <w:r w:rsidRPr="003E5ED2">
        <w:rPr>
          <w:rFonts w:ascii="Arial" w:hAnsi="Arial"/>
          <w:sz w:val="22"/>
          <w:szCs w:val="22"/>
        </w:rPr>
        <w:t xml:space="preserve"> obvez</w:t>
      </w:r>
      <w:r w:rsidR="00263797" w:rsidRPr="003E5ED2">
        <w:rPr>
          <w:rFonts w:ascii="Arial" w:hAnsi="Arial"/>
          <w:sz w:val="22"/>
          <w:szCs w:val="22"/>
        </w:rPr>
        <w:t>a</w:t>
      </w:r>
      <w:r w:rsidRPr="003E5ED2">
        <w:rPr>
          <w:rFonts w:ascii="Arial" w:hAnsi="Arial"/>
          <w:sz w:val="22"/>
          <w:szCs w:val="22"/>
        </w:rPr>
        <w:t xml:space="preserve"> prema neprofitnim organizacijama i proračunskim kor</w:t>
      </w:r>
      <w:r w:rsidR="000A7DB5" w:rsidRPr="003E5ED2">
        <w:rPr>
          <w:rFonts w:ascii="Arial" w:hAnsi="Arial"/>
          <w:sz w:val="22"/>
          <w:szCs w:val="22"/>
        </w:rPr>
        <w:t>isnicima</w:t>
      </w:r>
      <w:r w:rsidR="00614DF6" w:rsidRPr="003E5ED2">
        <w:rPr>
          <w:rFonts w:ascii="Arial" w:hAnsi="Arial"/>
          <w:sz w:val="22"/>
          <w:szCs w:val="22"/>
        </w:rPr>
        <w:t xml:space="preserve"> </w:t>
      </w:r>
      <w:r w:rsidR="000A7DB5" w:rsidRPr="003E5ED2">
        <w:rPr>
          <w:rFonts w:ascii="Arial" w:hAnsi="Arial"/>
          <w:sz w:val="22"/>
          <w:szCs w:val="22"/>
        </w:rPr>
        <w:t xml:space="preserve">na dan 31. </w:t>
      </w:r>
      <w:r w:rsidR="00A879E9" w:rsidRPr="003E5ED2">
        <w:rPr>
          <w:rFonts w:ascii="Arial" w:hAnsi="Arial"/>
          <w:sz w:val="22"/>
          <w:szCs w:val="22"/>
        </w:rPr>
        <w:t>prosinca 2024</w:t>
      </w:r>
      <w:r w:rsidRPr="003E5ED2">
        <w:rPr>
          <w:rFonts w:ascii="Arial" w:hAnsi="Arial"/>
          <w:sz w:val="22"/>
          <w:szCs w:val="22"/>
        </w:rPr>
        <w:t xml:space="preserve">. </w:t>
      </w:r>
    </w:p>
    <w:p w:rsidR="00770504" w:rsidRPr="003E5ED2" w:rsidRDefault="00770504" w:rsidP="00780348">
      <w:pPr>
        <w:jc w:val="both"/>
        <w:rPr>
          <w:rFonts w:ascii="Arial" w:hAnsi="Arial"/>
          <w:sz w:val="22"/>
          <w:szCs w:val="22"/>
        </w:rPr>
      </w:pPr>
    </w:p>
    <w:p w:rsidR="00780348" w:rsidRPr="003E5ED2" w:rsidRDefault="000E69DA" w:rsidP="00780348">
      <w:pPr>
        <w:jc w:val="both"/>
        <w:rPr>
          <w:rFonts w:ascii="Arial" w:hAnsi="Arial"/>
          <w:sz w:val="22"/>
          <w:szCs w:val="22"/>
        </w:rPr>
      </w:pPr>
      <w:proofErr w:type="spellStart"/>
      <w:r w:rsidRPr="003E5ED2">
        <w:rPr>
          <w:rFonts w:ascii="Arial" w:hAnsi="Arial"/>
          <w:sz w:val="22"/>
          <w:szCs w:val="22"/>
        </w:rPr>
        <w:t>Izvanbilančni</w:t>
      </w:r>
      <w:proofErr w:type="spellEnd"/>
      <w:r w:rsidRPr="003E5ED2">
        <w:rPr>
          <w:rFonts w:ascii="Arial" w:hAnsi="Arial"/>
          <w:sz w:val="22"/>
          <w:szCs w:val="22"/>
        </w:rPr>
        <w:t xml:space="preserve"> zapisi na datum bilance iznose ukupno </w:t>
      </w:r>
      <w:r w:rsidR="00FB4EC4" w:rsidRPr="003E5ED2">
        <w:rPr>
          <w:rFonts w:ascii="Arial" w:hAnsi="Arial"/>
          <w:sz w:val="22"/>
          <w:szCs w:val="22"/>
        </w:rPr>
        <w:t>251.092.652,</w:t>
      </w:r>
      <w:r w:rsidR="00724C01" w:rsidRPr="003E5ED2">
        <w:rPr>
          <w:rFonts w:ascii="Arial" w:hAnsi="Arial"/>
          <w:sz w:val="22"/>
          <w:szCs w:val="22"/>
        </w:rPr>
        <w:t>20</w:t>
      </w:r>
      <w:r w:rsidR="00F07285" w:rsidRPr="003E5ED2">
        <w:rPr>
          <w:rFonts w:ascii="Arial" w:hAnsi="Arial"/>
          <w:sz w:val="22"/>
          <w:szCs w:val="22"/>
        </w:rPr>
        <w:t xml:space="preserve"> eura</w:t>
      </w:r>
      <w:r w:rsidR="00263797" w:rsidRPr="003E5ED2">
        <w:rPr>
          <w:rFonts w:ascii="Arial" w:hAnsi="Arial"/>
          <w:sz w:val="22"/>
          <w:szCs w:val="22"/>
        </w:rPr>
        <w:t>.</w:t>
      </w:r>
      <w:r w:rsidRPr="003E5ED2">
        <w:rPr>
          <w:rFonts w:ascii="Arial" w:hAnsi="Arial"/>
          <w:sz w:val="22"/>
          <w:szCs w:val="22"/>
        </w:rPr>
        <w:t xml:space="preserve"> </w:t>
      </w:r>
    </w:p>
    <w:p w:rsidR="00C375C1" w:rsidRPr="003E5ED2" w:rsidRDefault="00C375C1" w:rsidP="00780348">
      <w:pPr>
        <w:jc w:val="both"/>
        <w:rPr>
          <w:rFonts w:ascii="Arial" w:hAnsi="Arial"/>
          <w:sz w:val="22"/>
          <w:szCs w:val="22"/>
        </w:rPr>
      </w:pPr>
    </w:p>
    <w:p w:rsidR="00780348" w:rsidRPr="003E5ED2" w:rsidRDefault="00780348" w:rsidP="00780348">
      <w:pPr>
        <w:jc w:val="both"/>
        <w:rPr>
          <w:rFonts w:ascii="Arial" w:hAnsi="Arial"/>
        </w:rPr>
      </w:pPr>
    </w:p>
    <w:p w:rsidR="00A101BE" w:rsidRPr="003E5ED2" w:rsidRDefault="000E69DA" w:rsidP="00047FBC">
      <w:pPr>
        <w:keepNext/>
        <w:numPr>
          <w:ilvl w:val="0"/>
          <w:numId w:val="1"/>
        </w:numPr>
        <w:jc w:val="both"/>
        <w:outlineLvl w:val="1"/>
        <w:rPr>
          <w:rFonts w:ascii="Arial" w:hAnsi="Arial"/>
          <w:b/>
          <w:color w:val="FF0000"/>
        </w:rPr>
      </w:pPr>
      <w:r w:rsidRPr="003E5ED2">
        <w:rPr>
          <w:rFonts w:ascii="Arial" w:hAnsi="Arial"/>
          <w:b/>
          <w:color w:val="1F3864" w:themeColor="accent5" w:themeShade="80"/>
          <w:sz w:val="24"/>
          <w:szCs w:val="24"/>
        </w:rPr>
        <w:t>Pregled ostalih ugovornih odnosa</w:t>
      </w:r>
      <w:r w:rsidR="00391F4F" w:rsidRPr="003E5ED2">
        <w:rPr>
          <w:rFonts w:ascii="Arial" w:hAnsi="Arial"/>
          <w:b/>
          <w:color w:val="1F3864" w:themeColor="accent5" w:themeShade="80"/>
          <w:sz w:val="24"/>
          <w:szCs w:val="24"/>
        </w:rPr>
        <w:t xml:space="preserve"> </w:t>
      </w:r>
    </w:p>
    <w:p w:rsidR="00BC6599" w:rsidRPr="003E5ED2" w:rsidRDefault="00BC6599" w:rsidP="000E69DA">
      <w:pPr>
        <w:jc w:val="both"/>
        <w:rPr>
          <w:rFonts w:ascii="Arial" w:hAnsi="Arial" w:cs="Arial"/>
          <w:sz w:val="22"/>
          <w:szCs w:val="22"/>
        </w:rPr>
      </w:pPr>
    </w:p>
    <w:p w:rsidR="000E69DA" w:rsidRPr="003E5ED2" w:rsidRDefault="000E69DA" w:rsidP="000E69DA">
      <w:pPr>
        <w:jc w:val="both"/>
        <w:rPr>
          <w:rFonts w:ascii="Arial" w:hAnsi="Arial" w:cs="Arial"/>
          <w:sz w:val="22"/>
          <w:szCs w:val="22"/>
        </w:rPr>
      </w:pPr>
      <w:r w:rsidRPr="003E5ED2">
        <w:rPr>
          <w:rFonts w:ascii="Arial" w:hAnsi="Arial" w:cs="Arial"/>
          <w:sz w:val="22"/>
          <w:szCs w:val="22"/>
        </w:rPr>
        <w:t>Bilješke uz fina</w:t>
      </w:r>
      <w:r w:rsidR="00425DEA" w:rsidRPr="003E5ED2">
        <w:rPr>
          <w:rFonts w:ascii="Arial" w:hAnsi="Arial" w:cs="Arial"/>
          <w:sz w:val="22"/>
          <w:szCs w:val="22"/>
        </w:rPr>
        <w:t>ncijski izvještaj</w:t>
      </w:r>
      <w:r w:rsidR="009919B7" w:rsidRPr="003E5ED2">
        <w:rPr>
          <w:rFonts w:ascii="Arial" w:hAnsi="Arial" w:cs="Arial"/>
          <w:sz w:val="22"/>
          <w:szCs w:val="22"/>
        </w:rPr>
        <w:t>, prema čl. 15</w:t>
      </w:r>
      <w:r w:rsidRPr="003E5ED2">
        <w:rPr>
          <w:rFonts w:ascii="Arial" w:hAnsi="Arial" w:cs="Arial"/>
          <w:sz w:val="22"/>
          <w:szCs w:val="22"/>
        </w:rPr>
        <w:t xml:space="preserve">. Pravilnika o financijskom izvještavanju u proračunskom računovodstvu (Narodne novine, broj </w:t>
      </w:r>
      <w:r w:rsidR="001B1A36" w:rsidRPr="003E5ED2">
        <w:rPr>
          <w:rFonts w:ascii="Arial" w:hAnsi="Arial" w:cs="Arial"/>
          <w:sz w:val="22"/>
          <w:szCs w:val="22"/>
        </w:rPr>
        <w:t>37/22</w:t>
      </w:r>
      <w:r w:rsidR="00425DEA" w:rsidRPr="003E5ED2">
        <w:rPr>
          <w:rFonts w:ascii="Arial" w:hAnsi="Arial" w:cs="Arial"/>
          <w:sz w:val="22"/>
          <w:szCs w:val="22"/>
        </w:rPr>
        <w:t>), sadrže obvezne B</w:t>
      </w:r>
      <w:r w:rsidRPr="003E5ED2">
        <w:rPr>
          <w:rFonts w:ascii="Arial" w:hAnsi="Arial" w:cs="Arial"/>
          <w:sz w:val="22"/>
          <w:szCs w:val="22"/>
        </w:rPr>
        <w:t>ilješke uz Bilancu: P</w:t>
      </w:r>
      <w:r w:rsidR="00EF59D6" w:rsidRPr="003E5ED2">
        <w:rPr>
          <w:rFonts w:ascii="Arial" w:hAnsi="Arial" w:cs="Arial"/>
          <w:sz w:val="22"/>
          <w:szCs w:val="22"/>
        </w:rPr>
        <w:t>opis</w:t>
      </w:r>
      <w:r w:rsidRPr="003E5ED2">
        <w:rPr>
          <w:rFonts w:ascii="Arial" w:hAnsi="Arial" w:cs="Arial"/>
          <w:sz w:val="22"/>
          <w:szCs w:val="22"/>
        </w:rPr>
        <w:t xml:space="preserve"> ostalih ugovornih odnosa koji uz ispunjenje određenih uvjeta, mogu postati obveza ili imovina (</w:t>
      </w:r>
      <w:r w:rsidR="00C11AD3" w:rsidRPr="003E5ED2">
        <w:rPr>
          <w:rFonts w:ascii="Arial" w:hAnsi="Arial" w:cs="Arial"/>
          <w:sz w:val="22"/>
          <w:szCs w:val="22"/>
        </w:rPr>
        <w:t xml:space="preserve">dana jamstva, </w:t>
      </w:r>
      <w:r w:rsidRPr="003E5ED2">
        <w:rPr>
          <w:rFonts w:ascii="Arial" w:hAnsi="Arial" w:cs="Arial"/>
          <w:sz w:val="22"/>
          <w:szCs w:val="22"/>
        </w:rPr>
        <w:t xml:space="preserve"> </w:t>
      </w:r>
      <w:r w:rsidR="00C11AD3" w:rsidRPr="003E5ED2">
        <w:rPr>
          <w:rFonts w:ascii="Arial" w:hAnsi="Arial" w:cs="Arial"/>
          <w:sz w:val="22"/>
          <w:szCs w:val="22"/>
        </w:rPr>
        <w:t xml:space="preserve"> dane suglasnosti za zaduženje, hipoteke i sl.</w:t>
      </w:r>
      <w:r w:rsidRPr="003E5ED2">
        <w:rPr>
          <w:rFonts w:ascii="Arial" w:hAnsi="Arial" w:cs="Arial"/>
          <w:sz w:val="22"/>
          <w:szCs w:val="22"/>
        </w:rPr>
        <w:t>)</w:t>
      </w:r>
      <w:r w:rsidR="00EF59D6" w:rsidRPr="003E5ED2">
        <w:rPr>
          <w:rFonts w:ascii="Arial" w:hAnsi="Arial" w:cs="Arial"/>
          <w:sz w:val="22"/>
          <w:szCs w:val="22"/>
        </w:rPr>
        <w:t xml:space="preserve"> i popis sudskih sporova u tijeku.</w:t>
      </w:r>
      <w:r w:rsidRPr="003E5ED2">
        <w:rPr>
          <w:rFonts w:ascii="Arial" w:hAnsi="Arial" w:cs="Arial"/>
          <w:sz w:val="22"/>
          <w:szCs w:val="22"/>
        </w:rPr>
        <w:t xml:space="preserve"> </w:t>
      </w:r>
    </w:p>
    <w:p w:rsidR="0029252C" w:rsidRPr="003E5ED2" w:rsidRDefault="0029252C" w:rsidP="000E69DA">
      <w:pPr>
        <w:jc w:val="both"/>
        <w:rPr>
          <w:rFonts w:ascii="Arial" w:hAnsi="Arial"/>
          <w:b/>
          <w:sz w:val="22"/>
          <w:szCs w:val="22"/>
        </w:rPr>
      </w:pPr>
    </w:p>
    <w:p w:rsidR="00BA5C46" w:rsidRPr="003E5ED2" w:rsidRDefault="00BA5C46" w:rsidP="000E69DA">
      <w:pPr>
        <w:jc w:val="both"/>
        <w:rPr>
          <w:rFonts w:ascii="Arial" w:hAnsi="Arial"/>
          <w:b/>
          <w:sz w:val="22"/>
          <w:szCs w:val="22"/>
        </w:rPr>
      </w:pPr>
    </w:p>
    <w:p w:rsidR="000E69DA" w:rsidRPr="003E5ED2" w:rsidRDefault="000E69DA" w:rsidP="004A6118">
      <w:pPr>
        <w:jc w:val="both"/>
        <w:rPr>
          <w:rFonts w:ascii="Arial" w:hAnsi="Arial"/>
          <w:b/>
          <w:sz w:val="22"/>
          <w:szCs w:val="22"/>
        </w:rPr>
      </w:pPr>
      <w:r w:rsidRPr="003E5ED2">
        <w:rPr>
          <w:rFonts w:ascii="Arial" w:hAnsi="Arial"/>
          <w:b/>
          <w:sz w:val="22"/>
          <w:szCs w:val="22"/>
        </w:rPr>
        <w:t xml:space="preserve">Bilješka broj 7 </w:t>
      </w:r>
      <w:r w:rsidRPr="003E5ED2">
        <w:rPr>
          <w:rFonts w:ascii="Arial" w:hAnsi="Arial" w:cs="Arial"/>
          <w:b/>
          <w:sz w:val="22"/>
          <w:szCs w:val="22"/>
        </w:rPr>
        <w:t>–</w:t>
      </w:r>
      <w:r w:rsidRPr="003E5ED2">
        <w:rPr>
          <w:rFonts w:ascii="Arial" w:hAnsi="Arial"/>
          <w:b/>
          <w:sz w:val="22"/>
          <w:szCs w:val="22"/>
        </w:rPr>
        <w:t xml:space="preserve"> Pregled </w:t>
      </w:r>
      <w:r w:rsidR="008C1032" w:rsidRPr="003E5ED2">
        <w:rPr>
          <w:rFonts w:ascii="Arial" w:hAnsi="Arial"/>
          <w:b/>
          <w:sz w:val="22"/>
          <w:szCs w:val="22"/>
        </w:rPr>
        <w:t xml:space="preserve">danih </w:t>
      </w:r>
      <w:r w:rsidRPr="003E5ED2">
        <w:rPr>
          <w:rFonts w:ascii="Arial" w:hAnsi="Arial"/>
          <w:b/>
          <w:sz w:val="22"/>
          <w:szCs w:val="22"/>
        </w:rPr>
        <w:t>jamstava</w:t>
      </w:r>
      <w:r w:rsidR="00E7403B" w:rsidRPr="003E5ED2">
        <w:rPr>
          <w:rFonts w:ascii="Arial" w:hAnsi="Arial"/>
          <w:b/>
          <w:sz w:val="22"/>
          <w:szCs w:val="22"/>
        </w:rPr>
        <w:t xml:space="preserve"> </w:t>
      </w:r>
    </w:p>
    <w:p w:rsidR="004A6118" w:rsidRPr="003E5ED2" w:rsidRDefault="004A6118" w:rsidP="004A6118">
      <w:pPr>
        <w:jc w:val="both"/>
        <w:rPr>
          <w:color w:val="1F3864" w:themeColor="accent5" w:themeShade="80"/>
          <w:sz w:val="22"/>
          <w:szCs w:val="22"/>
          <w:highlight w:val="yellow"/>
        </w:rPr>
      </w:pPr>
    </w:p>
    <w:p w:rsidR="001164CB" w:rsidRPr="003E5ED2" w:rsidRDefault="00295DEB" w:rsidP="00EA26C3">
      <w:pPr>
        <w:jc w:val="both"/>
        <w:rPr>
          <w:rFonts w:ascii="Arial" w:hAnsi="Arial" w:cs="Arial"/>
          <w:sz w:val="22"/>
          <w:szCs w:val="22"/>
        </w:rPr>
      </w:pPr>
      <w:r w:rsidRPr="003E5ED2">
        <w:rPr>
          <w:rFonts w:ascii="Arial" w:hAnsi="Arial" w:cs="Arial"/>
          <w:sz w:val="22"/>
          <w:szCs w:val="22"/>
        </w:rPr>
        <w:t>U</w:t>
      </w:r>
      <w:r w:rsidR="00052830" w:rsidRPr="003E5ED2">
        <w:rPr>
          <w:rFonts w:ascii="Arial" w:hAnsi="Arial" w:cs="Arial"/>
          <w:sz w:val="22"/>
          <w:szCs w:val="22"/>
        </w:rPr>
        <w:t xml:space="preserve"> nastavku</w:t>
      </w:r>
      <w:r w:rsidRPr="003E5ED2">
        <w:rPr>
          <w:rFonts w:ascii="Arial" w:hAnsi="Arial" w:cs="Arial"/>
          <w:sz w:val="22"/>
          <w:szCs w:val="22"/>
        </w:rPr>
        <w:t xml:space="preserve"> se </w:t>
      </w:r>
      <w:r w:rsidR="00052830" w:rsidRPr="003E5ED2">
        <w:rPr>
          <w:rFonts w:ascii="Arial" w:hAnsi="Arial" w:cs="Arial"/>
          <w:sz w:val="22"/>
          <w:szCs w:val="22"/>
        </w:rPr>
        <w:t xml:space="preserve">daje </w:t>
      </w:r>
      <w:r w:rsidR="001164CB" w:rsidRPr="003E5ED2">
        <w:rPr>
          <w:rFonts w:ascii="Arial" w:hAnsi="Arial" w:cs="Arial"/>
          <w:sz w:val="22"/>
          <w:szCs w:val="22"/>
        </w:rPr>
        <w:t xml:space="preserve">pregled </w:t>
      </w:r>
      <w:r w:rsidR="0064659A" w:rsidRPr="003E5ED2">
        <w:rPr>
          <w:rFonts w:ascii="Arial" w:hAnsi="Arial" w:cs="Arial"/>
          <w:sz w:val="22"/>
          <w:szCs w:val="22"/>
        </w:rPr>
        <w:t>dani</w:t>
      </w:r>
      <w:r w:rsidR="0036702D" w:rsidRPr="003E5ED2">
        <w:rPr>
          <w:rFonts w:ascii="Arial" w:hAnsi="Arial" w:cs="Arial"/>
          <w:sz w:val="22"/>
          <w:szCs w:val="22"/>
        </w:rPr>
        <w:t>h</w:t>
      </w:r>
      <w:r w:rsidR="0064659A" w:rsidRPr="003E5ED2">
        <w:rPr>
          <w:rFonts w:ascii="Arial" w:hAnsi="Arial" w:cs="Arial"/>
          <w:sz w:val="22"/>
          <w:szCs w:val="22"/>
        </w:rPr>
        <w:t xml:space="preserve"> jamst</w:t>
      </w:r>
      <w:r w:rsidR="0036702D" w:rsidRPr="003E5ED2">
        <w:rPr>
          <w:rFonts w:ascii="Arial" w:hAnsi="Arial" w:cs="Arial"/>
          <w:sz w:val="22"/>
          <w:szCs w:val="22"/>
        </w:rPr>
        <w:t>a</w:t>
      </w:r>
      <w:r w:rsidR="0064659A" w:rsidRPr="003E5ED2">
        <w:rPr>
          <w:rFonts w:ascii="Arial" w:hAnsi="Arial" w:cs="Arial"/>
          <w:sz w:val="22"/>
          <w:szCs w:val="22"/>
        </w:rPr>
        <w:t>v</w:t>
      </w:r>
      <w:r w:rsidR="0036702D" w:rsidRPr="003E5ED2">
        <w:rPr>
          <w:rFonts w:ascii="Arial" w:hAnsi="Arial" w:cs="Arial"/>
          <w:sz w:val="22"/>
          <w:szCs w:val="22"/>
        </w:rPr>
        <w:t>a:</w:t>
      </w:r>
      <w:r w:rsidR="0064659A" w:rsidRPr="003E5ED2">
        <w:rPr>
          <w:rFonts w:ascii="Arial" w:hAnsi="Arial" w:cs="Arial"/>
          <w:sz w:val="22"/>
          <w:szCs w:val="22"/>
        </w:rPr>
        <w:t xml:space="preserve"> </w:t>
      </w:r>
    </w:p>
    <w:p w:rsidR="00770504" w:rsidRPr="003E5ED2" w:rsidRDefault="00770504" w:rsidP="00EA26C3">
      <w:pPr>
        <w:jc w:val="both"/>
        <w:rPr>
          <w:rFonts w:ascii="Arial" w:hAnsi="Arial" w:cs="Arial"/>
          <w:sz w:val="22"/>
          <w:szCs w:val="22"/>
        </w:rPr>
      </w:pPr>
    </w:p>
    <w:p w:rsidR="001164CB" w:rsidRPr="003E5ED2" w:rsidRDefault="001164CB" w:rsidP="00D907B7">
      <w:pPr>
        <w:numPr>
          <w:ilvl w:val="0"/>
          <w:numId w:val="7"/>
        </w:numPr>
        <w:jc w:val="both"/>
        <w:rPr>
          <w:rFonts w:ascii="Arial" w:hAnsi="Arial"/>
          <w:b/>
          <w:sz w:val="22"/>
          <w:szCs w:val="22"/>
        </w:rPr>
      </w:pPr>
      <w:r w:rsidRPr="003E5ED2">
        <w:rPr>
          <w:rFonts w:ascii="Arial" w:hAnsi="Arial"/>
          <w:b/>
          <w:sz w:val="22"/>
          <w:szCs w:val="22"/>
        </w:rPr>
        <w:t>Jamstvo dano R</w:t>
      </w:r>
      <w:r w:rsidR="00F34FE7" w:rsidRPr="003E5ED2">
        <w:rPr>
          <w:rFonts w:ascii="Arial" w:hAnsi="Arial"/>
          <w:b/>
          <w:sz w:val="22"/>
          <w:szCs w:val="22"/>
        </w:rPr>
        <w:t xml:space="preserve">epublici Hrvatskoj </w:t>
      </w:r>
      <w:r w:rsidRPr="003E5ED2">
        <w:rPr>
          <w:rFonts w:ascii="Arial" w:hAnsi="Arial"/>
          <w:b/>
          <w:sz w:val="22"/>
          <w:szCs w:val="22"/>
        </w:rPr>
        <w:t xml:space="preserve">Ministarstvu financija za kreditno zaduženje </w:t>
      </w:r>
      <w:proofErr w:type="spellStart"/>
      <w:r w:rsidRPr="003E5ED2">
        <w:rPr>
          <w:rFonts w:ascii="Arial" w:hAnsi="Arial"/>
          <w:b/>
          <w:sz w:val="22"/>
          <w:szCs w:val="22"/>
        </w:rPr>
        <w:t>Ekoplus</w:t>
      </w:r>
      <w:proofErr w:type="spellEnd"/>
      <w:r w:rsidR="00882373" w:rsidRPr="003E5ED2">
        <w:rPr>
          <w:rFonts w:ascii="Arial" w:hAnsi="Arial"/>
          <w:b/>
          <w:sz w:val="22"/>
          <w:szCs w:val="22"/>
        </w:rPr>
        <w:t xml:space="preserve"> d.o.o.</w:t>
      </w:r>
    </w:p>
    <w:p w:rsidR="006A581D" w:rsidRPr="003E5ED2" w:rsidRDefault="006A581D" w:rsidP="001164CB">
      <w:pPr>
        <w:jc w:val="both"/>
        <w:rPr>
          <w:rFonts w:ascii="Arial" w:hAnsi="Arial"/>
          <w:sz w:val="22"/>
          <w:szCs w:val="22"/>
        </w:rPr>
      </w:pPr>
    </w:p>
    <w:p w:rsidR="001164CB" w:rsidRPr="003E5ED2" w:rsidRDefault="001164CB" w:rsidP="006A581D">
      <w:pPr>
        <w:ind w:left="340"/>
        <w:jc w:val="both"/>
        <w:rPr>
          <w:rFonts w:ascii="Arial" w:hAnsi="Arial"/>
          <w:sz w:val="22"/>
          <w:szCs w:val="22"/>
        </w:rPr>
      </w:pPr>
      <w:r w:rsidRPr="003E5ED2">
        <w:rPr>
          <w:rFonts w:ascii="Arial" w:hAnsi="Arial"/>
          <w:sz w:val="22"/>
          <w:szCs w:val="22"/>
        </w:rPr>
        <w:t xml:space="preserve">Gradsko vijeće Grada Rijeke je na sjednici održanoj 21. prosinca 2011. godine donijelo </w:t>
      </w:r>
      <w:r w:rsidRPr="003E5ED2">
        <w:rPr>
          <w:rFonts w:ascii="Arial" w:hAnsi="Arial" w:cs="Arial"/>
          <w:sz w:val="22"/>
          <w:szCs w:val="22"/>
        </w:rPr>
        <w:t xml:space="preserve">Odluku o davanju jamstva za dugoročno zaduženje </w:t>
      </w:r>
      <w:proofErr w:type="spellStart"/>
      <w:r w:rsidRPr="003E5ED2">
        <w:rPr>
          <w:rFonts w:ascii="Arial" w:hAnsi="Arial" w:cs="Arial"/>
          <w:sz w:val="22"/>
          <w:szCs w:val="22"/>
        </w:rPr>
        <w:t>Ekoplus</w:t>
      </w:r>
      <w:proofErr w:type="spellEnd"/>
      <w:r w:rsidRPr="003E5ED2">
        <w:rPr>
          <w:rFonts w:ascii="Arial" w:hAnsi="Arial" w:cs="Arial"/>
          <w:sz w:val="22"/>
          <w:szCs w:val="22"/>
        </w:rPr>
        <w:t xml:space="preserve"> </w:t>
      </w:r>
      <w:r w:rsidR="00AC6A1D" w:rsidRPr="003E5ED2">
        <w:rPr>
          <w:rFonts w:ascii="Arial" w:hAnsi="Arial" w:cs="Arial"/>
          <w:sz w:val="22"/>
          <w:szCs w:val="22"/>
        </w:rPr>
        <w:t xml:space="preserve">d.o.o. </w:t>
      </w:r>
      <w:r w:rsidRPr="003E5ED2">
        <w:rPr>
          <w:rFonts w:ascii="Arial" w:hAnsi="Arial"/>
          <w:sz w:val="22"/>
          <w:szCs w:val="22"/>
        </w:rPr>
        <w:t xml:space="preserve">za sufinanciranje Projekta IPA ŽCGO </w:t>
      </w:r>
      <w:proofErr w:type="spellStart"/>
      <w:r w:rsidRPr="003E5ED2">
        <w:rPr>
          <w:rFonts w:ascii="Arial" w:hAnsi="Arial"/>
          <w:sz w:val="22"/>
          <w:szCs w:val="22"/>
        </w:rPr>
        <w:t>Marišćina</w:t>
      </w:r>
      <w:proofErr w:type="spellEnd"/>
      <w:r w:rsidRPr="003E5ED2">
        <w:rPr>
          <w:rFonts w:ascii="Arial" w:hAnsi="Arial"/>
          <w:sz w:val="22"/>
          <w:szCs w:val="22"/>
        </w:rPr>
        <w:t>.</w:t>
      </w:r>
    </w:p>
    <w:p w:rsidR="001164CB" w:rsidRPr="003E5ED2" w:rsidRDefault="001164CB" w:rsidP="006A581D">
      <w:pPr>
        <w:pStyle w:val="Header"/>
        <w:tabs>
          <w:tab w:val="clear" w:pos="4320"/>
          <w:tab w:val="clear" w:pos="8640"/>
        </w:tabs>
        <w:ind w:left="340"/>
        <w:jc w:val="both"/>
        <w:rPr>
          <w:rFonts w:cs="Arial"/>
          <w:sz w:val="22"/>
          <w:szCs w:val="22"/>
        </w:rPr>
      </w:pPr>
      <w:r w:rsidRPr="003E5ED2">
        <w:rPr>
          <w:rFonts w:cs="Arial"/>
          <w:sz w:val="22"/>
          <w:szCs w:val="22"/>
        </w:rPr>
        <w:t xml:space="preserve">Navedenom Odlukom Grad Rijeka, kao solidarni dužnik s Primorsko-goranskom županijom, dao je jamstvo Republici Hrvatskoj Ministarstvu financija za osiguranje povrata dugoročnog zajma kojeg </w:t>
      </w:r>
      <w:r w:rsidRPr="003E5ED2">
        <w:rPr>
          <w:rFonts w:cs="Arial"/>
          <w:color w:val="000000"/>
          <w:sz w:val="22"/>
          <w:szCs w:val="22"/>
        </w:rPr>
        <w:t xml:space="preserve">je </w:t>
      </w:r>
      <w:proofErr w:type="spellStart"/>
      <w:r w:rsidRPr="003E5ED2">
        <w:rPr>
          <w:rFonts w:cs="Arial"/>
          <w:color w:val="000000"/>
          <w:sz w:val="22"/>
          <w:szCs w:val="22"/>
        </w:rPr>
        <w:t>Ekoplus</w:t>
      </w:r>
      <w:proofErr w:type="spellEnd"/>
      <w:r w:rsidR="00B82B7A" w:rsidRPr="003E5ED2">
        <w:rPr>
          <w:rFonts w:cs="Arial"/>
          <w:color w:val="000000"/>
          <w:sz w:val="22"/>
          <w:szCs w:val="22"/>
        </w:rPr>
        <w:t xml:space="preserve"> d.o.o.</w:t>
      </w:r>
      <w:r w:rsidRPr="003E5ED2">
        <w:rPr>
          <w:rFonts w:cs="Arial"/>
          <w:color w:val="000000"/>
          <w:sz w:val="22"/>
          <w:szCs w:val="22"/>
        </w:rPr>
        <w:t xml:space="preserve"> </w:t>
      </w:r>
      <w:r w:rsidR="00F34FE7" w:rsidRPr="003E5ED2">
        <w:rPr>
          <w:rFonts w:cs="Arial"/>
          <w:color w:val="000000"/>
          <w:sz w:val="22"/>
          <w:szCs w:val="22"/>
        </w:rPr>
        <w:t>primio</w:t>
      </w:r>
      <w:r w:rsidRPr="003E5ED2">
        <w:rPr>
          <w:rFonts w:cs="Arial"/>
          <w:sz w:val="22"/>
          <w:szCs w:val="22"/>
        </w:rPr>
        <w:t xml:space="preserve"> od Republike Hrvatske Ministarstva financija za sufinanciranje gradnje Županijskog centra za gospodarenje otpadom </w:t>
      </w:r>
      <w:proofErr w:type="spellStart"/>
      <w:r w:rsidRPr="003E5ED2">
        <w:rPr>
          <w:rFonts w:cs="Arial"/>
          <w:sz w:val="22"/>
          <w:szCs w:val="22"/>
        </w:rPr>
        <w:t>Marišćina</w:t>
      </w:r>
      <w:proofErr w:type="spellEnd"/>
      <w:r w:rsidRPr="003E5ED2">
        <w:rPr>
          <w:rFonts w:cs="Arial"/>
          <w:sz w:val="22"/>
          <w:szCs w:val="22"/>
        </w:rPr>
        <w:t xml:space="preserve"> (Program IPA, komponenta III, Operativni program Zaštita okoliša).</w:t>
      </w:r>
    </w:p>
    <w:p w:rsidR="001164CB" w:rsidRPr="003E5ED2" w:rsidRDefault="001164CB" w:rsidP="006A581D">
      <w:pPr>
        <w:pStyle w:val="Header"/>
        <w:ind w:left="340"/>
        <w:jc w:val="both"/>
        <w:rPr>
          <w:rFonts w:cs="Arial"/>
          <w:sz w:val="22"/>
          <w:szCs w:val="22"/>
        </w:rPr>
      </w:pPr>
      <w:r w:rsidRPr="003E5ED2">
        <w:rPr>
          <w:rFonts w:cs="Arial"/>
          <w:sz w:val="22"/>
          <w:szCs w:val="22"/>
        </w:rPr>
        <w:t xml:space="preserve">Ugovor o zajmu između Republike Hrvatske Ministarstva financija i </w:t>
      </w:r>
      <w:proofErr w:type="spellStart"/>
      <w:r w:rsidRPr="003E5ED2">
        <w:rPr>
          <w:rFonts w:cs="Arial"/>
          <w:sz w:val="22"/>
          <w:szCs w:val="22"/>
        </w:rPr>
        <w:t>Ekoplus</w:t>
      </w:r>
      <w:proofErr w:type="spellEnd"/>
      <w:r w:rsidR="00DD6982" w:rsidRPr="003E5ED2">
        <w:rPr>
          <w:rFonts w:cs="Arial"/>
          <w:sz w:val="22"/>
          <w:szCs w:val="22"/>
        </w:rPr>
        <w:t xml:space="preserve"> d.o.o.</w:t>
      </w:r>
      <w:r w:rsidRPr="003E5ED2">
        <w:rPr>
          <w:rFonts w:cs="Arial"/>
          <w:sz w:val="22"/>
          <w:szCs w:val="22"/>
        </w:rPr>
        <w:t xml:space="preserve">, uz suglasnost Primorsko-goranske županije i Grada Rijeke kao solidarnih dužnika, sklopljen je 17. siječnja 2012. godine na iznos od 7.201.344 </w:t>
      </w:r>
      <w:r w:rsidR="00AA0767" w:rsidRPr="003E5ED2">
        <w:rPr>
          <w:rFonts w:cs="Arial"/>
          <w:sz w:val="22"/>
          <w:szCs w:val="22"/>
        </w:rPr>
        <w:t>eura</w:t>
      </w:r>
      <w:r w:rsidRPr="003E5ED2">
        <w:rPr>
          <w:rFonts w:cs="Arial"/>
          <w:sz w:val="22"/>
          <w:szCs w:val="22"/>
        </w:rPr>
        <w:t>.</w:t>
      </w:r>
    </w:p>
    <w:p w:rsidR="001164CB" w:rsidRPr="003E5ED2" w:rsidRDefault="001164CB" w:rsidP="006A581D">
      <w:pPr>
        <w:pStyle w:val="Header"/>
        <w:ind w:left="340"/>
        <w:jc w:val="both"/>
        <w:rPr>
          <w:rFonts w:cs="Arial"/>
          <w:sz w:val="22"/>
          <w:szCs w:val="22"/>
        </w:rPr>
      </w:pPr>
      <w:r w:rsidRPr="003E5ED2">
        <w:rPr>
          <w:rFonts w:cs="Arial"/>
          <w:sz w:val="22"/>
          <w:szCs w:val="22"/>
        </w:rPr>
        <w:t xml:space="preserve">Dodatkom Ugovoru o zajmu Republike Hrvatske Ministarstva financija i </w:t>
      </w:r>
      <w:proofErr w:type="spellStart"/>
      <w:r w:rsidRPr="003E5ED2">
        <w:rPr>
          <w:rFonts w:cs="Arial"/>
          <w:sz w:val="22"/>
          <w:szCs w:val="22"/>
        </w:rPr>
        <w:t>Ekoplus</w:t>
      </w:r>
      <w:proofErr w:type="spellEnd"/>
      <w:r w:rsidR="00DD6982" w:rsidRPr="003E5ED2">
        <w:rPr>
          <w:rFonts w:cs="Arial"/>
          <w:sz w:val="22"/>
          <w:szCs w:val="22"/>
        </w:rPr>
        <w:t xml:space="preserve"> d.o.o.</w:t>
      </w:r>
      <w:r w:rsidRPr="003E5ED2">
        <w:rPr>
          <w:rFonts w:cs="Arial"/>
          <w:sz w:val="22"/>
          <w:szCs w:val="22"/>
        </w:rPr>
        <w:t xml:space="preserve">, uz suglasnost Primorsko-goranske županije i Grada Rijeke kao solidarnih dužnika, koji je sklopljen 20. prosinca 2013. godine, smanjen je iznos sufinanciranja </w:t>
      </w:r>
      <w:proofErr w:type="spellStart"/>
      <w:r w:rsidRPr="003E5ED2">
        <w:rPr>
          <w:rFonts w:cs="Arial"/>
          <w:sz w:val="22"/>
          <w:szCs w:val="22"/>
        </w:rPr>
        <w:t>Ekoplus</w:t>
      </w:r>
      <w:proofErr w:type="spellEnd"/>
      <w:r w:rsidR="00DD6982" w:rsidRPr="003E5ED2">
        <w:rPr>
          <w:rFonts w:cs="Arial"/>
          <w:sz w:val="22"/>
          <w:szCs w:val="22"/>
        </w:rPr>
        <w:t xml:space="preserve"> d.o.o.</w:t>
      </w:r>
      <w:r w:rsidRPr="003E5ED2">
        <w:rPr>
          <w:rFonts w:cs="Arial"/>
          <w:sz w:val="22"/>
          <w:szCs w:val="22"/>
        </w:rPr>
        <w:t xml:space="preserve"> u projektu na iznos od 4.566.903,58 </w:t>
      </w:r>
      <w:r w:rsidR="00AA0767" w:rsidRPr="003E5ED2">
        <w:rPr>
          <w:rFonts w:cs="Arial"/>
          <w:sz w:val="22"/>
          <w:szCs w:val="22"/>
        </w:rPr>
        <w:t>eura</w:t>
      </w:r>
      <w:r w:rsidRPr="003E5ED2">
        <w:rPr>
          <w:rFonts w:cs="Arial"/>
          <w:sz w:val="22"/>
          <w:szCs w:val="22"/>
        </w:rPr>
        <w:t>, odnosno smanjen je iznos jamstva Grada.</w:t>
      </w:r>
    </w:p>
    <w:p w:rsidR="001164CB" w:rsidRPr="003E5ED2" w:rsidRDefault="001164CB" w:rsidP="006A581D">
      <w:pPr>
        <w:pStyle w:val="Header"/>
        <w:ind w:left="340"/>
        <w:jc w:val="both"/>
        <w:rPr>
          <w:rFonts w:cs="Arial"/>
          <w:sz w:val="22"/>
          <w:szCs w:val="22"/>
        </w:rPr>
      </w:pPr>
      <w:r w:rsidRPr="003E5ED2">
        <w:rPr>
          <w:rFonts w:cs="Arial"/>
          <w:sz w:val="22"/>
          <w:szCs w:val="22"/>
        </w:rPr>
        <w:t xml:space="preserve">Prema uvjetima iz ugovora, </w:t>
      </w:r>
      <w:proofErr w:type="spellStart"/>
      <w:r w:rsidRPr="003E5ED2">
        <w:rPr>
          <w:rFonts w:cs="Arial"/>
          <w:sz w:val="22"/>
          <w:szCs w:val="22"/>
        </w:rPr>
        <w:t>Ekoplus</w:t>
      </w:r>
      <w:proofErr w:type="spellEnd"/>
      <w:r w:rsidR="00DD6982" w:rsidRPr="003E5ED2">
        <w:rPr>
          <w:rFonts w:cs="Arial"/>
          <w:sz w:val="22"/>
          <w:szCs w:val="22"/>
        </w:rPr>
        <w:t xml:space="preserve"> d.o.o.</w:t>
      </w:r>
      <w:r w:rsidRPr="003E5ED2">
        <w:rPr>
          <w:rFonts w:cs="Arial"/>
          <w:sz w:val="22"/>
          <w:szCs w:val="22"/>
        </w:rPr>
        <w:t xml:space="preserve"> će sredstva zajma otplaćivati sukcesivno u roku od 25 godina uključujući i poček od 5 godina u 80 jednakih tromjesečnih rata. Dospijeće prve rate je 5 g</w:t>
      </w:r>
      <w:r w:rsidR="00C81981" w:rsidRPr="003E5ED2">
        <w:rPr>
          <w:rFonts w:cs="Arial"/>
          <w:sz w:val="22"/>
          <w:szCs w:val="22"/>
        </w:rPr>
        <w:t>odina od prvog korištenja zajma,</w:t>
      </w:r>
      <w:r w:rsidR="00102DFD" w:rsidRPr="003E5ED2">
        <w:rPr>
          <w:rFonts w:cs="Arial"/>
          <w:sz w:val="22"/>
          <w:szCs w:val="22"/>
        </w:rPr>
        <w:t xml:space="preserve"> </w:t>
      </w:r>
      <w:r w:rsidR="00C81981" w:rsidRPr="003E5ED2">
        <w:rPr>
          <w:rFonts w:cs="Arial"/>
          <w:sz w:val="22"/>
          <w:szCs w:val="22"/>
        </w:rPr>
        <w:t>odnosno otplata zajma je započela u 2017.</w:t>
      </w:r>
      <w:r w:rsidR="00254AAC" w:rsidRPr="003E5ED2">
        <w:rPr>
          <w:rFonts w:cs="Arial"/>
          <w:sz w:val="22"/>
          <w:szCs w:val="22"/>
        </w:rPr>
        <w:t xml:space="preserve"> </w:t>
      </w:r>
      <w:r w:rsidR="00C81981" w:rsidRPr="003E5ED2">
        <w:rPr>
          <w:rFonts w:cs="Arial"/>
          <w:sz w:val="22"/>
          <w:szCs w:val="22"/>
        </w:rPr>
        <w:t>godini.</w:t>
      </w:r>
    </w:p>
    <w:p w:rsidR="001164CB" w:rsidRPr="003E5ED2" w:rsidRDefault="001164CB" w:rsidP="006A581D">
      <w:pPr>
        <w:pStyle w:val="Header"/>
        <w:ind w:left="340"/>
        <w:jc w:val="both"/>
        <w:rPr>
          <w:rFonts w:cs="Arial"/>
          <w:sz w:val="22"/>
          <w:szCs w:val="22"/>
        </w:rPr>
      </w:pPr>
      <w:r w:rsidRPr="003E5ED2">
        <w:rPr>
          <w:rFonts w:cs="Arial"/>
          <w:sz w:val="22"/>
          <w:szCs w:val="22"/>
        </w:rPr>
        <w:t>Kamatna stopa za cijelo vrijeme trajanja zajma je fiksna i iznosi 3,987%. Kamata se obračunava od prvog korištenja zajma, a naplaćuje se nakon isteka počeka u 80 jednakih tromjesečnih rata.</w:t>
      </w:r>
    </w:p>
    <w:p w:rsidR="007627D2" w:rsidRPr="003E5ED2" w:rsidRDefault="00EE29A5" w:rsidP="00342DDC">
      <w:pPr>
        <w:ind w:left="340"/>
        <w:jc w:val="both"/>
        <w:rPr>
          <w:rFonts w:ascii="Arial" w:hAnsi="Arial" w:cs="Arial"/>
          <w:b/>
          <w:sz w:val="22"/>
          <w:szCs w:val="22"/>
        </w:rPr>
      </w:pPr>
      <w:r w:rsidRPr="003E5ED2">
        <w:rPr>
          <w:rFonts w:ascii="Arial" w:hAnsi="Arial" w:cs="Arial"/>
          <w:b/>
          <w:sz w:val="22"/>
          <w:szCs w:val="22"/>
        </w:rPr>
        <w:t>Stanje kredita n</w:t>
      </w:r>
      <w:r w:rsidR="00281682" w:rsidRPr="003E5ED2">
        <w:rPr>
          <w:rFonts w:ascii="Arial" w:hAnsi="Arial" w:cs="Arial"/>
          <w:b/>
          <w:sz w:val="22"/>
          <w:szCs w:val="22"/>
        </w:rPr>
        <w:t xml:space="preserve">a dan 31. prosinca </w:t>
      </w:r>
      <w:r w:rsidR="00BD4ADB" w:rsidRPr="003E5ED2">
        <w:rPr>
          <w:rFonts w:ascii="Arial" w:hAnsi="Arial" w:cs="Arial"/>
          <w:b/>
          <w:sz w:val="22"/>
          <w:szCs w:val="22"/>
        </w:rPr>
        <w:t>2024</w:t>
      </w:r>
      <w:r w:rsidR="001164CB" w:rsidRPr="003E5ED2">
        <w:rPr>
          <w:rFonts w:ascii="Arial" w:hAnsi="Arial" w:cs="Arial"/>
          <w:b/>
          <w:sz w:val="22"/>
          <w:szCs w:val="22"/>
        </w:rPr>
        <w:t xml:space="preserve">. godine po osnovi glavnice i kamate </w:t>
      </w:r>
      <w:r w:rsidR="001164CB" w:rsidRPr="003E5ED2">
        <w:rPr>
          <w:rFonts w:ascii="Arial" w:hAnsi="Arial" w:cs="Arial"/>
          <w:b/>
          <w:color w:val="000000"/>
          <w:sz w:val="22"/>
          <w:szCs w:val="22"/>
        </w:rPr>
        <w:t xml:space="preserve">iznosi </w:t>
      </w:r>
      <w:r w:rsidR="00BD4ADB" w:rsidRPr="003E5ED2">
        <w:rPr>
          <w:rFonts w:ascii="Arial" w:hAnsi="Arial" w:cs="Arial"/>
          <w:b/>
          <w:color w:val="000000"/>
          <w:sz w:val="22"/>
          <w:szCs w:val="22"/>
        </w:rPr>
        <w:t>3.746.400,35</w:t>
      </w:r>
      <w:r w:rsidR="001164CB" w:rsidRPr="003E5ED2">
        <w:rPr>
          <w:rFonts w:ascii="Arial" w:hAnsi="Arial" w:cs="Arial"/>
          <w:b/>
          <w:sz w:val="22"/>
          <w:szCs w:val="22"/>
        </w:rPr>
        <w:t xml:space="preserve"> </w:t>
      </w:r>
      <w:r w:rsidR="00AA0767" w:rsidRPr="003E5ED2">
        <w:rPr>
          <w:rFonts w:ascii="Arial" w:hAnsi="Arial" w:cs="Arial"/>
          <w:b/>
          <w:sz w:val="22"/>
          <w:szCs w:val="22"/>
        </w:rPr>
        <w:t>eura</w:t>
      </w:r>
      <w:r w:rsidR="007627D2" w:rsidRPr="003E5ED2">
        <w:rPr>
          <w:rFonts w:ascii="Arial" w:hAnsi="Arial" w:cs="Arial"/>
          <w:b/>
          <w:sz w:val="22"/>
          <w:szCs w:val="22"/>
        </w:rPr>
        <w:t>.</w:t>
      </w:r>
    </w:p>
    <w:p w:rsidR="00770504" w:rsidRPr="003E5ED2" w:rsidRDefault="00770504" w:rsidP="00384890">
      <w:pPr>
        <w:jc w:val="both"/>
        <w:rPr>
          <w:rFonts w:ascii="Arial" w:hAnsi="Arial" w:cs="Arial"/>
          <w:sz w:val="22"/>
          <w:szCs w:val="22"/>
        </w:rPr>
      </w:pPr>
    </w:p>
    <w:p w:rsidR="001164CB" w:rsidRPr="003E5ED2" w:rsidRDefault="001164CB" w:rsidP="006A581D">
      <w:pPr>
        <w:numPr>
          <w:ilvl w:val="0"/>
          <w:numId w:val="7"/>
        </w:numPr>
        <w:ind w:left="340"/>
        <w:jc w:val="both"/>
        <w:rPr>
          <w:rFonts w:ascii="Arial" w:hAnsi="Arial"/>
          <w:b/>
          <w:sz w:val="22"/>
          <w:szCs w:val="22"/>
        </w:rPr>
      </w:pPr>
      <w:r w:rsidRPr="003E5ED2">
        <w:rPr>
          <w:rFonts w:ascii="Arial" w:hAnsi="Arial"/>
          <w:b/>
          <w:sz w:val="22"/>
          <w:szCs w:val="22"/>
        </w:rPr>
        <w:t>Jamstvo dano za kreditno zaduženje Energo d.o.o. Rijeka</w:t>
      </w:r>
    </w:p>
    <w:p w:rsidR="00B30F23" w:rsidRPr="003E5ED2" w:rsidRDefault="00B30F23" w:rsidP="006A581D">
      <w:pPr>
        <w:ind w:left="340"/>
        <w:jc w:val="both"/>
        <w:rPr>
          <w:rFonts w:ascii="Arial" w:hAnsi="Arial" w:cs="Arial"/>
          <w:sz w:val="22"/>
          <w:szCs w:val="22"/>
          <w:highlight w:val="yellow"/>
        </w:rPr>
      </w:pPr>
    </w:p>
    <w:p w:rsidR="001164CB" w:rsidRPr="003E5ED2" w:rsidRDefault="001164CB" w:rsidP="006A581D">
      <w:pPr>
        <w:ind w:left="340"/>
        <w:jc w:val="both"/>
        <w:rPr>
          <w:rFonts w:ascii="Arial" w:hAnsi="Arial" w:cs="Arial"/>
          <w:sz w:val="22"/>
          <w:szCs w:val="22"/>
        </w:rPr>
      </w:pPr>
      <w:r w:rsidRPr="003E5ED2">
        <w:rPr>
          <w:rFonts w:ascii="Arial" w:hAnsi="Arial" w:cs="Arial"/>
          <w:sz w:val="22"/>
          <w:szCs w:val="22"/>
        </w:rPr>
        <w:t>Gradsko vijeće Grada Rijeke donijelo je na sjednici 27. veljače 2014. godine Odluku o davanju suglasnosti trgovačkom</w:t>
      </w:r>
      <w:r w:rsidR="00985CAC" w:rsidRPr="003E5ED2">
        <w:rPr>
          <w:rFonts w:ascii="Arial" w:hAnsi="Arial" w:cs="Arial"/>
          <w:sz w:val="22"/>
          <w:szCs w:val="22"/>
        </w:rPr>
        <w:t xml:space="preserve"> društvu </w:t>
      </w:r>
      <w:r w:rsidRPr="003E5ED2">
        <w:rPr>
          <w:rFonts w:ascii="Arial" w:hAnsi="Arial" w:cs="Arial"/>
          <w:sz w:val="22"/>
          <w:szCs w:val="22"/>
        </w:rPr>
        <w:t xml:space="preserve">Energo d.o.o. za zaduženje kod Europske banke za obnovu i razvoj radi izgradnje </w:t>
      </w:r>
      <w:proofErr w:type="spellStart"/>
      <w:r w:rsidRPr="003E5ED2">
        <w:rPr>
          <w:rFonts w:ascii="Arial" w:hAnsi="Arial" w:cs="Arial"/>
          <w:sz w:val="22"/>
          <w:szCs w:val="22"/>
        </w:rPr>
        <w:t>kogeneracijske</w:t>
      </w:r>
      <w:proofErr w:type="spellEnd"/>
      <w:r w:rsidRPr="003E5ED2">
        <w:rPr>
          <w:rFonts w:ascii="Arial" w:hAnsi="Arial" w:cs="Arial"/>
          <w:sz w:val="22"/>
          <w:szCs w:val="22"/>
        </w:rPr>
        <w:t xml:space="preserve"> energane na području Sveučilišnog </w:t>
      </w:r>
      <w:proofErr w:type="spellStart"/>
      <w:r w:rsidRPr="003E5ED2">
        <w:rPr>
          <w:rFonts w:ascii="Arial" w:hAnsi="Arial" w:cs="Arial"/>
          <w:sz w:val="22"/>
          <w:szCs w:val="22"/>
        </w:rPr>
        <w:t>kampusa</w:t>
      </w:r>
      <w:proofErr w:type="spellEnd"/>
      <w:r w:rsidRPr="003E5ED2">
        <w:rPr>
          <w:rFonts w:ascii="Arial" w:hAnsi="Arial" w:cs="Arial"/>
          <w:sz w:val="22"/>
          <w:szCs w:val="22"/>
        </w:rPr>
        <w:t xml:space="preserve"> na Trsatu i o davanju jamstva za ispunjenje preuzetih obveza.</w:t>
      </w:r>
    </w:p>
    <w:p w:rsidR="001164CB" w:rsidRPr="003E5ED2" w:rsidRDefault="001164CB" w:rsidP="006A581D">
      <w:pPr>
        <w:ind w:left="340"/>
        <w:jc w:val="both"/>
        <w:rPr>
          <w:rFonts w:ascii="Arial" w:hAnsi="Arial" w:cs="Arial"/>
          <w:sz w:val="22"/>
          <w:szCs w:val="22"/>
        </w:rPr>
      </w:pPr>
      <w:r w:rsidRPr="003E5ED2">
        <w:rPr>
          <w:rFonts w:ascii="Arial" w:hAnsi="Arial" w:cs="Arial"/>
          <w:sz w:val="22"/>
          <w:szCs w:val="22"/>
        </w:rPr>
        <w:t>Navedenom Odlukom Grad Rijeka je dao suglasnost trgovačkom društvu Energo d.o.o. za zaduženje putem dugoročnog financijskog kredita kod Europske banke za obnovu i r</w:t>
      </w:r>
      <w:r w:rsidR="00376904" w:rsidRPr="003E5ED2">
        <w:rPr>
          <w:rFonts w:ascii="Arial" w:hAnsi="Arial" w:cs="Arial"/>
          <w:sz w:val="22"/>
          <w:szCs w:val="22"/>
        </w:rPr>
        <w:t>azvoj u iznosu do 6.150.000</w:t>
      </w:r>
      <w:r w:rsidR="00D30985" w:rsidRPr="003E5ED2">
        <w:rPr>
          <w:rFonts w:ascii="Arial" w:hAnsi="Arial" w:cs="Arial"/>
          <w:sz w:val="22"/>
          <w:szCs w:val="22"/>
        </w:rPr>
        <w:t>,00</w:t>
      </w:r>
      <w:r w:rsidR="00376904" w:rsidRPr="003E5ED2">
        <w:rPr>
          <w:rFonts w:ascii="Arial" w:hAnsi="Arial" w:cs="Arial"/>
          <w:sz w:val="22"/>
          <w:szCs w:val="22"/>
        </w:rPr>
        <w:t xml:space="preserve"> </w:t>
      </w:r>
      <w:r w:rsidR="00AA0767" w:rsidRPr="003E5ED2">
        <w:rPr>
          <w:rFonts w:ascii="Arial" w:hAnsi="Arial" w:cs="Arial"/>
          <w:sz w:val="22"/>
          <w:szCs w:val="22"/>
        </w:rPr>
        <w:t>eura</w:t>
      </w:r>
      <w:r w:rsidRPr="003E5ED2">
        <w:rPr>
          <w:rFonts w:ascii="Arial" w:hAnsi="Arial" w:cs="Arial"/>
          <w:sz w:val="22"/>
          <w:szCs w:val="22"/>
        </w:rPr>
        <w:t xml:space="preserve"> te jamstvo za ispunjenje preuzetih obveza trgovačkog društva Energo d.o.o. temeljem dugoročnog kredita u iznosu do 6.150.000</w:t>
      </w:r>
      <w:r w:rsidR="00D30985" w:rsidRPr="003E5ED2">
        <w:rPr>
          <w:rFonts w:ascii="Arial" w:hAnsi="Arial" w:cs="Arial"/>
          <w:sz w:val="22"/>
          <w:szCs w:val="22"/>
        </w:rPr>
        <w:t>,00</w:t>
      </w:r>
      <w:r w:rsidRPr="003E5ED2">
        <w:rPr>
          <w:rFonts w:ascii="Arial" w:hAnsi="Arial" w:cs="Arial"/>
          <w:sz w:val="22"/>
          <w:szCs w:val="22"/>
        </w:rPr>
        <w:t xml:space="preserve"> </w:t>
      </w:r>
      <w:r w:rsidR="00AA0767" w:rsidRPr="003E5ED2">
        <w:rPr>
          <w:rFonts w:ascii="Arial" w:hAnsi="Arial" w:cs="Arial"/>
          <w:sz w:val="22"/>
          <w:szCs w:val="22"/>
        </w:rPr>
        <w:t>eura</w:t>
      </w:r>
      <w:r w:rsidRPr="003E5ED2">
        <w:rPr>
          <w:rFonts w:ascii="Arial" w:hAnsi="Arial" w:cs="Arial"/>
          <w:sz w:val="22"/>
          <w:szCs w:val="22"/>
        </w:rPr>
        <w:t>. Na predmetnu Odluku Gradskog vijeća, Grad Rij</w:t>
      </w:r>
      <w:r w:rsidR="00102DFD" w:rsidRPr="003E5ED2">
        <w:rPr>
          <w:rFonts w:ascii="Arial" w:hAnsi="Arial" w:cs="Arial"/>
          <w:sz w:val="22"/>
          <w:szCs w:val="22"/>
        </w:rPr>
        <w:t xml:space="preserve">eka je dobio suglasnost </w:t>
      </w:r>
      <w:r w:rsidR="009D6231" w:rsidRPr="003E5ED2">
        <w:rPr>
          <w:rFonts w:ascii="Arial" w:hAnsi="Arial" w:cs="Arial"/>
          <w:sz w:val="22"/>
          <w:szCs w:val="22"/>
        </w:rPr>
        <w:t>m</w:t>
      </w:r>
      <w:r w:rsidR="00102DFD" w:rsidRPr="003E5ED2">
        <w:rPr>
          <w:rFonts w:ascii="Arial" w:hAnsi="Arial" w:cs="Arial"/>
          <w:sz w:val="22"/>
          <w:szCs w:val="22"/>
        </w:rPr>
        <w:t>inistra</w:t>
      </w:r>
      <w:r w:rsidR="005720A3" w:rsidRPr="003E5ED2">
        <w:rPr>
          <w:rFonts w:ascii="Arial" w:hAnsi="Arial" w:cs="Arial"/>
          <w:sz w:val="22"/>
          <w:szCs w:val="22"/>
        </w:rPr>
        <w:t xml:space="preserve"> financija 7. ožujka </w:t>
      </w:r>
      <w:r w:rsidRPr="003E5ED2">
        <w:rPr>
          <w:rFonts w:ascii="Arial" w:hAnsi="Arial" w:cs="Arial"/>
          <w:sz w:val="22"/>
          <w:szCs w:val="22"/>
        </w:rPr>
        <w:t>2014. godine.</w:t>
      </w:r>
    </w:p>
    <w:p w:rsidR="001164CB" w:rsidRPr="003E5ED2" w:rsidRDefault="001164CB" w:rsidP="006A581D">
      <w:pPr>
        <w:ind w:left="340"/>
        <w:jc w:val="both"/>
        <w:rPr>
          <w:rFonts w:ascii="Arial" w:hAnsi="Arial" w:cs="Arial"/>
          <w:sz w:val="22"/>
          <w:szCs w:val="22"/>
        </w:rPr>
      </w:pPr>
      <w:r w:rsidRPr="003E5ED2">
        <w:rPr>
          <w:rFonts w:ascii="Arial" w:hAnsi="Arial" w:cs="Arial"/>
          <w:sz w:val="22"/>
          <w:szCs w:val="22"/>
        </w:rPr>
        <w:t xml:space="preserve">Temeljem navedene Odluke Gradskog vijeća i suglasnosti </w:t>
      </w:r>
      <w:r w:rsidR="009D6231" w:rsidRPr="003E5ED2">
        <w:rPr>
          <w:rFonts w:ascii="Arial" w:hAnsi="Arial" w:cs="Arial"/>
          <w:sz w:val="22"/>
          <w:szCs w:val="22"/>
        </w:rPr>
        <w:t>m</w:t>
      </w:r>
      <w:r w:rsidRPr="003E5ED2">
        <w:rPr>
          <w:rFonts w:ascii="Arial" w:hAnsi="Arial" w:cs="Arial"/>
          <w:sz w:val="22"/>
          <w:szCs w:val="22"/>
        </w:rPr>
        <w:t>inist</w:t>
      </w:r>
      <w:r w:rsidR="00C5018E" w:rsidRPr="003E5ED2">
        <w:rPr>
          <w:rFonts w:ascii="Arial" w:hAnsi="Arial" w:cs="Arial"/>
          <w:sz w:val="22"/>
          <w:szCs w:val="22"/>
        </w:rPr>
        <w:t>r</w:t>
      </w:r>
      <w:r w:rsidR="00102DFD" w:rsidRPr="003E5ED2">
        <w:rPr>
          <w:rFonts w:ascii="Arial" w:hAnsi="Arial" w:cs="Arial"/>
          <w:sz w:val="22"/>
          <w:szCs w:val="22"/>
        </w:rPr>
        <w:t>a</w:t>
      </w:r>
      <w:r w:rsidRPr="003E5ED2">
        <w:rPr>
          <w:rFonts w:ascii="Arial" w:hAnsi="Arial" w:cs="Arial"/>
          <w:sz w:val="22"/>
          <w:szCs w:val="22"/>
        </w:rPr>
        <w:t xml:space="preserve"> financija, dana 10. ožujka 2014. godine, trgovačko društvo Energo d.o.o. sklopilo je ugovor o kreditu s Europskom bankom za obnovu i razvoj, dok je ugovor o jamstvu sklopljen između Grada Rijeke i Europske banke za obnovu i razvoj.</w:t>
      </w:r>
    </w:p>
    <w:p w:rsidR="001164CB" w:rsidRPr="003E5ED2" w:rsidRDefault="001164CB" w:rsidP="006A581D">
      <w:pPr>
        <w:pStyle w:val="Header"/>
        <w:ind w:left="340"/>
        <w:jc w:val="both"/>
        <w:rPr>
          <w:rFonts w:cs="Arial"/>
          <w:sz w:val="22"/>
          <w:szCs w:val="22"/>
        </w:rPr>
      </w:pPr>
      <w:r w:rsidRPr="003E5ED2">
        <w:rPr>
          <w:rFonts w:cs="Arial"/>
          <w:sz w:val="22"/>
          <w:szCs w:val="22"/>
        </w:rPr>
        <w:t>Prema uvjetima iz ugovora,</w:t>
      </w:r>
      <w:r w:rsidR="00985CAC" w:rsidRPr="003E5ED2">
        <w:rPr>
          <w:rFonts w:cs="Arial"/>
          <w:sz w:val="22"/>
          <w:szCs w:val="22"/>
        </w:rPr>
        <w:t xml:space="preserve"> </w:t>
      </w:r>
      <w:r w:rsidRPr="003E5ED2">
        <w:rPr>
          <w:rFonts w:cs="Arial"/>
          <w:sz w:val="22"/>
          <w:szCs w:val="22"/>
        </w:rPr>
        <w:t>Energo d.o.o. će sredstva zajma, po isteku počeka od 3 godine otplaćivati u roku od 9 godina u 1</w:t>
      </w:r>
      <w:r w:rsidR="00724A6A" w:rsidRPr="003E5ED2">
        <w:rPr>
          <w:rFonts w:cs="Arial"/>
          <w:sz w:val="22"/>
          <w:szCs w:val="22"/>
        </w:rPr>
        <w:t>8 jednakih polugodišnjih obroka, odnosno otplata je započela u 2017.</w:t>
      </w:r>
      <w:r w:rsidR="00254AAC" w:rsidRPr="003E5ED2">
        <w:rPr>
          <w:rFonts w:cs="Arial"/>
          <w:sz w:val="22"/>
          <w:szCs w:val="22"/>
        </w:rPr>
        <w:t xml:space="preserve"> </w:t>
      </w:r>
      <w:r w:rsidR="00724A6A" w:rsidRPr="003E5ED2">
        <w:rPr>
          <w:rFonts w:cs="Arial"/>
          <w:sz w:val="22"/>
          <w:szCs w:val="22"/>
        </w:rPr>
        <w:t>godini.</w:t>
      </w:r>
      <w:r w:rsidRPr="003E5ED2">
        <w:rPr>
          <w:rFonts w:cs="Arial"/>
          <w:sz w:val="22"/>
          <w:szCs w:val="22"/>
        </w:rPr>
        <w:t xml:space="preserve"> </w:t>
      </w:r>
    </w:p>
    <w:p w:rsidR="001164CB" w:rsidRPr="003E5ED2" w:rsidRDefault="001164CB" w:rsidP="006A581D">
      <w:pPr>
        <w:ind w:left="340"/>
        <w:jc w:val="both"/>
        <w:rPr>
          <w:rFonts w:ascii="Arial" w:hAnsi="Arial" w:cs="Arial"/>
          <w:sz w:val="22"/>
          <w:szCs w:val="22"/>
        </w:rPr>
      </w:pPr>
      <w:r w:rsidRPr="003E5ED2">
        <w:rPr>
          <w:rFonts w:ascii="Arial" w:hAnsi="Arial" w:cs="Arial"/>
          <w:sz w:val="22"/>
          <w:szCs w:val="22"/>
        </w:rPr>
        <w:t>Kamatna stopa je promjenjiva, vezana za šestomjesečni EURIBOR + marža (2,85% ili 3,00% ili 3,10% godišnje).</w:t>
      </w:r>
    </w:p>
    <w:p w:rsidR="00724A6A" w:rsidRPr="003E5ED2" w:rsidRDefault="00724A6A" w:rsidP="006A581D">
      <w:pPr>
        <w:ind w:left="340"/>
        <w:jc w:val="both"/>
        <w:rPr>
          <w:rFonts w:ascii="Arial" w:hAnsi="Arial" w:cs="Arial"/>
          <w:sz w:val="22"/>
          <w:szCs w:val="22"/>
        </w:rPr>
      </w:pPr>
      <w:r w:rsidRPr="003E5ED2">
        <w:rPr>
          <w:rFonts w:ascii="Arial" w:hAnsi="Arial" w:cs="Arial"/>
          <w:sz w:val="22"/>
          <w:szCs w:val="22"/>
        </w:rPr>
        <w:t>TD Energo</w:t>
      </w:r>
      <w:r w:rsidR="009D6231" w:rsidRPr="003E5ED2">
        <w:rPr>
          <w:rFonts w:ascii="Arial" w:hAnsi="Arial" w:cs="Arial"/>
          <w:sz w:val="22"/>
          <w:szCs w:val="22"/>
        </w:rPr>
        <w:t xml:space="preserve"> d.o.o.</w:t>
      </w:r>
      <w:r w:rsidRPr="003E5ED2">
        <w:rPr>
          <w:rFonts w:ascii="Arial" w:hAnsi="Arial" w:cs="Arial"/>
          <w:sz w:val="22"/>
          <w:szCs w:val="22"/>
        </w:rPr>
        <w:t xml:space="preserve"> do 2021.</w:t>
      </w:r>
      <w:r w:rsidR="00254AAC" w:rsidRPr="003E5ED2">
        <w:rPr>
          <w:rFonts w:ascii="Arial" w:hAnsi="Arial" w:cs="Arial"/>
          <w:sz w:val="22"/>
          <w:szCs w:val="22"/>
        </w:rPr>
        <w:t xml:space="preserve"> </w:t>
      </w:r>
      <w:r w:rsidRPr="003E5ED2">
        <w:rPr>
          <w:rFonts w:ascii="Arial" w:hAnsi="Arial" w:cs="Arial"/>
          <w:sz w:val="22"/>
          <w:szCs w:val="22"/>
        </w:rPr>
        <w:t>godine je povukao znatno manji iznos kredita od ugovorenog iznosa kredita od 6.150.000</w:t>
      </w:r>
      <w:r w:rsidR="00375DCF" w:rsidRPr="003E5ED2">
        <w:rPr>
          <w:rFonts w:ascii="Arial" w:hAnsi="Arial" w:cs="Arial"/>
          <w:sz w:val="22"/>
          <w:szCs w:val="22"/>
        </w:rPr>
        <w:t>,00</w:t>
      </w:r>
      <w:r w:rsidRPr="003E5ED2">
        <w:rPr>
          <w:rFonts w:ascii="Arial" w:hAnsi="Arial" w:cs="Arial"/>
          <w:sz w:val="22"/>
          <w:szCs w:val="22"/>
        </w:rPr>
        <w:t xml:space="preserve"> </w:t>
      </w:r>
      <w:r w:rsidR="00AA0767" w:rsidRPr="003E5ED2">
        <w:rPr>
          <w:rFonts w:ascii="Arial" w:hAnsi="Arial" w:cs="Arial"/>
          <w:sz w:val="22"/>
          <w:szCs w:val="22"/>
        </w:rPr>
        <w:t>eura</w:t>
      </w:r>
      <w:r w:rsidRPr="003E5ED2">
        <w:rPr>
          <w:rFonts w:ascii="Arial" w:hAnsi="Arial" w:cs="Arial"/>
          <w:sz w:val="22"/>
          <w:szCs w:val="22"/>
        </w:rPr>
        <w:t xml:space="preserve"> i povučeni dio kredita u iznosu 2.275.892,97 </w:t>
      </w:r>
      <w:r w:rsidR="00AA0767" w:rsidRPr="003E5ED2">
        <w:rPr>
          <w:rFonts w:ascii="Arial" w:hAnsi="Arial" w:cs="Arial"/>
          <w:sz w:val="22"/>
          <w:szCs w:val="22"/>
        </w:rPr>
        <w:t>eura</w:t>
      </w:r>
      <w:r w:rsidRPr="003E5ED2">
        <w:rPr>
          <w:rFonts w:ascii="Arial" w:hAnsi="Arial" w:cs="Arial"/>
          <w:sz w:val="22"/>
          <w:szCs w:val="22"/>
        </w:rPr>
        <w:t xml:space="preserve"> je već u otplati.</w:t>
      </w:r>
      <w:r w:rsidR="00084274" w:rsidRPr="003E5ED2">
        <w:rPr>
          <w:rFonts w:ascii="Arial" w:hAnsi="Arial" w:cs="Arial"/>
          <w:sz w:val="22"/>
          <w:szCs w:val="22"/>
        </w:rPr>
        <w:t xml:space="preserve"> </w:t>
      </w:r>
      <w:r w:rsidRPr="003E5ED2">
        <w:rPr>
          <w:rFonts w:ascii="Arial" w:hAnsi="Arial" w:cs="Arial"/>
          <w:sz w:val="22"/>
          <w:szCs w:val="22"/>
        </w:rPr>
        <w:t>Sukladno</w:t>
      </w:r>
      <w:r w:rsidR="00084274" w:rsidRPr="003E5ED2">
        <w:rPr>
          <w:rFonts w:ascii="Arial" w:hAnsi="Arial" w:cs="Arial"/>
          <w:sz w:val="22"/>
          <w:szCs w:val="22"/>
        </w:rPr>
        <w:t xml:space="preserve"> </w:t>
      </w:r>
      <w:r w:rsidRPr="003E5ED2">
        <w:rPr>
          <w:rFonts w:ascii="Arial" w:hAnsi="Arial" w:cs="Arial"/>
          <w:sz w:val="22"/>
          <w:szCs w:val="22"/>
        </w:rPr>
        <w:t>odredbama Ugovora o jamstvu između Grada Rijeke i EBRD, Europska banka za obnovu i razvoj</w:t>
      </w:r>
      <w:r w:rsidR="00084274" w:rsidRPr="003E5ED2">
        <w:rPr>
          <w:rFonts w:ascii="Arial" w:hAnsi="Arial" w:cs="Arial"/>
          <w:sz w:val="22"/>
          <w:szCs w:val="22"/>
        </w:rPr>
        <w:t xml:space="preserve"> </w:t>
      </w:r>
      <w:r w:rsidRPr="003E5ED2">
        <w:rPr>
          <w:rFonts w:ascii="Arial" w:hAnsi="Arial" w:cs="Arial"/>
          <w:sz w:val="22"/>
          <w:szCs w:val="22"/>
        </w:rPr>
        <w:t xml:space="preserve">je stoga dostavila Gradu Rijeci službeni dopis u kojem navodi trenutno stanje glavnice navedenog kredita </w:t>
      </w:r>
      <w:r w:rsidR="00C5018E" w:rsidRPr="003E5ED2">
        <w:rPr>
          <w:rFonts w:ascii="Arial" w:hAnsi="Arial" w:cs="Arial"/>
          <w:sz w:val="22"/>
          <w:szCs w:val="22"/>
        </w:rPr>
        <w:t xml:space="preserve">društva </w:t>
      </w:r>
      <w:r w:rsidRPr="003E5ED2">
        <w:rPr>
          <w:rFonts w:ascii="Arial" w:hAnsi="Arial" w:cs="Arial"/>
          <w:sz w:val="22"/>
          <w:szCs w:val="22"/>
        </w:rPr>
        <w:t>Energo</w:t>
      </w:r>
      <w:r w:rsidR="00985CAC" w:rsidRPr="003E5ED2">
        <w:rPr>
          <w:rFonts w:ascii="Arial" w:hAnsi="Arial" w:cs="Arial"/>
          <w:sz w:val="22"/>
          <w:szCs w:val="22"/>
        </w:rPr>
        <w:t xml:space="preserve"> d.o.o.</w:t>
      </w:r>
      <w:r w:rsidRPr="003E5ED2">
        <w:rPr>
          <w:rFonts w:ascii="Arial" w:hAnsi="Arial" w:cs="Arial"/>
          <w:sz w:val="22"/>
          <w:szCs w:val="22"/>
        </w:rPr>
        <w:t xml:space="preserve"> te potvrđuje nemogućnost daljnje isplate sredstava po Ugovoru o kreditu s Energo</w:t>
      </w:r>
      <w:r w:rsidR="00425481" w:rsidRPr="003E5ED2">
        <w:rPr>
          <w:rFonts w:ascii="Arial" w:hAnsi="Arial" w:cs="Arial"/>
          <w:sz w:val="22"/>
          <w:szCs w:val="22"/>
        </w:rPr>
        <w:t xml:space="preserve"> d.o.o.</w:t>
      </w:r>
      <w:r w:rsidR="007627D2" w:rsidRPr="003E5ED2">
        <w:rPr>
          <w:rFonts w:ascii="Arial" w:hAnsi="Arial" w:cs="Arial"/>
          <w:sz w:val="22"/>
          <w:szCs w:val="22"/>
        </w:rPr>
        <w:t xml:space="preserve"> na temelju kojeg se smanjuju potencijalne</w:t>
      </w:r>
      <w:r w:rsidRPr="003E5ED2">
        <w:rPr>
          <w:rFonts w:ascii="Arial" w:hAnsi="Arial" w:cs="Arial"/>
          <w:sz w:val="22"/>
          <w:szCs w:val="22"/>
        </w:rPr>
        <w:t xml:space="preserve"> obvez</w:t>
      </w:r>
      <w:r w:rsidR="007627D2" w:rsidRPr="003E5ED2">
        <w:rPr>
          <w:rFonts w:ascii="Arial" w:hAnsi="Arial" w:cs="Arial"/>
          <w:sz w:val="22"/>
          <w:szCs w:val="22"/>
        </w:rPr>
        <w:t>e</w:t>
      </w:r>
      <w:r w:rsidRPr="003E5ED2">
        <w:rPr>
          <w:rFonts w:ascii="Arial" w:hAnsi="Arial" w:cs="Arial"/>
          <w:sz w:val="22"/>
          <w:szCs w:val="22"/>
        </w:rPr>
        <w:t xml:space="preserve"> Grada Rijeke po Ugovoru o jamstvu izdanog za kreditno zaduženje </w:t>
      </w:r>
      <w:r w:rsidR="00C5018E" w:rsidRPr="003E5ED2">
        <w:rPr>
          <w:rFonts w:ascii="Arial" w:hAnsi="Arial" w:cs="Arial"/>
          <w:sz w:val="22"/>
          <w:szCs w:val="22"/>
        </w:rPr>
        <w:t xml:space="preserve">društva </w:t>
      </w:r>
      <w:r w:rsidRPr="003E5ED2">
        <w:rPr>
          <w:rFonts w:ascii="Arial" w:hAnsi="Arial" w:cs="Arial"/>
          <w:sz w:val="22"/>
          <w:szCs w:val="22"/>
        </w:rPr>
        <w:t>Energo</w:t>
      </w:r>
      <w:r w:rsidR="00425481" w:rsidRPr="003E5ED2">
        <w:rPr>
          <w:rFonts w:ascii="Arial" w:hAnsi="Arial" w:cs="Arial"/>
          <w:sz w:val="22"/>
          <w:szCs w:val="22"/>
        </w:rPr>
        <w:t xml:space="preserve"> d.o.o.</w:t>
      </w:r>
      <w:r w:rsidRPr="003E5ED2">
        <w:rPr>
          <w:rFonts w:ascii="Arial" w:hAnsi="Arial" w:cs="Arial"/>
          <w:sz w:val="22"/>
          <w:szCs w:val="22"/>
        </w:rPr>
        <w:t>.</w:t>
      </w:r>
    </w:p>
    <w:p w:rsidR="001164CB" w:rsidRPr="003E5ED2" w:rsidRDefault="00281682" w:rsidP="00601159">
      <w:pPr>
        <w:ind w:left="340"/>
        <w:jc w:val="both"/>
        <w:rPr>
          <w:rFonts w:ascii="Arial" w:hAnsi="Arial" w:cs="Arial"/>
          <w:b/>
          <w:sz w:val="22"/>
          <w:szCs w:val="22"/>
        </w:rPr>
      </w:pPr>
      <w:r w:rsidRPr="003E5ED2">
        <w:rPr>
          <w:rFonts w:ascii="Arial" w:hAnsi="Arial" w:cs="Arial"/>
          <w:b/>
          <w:sz w:val="22"/>
          <w:szCs w:val="22"/>
        </w:rPr>
        <w:t xml:space="preserve">Stanje kredita na dan 31. prosinca </w:t>
      </w:r>
      <w:r w:rsidR="00BD4ADB" w:rsidRPr="003E5ED2">
        <w:rPr>
          <w:rFonts w:ascii="Arial" w:hAnsi="Arial" w:cs="Arial"/>
          <w:b/>
          <w:sz w:val="22"/>
          <w:szCs w:val="22"/>
        </w:rPr>
        <w:t>2024</w:t>
      </w:r>
      <w:r w:rsidR="001164CB" w:rsidRPr="003E5ED2">
        <w:rPr>
          <w:rFonts w:ascii="Arial" w:hAnsi="Arial" w:cs="Arial"/>
          <w:b/>
          <w:sz w:val="22"/>
          <w:szCs w:val="22"/>
        </w:rPr>
        <w:t xml:space="preserve">. godine po osnovi glavnice i kamate </w:t>
      </w:r>
      <w:r w:rsidR="001164CB" w:rsidRPr="003E5ED2">
        <w:rPr>
          <w:rFonts w:ascii="Arial" w:hAnsi="Arial" w:cs="Arial"/>
          <w:b/>
          <w:color w:val="000000"/>
          <w:sz w:val="22"/>
          <w:szCs w:val="22"/>
        </w:rPr>
        <w:t xml:space="preserve">iznosi </w:t>
      </w:r>
      <w:r w:rsidR="00BD4ADB" w:rsidRPr="003E5ED2">
        <w:rPr>
          <w:rFonts w:ascii="Arial" w:hAnsi="Arial" w:cs="Arial"/>
          <w:b/>
          <w:color w:val="000000"/>
          <w:sz w:val="22"/>
          <w:szCs w:val="22"/>
        </w:rPr>
        <w:t>439.554,70</w:t>
      </w:r>
      <w:r w:rsidR="001164CB" w:rsidRPr="003E5ED2">
        <w:rPr>
          <w:rFonts w:ascii="Arial" w:hAnsi="Arial" w:cs="Arial"/>
          <w:b/>
          <w:color w:val="FF0000"/>
          <w:sz w:val="22"/>
          <w:szCs w:val="22"/>
        </w:rPr>
        <w:t xml:space="preserve"> </w:t>
      </w:r>
      <w:r w:rsidR="00AA0767" w:rsidRPr="003E5ED2">
        <w:rPr>
          <w:rFonts w:ascii="Arial" w:hAnsi="Arial" w:cs="Arial"/>
          <w:b/>
          <w:sz w:val="22"/>
          <w:szCs w:val="22"/>
        </w:rPr>
        <w:t>eura</w:t>
      </w:r>
      <w:r w:rsidR="001164CB" w:rsidRPr="003E5ED2">
        <w:rPr>
          <w:rFonts w:ascii="Arial" w:hAnsi="Arial" w:cs="Arial"/>
          <w:b/>
          <w:sz w:val="22"/>
          <w:szCs w:val="22"/>
        </w:rPr>
        <w:t>.</w:t>
      </w:r>
    </w:p>
    <w:p w:rsidR="00770504" w:rsidRPr="003E5ED2" w:rsidRDefault="00770504" w:rsidP="00601159">
      <w:pPr>
        <w:ind w:left="340"/>
        <w:jc w:val="both"/>
        <w:rPr>
          <w:rFonts w:ascii="Arial" w:hAnsi="Arial" w:cs="Arial"/>
          <w:b/>
          <w:sz w:val="22"/>
          <w:szCs w:val="22"/>
          <w:highlight w:val="yellow"/>
        </w:rPr>
      </w:pPr>
    </w:p>
    <w:p w:rsidR="00295DEB" w:rsidRPr="003E5ED2" w:rsidRDefault="00295DEB" w:rsidP="00295DEB">
      <w:pPr>
        <w:numPr>
          <w:ilvl w:val="0"/>
          <w:numId w:val="7"/>
        </w:numPr>
        <w:ind w:left="340"/>
        <w:jc w:val="both"/>
        <w:rPr>
          <w:rFonts w:ascii="Arial" w:hAnsi="Arial"/>
          <w:b/>
          <w:sz w:val="22"/>
          <w:szCs w:val="22"/>
        </w:rPr>
      </w:pPr>
      <w:r w:rsidRPr="003E5ED2">
        <w:rPr>
          <w:rFonts w:ascii="Arial" w:hAnsi="Arial"/>
          <w:b/>
          <w:sz w:val="22"/>
          <w:szCs w:val="22"/>
        </w:rPr>
        <w:t>Jamstvo dano za kreditno zaduženje Energo d.o.o. Rijeka</w:t>
      </w:r>
      <w:r w:rsidR="00254AAC" w:rsidRPr="003E5ED2">
        <w:rPr>
          <w:rFonts w:ascii="Arial" w:hAnsi="Arial"/>
          <w:b/>
          <w:sz w:val="22"/>
          <w:szCs w:val="22"/>
        </w:rPr>
        <w:t xml:space="preserve"> u visini od 3,2 </w:t>
      </w:r>
      <w:proofErr w:type="spellStart"/>
      <w:r w:rsidR="00254AAC" w:rsidRPr="003E5ED2">
        <w:rPr>
          <w:rFonts w:ascii="Arial" w:hAnsi="Arial"/>
          <w:b/>
          <w:sz w:val="22"/>
          <w:szCs w:val="22"/>
        </w:rPr>
        <w:t>mil</w:t>
      </w:r>
      <w:proofErr w:type="spellEnd"/>
      <w:r w:rsidR="00254AAC" w:rsidRPr="003E5ED2">
        <w:rPr>
          <w:rFonts w:ascii="Arial" w:hAnsi="Arial"/>
          <w:b/>
          <w:sz w:val="22"/>
          <w:szCs w:val="22"/>
        </w:rPr>
        <w:t>.</w:t>
      </w:r>
      <w:r w:rsidR="0084186B" w:rsidRPr="003E5ED2">
        <w:rPr>
          <w:rFonts w:ascii="Arial" w:hAnsi="Arial"/>
          <w:b/>
          <w:sz w:val="22"/>
          <w:szCs w:val="22"/>
        </w:rPr>
        <w:t xml:space="preserve"> </w:t>
      </w:r>
      <w:r w:rsidR="00254AAC" w:rsidRPr="003E5ED2">
        <w:rPr>
          <w:rFonts w:ascii="Arial" w:hAnsi="Arial"/>
          <w:b/>
          <w:sz w:val="22"/>
          <w:szCs w:val="22"/>
        </w:rPr>
        <w:t>eura</w:t>
      </w:r>
    </w:p>
    <w:p w:rsidR="00844E31" w:rsidRPr="003E5ED2" w:rsidRDefault="00844E31" w:rsidP="00844E31">
      <w:pPr>
        <w:ind w:left="340"/>
        <w:jc w:val="both"/>
        <w:rPr>
          <w:rFonts w:ascii="Arial" w:hAnsi="Arial"/>
          <w:b/>
          <w:sz w:val="22"/>
          <w:szCs w:val="22"/>
          <w:highlight w:val="yellow"/>
        </w:rPr>
      </w:pPr>
    </w:p>
    <w:p w:rsidR="00295DEB" w:rsidRPr="003E5ED2" w:rsidRDefault="00295DEB" w:rsidP="00D0786D">
      <w:pPr>
        <w:ind w:left="284"/>
        <w:jc w:val="both"/>
        <w:rPr>
          <w:rFonts w:ascii="Arial" w:hAnsi="Arial"/>
          <w:sz w:val="22"/>
          <w:szCs w:val="22"/>
        </w:rPr>
      </w:pPr>
      <w:r w:rsidRPr="003E5ED2">
        <w:rPr>
          <w:rFonts w:ascii="Arial" w:hAnsi="Arial"/>
          <w:sz w:val="22"/>
          <w:szCs w:val="22"/>
        </w:rPr>
        <w:t xml:space="preserve">Gradsko vijeće Grada Rijeke donijelo je na sjednici </w:t>
      </w:r>
      <w:r w:rsidR="00844E31" w:rsidRPr="003E5ED2">
        <w:rPr>
          <w:rFonts w:ascii="Arial" w:hAnsi="Arial"/>
          <w:sz w:val="22"/>
          <w:szCs w:val="22"/>
        </w:rPr>
        <w:t xml:space="preserve">31. ožujka 2022. godine Odluku o davanju suglasnosti za zaduženje i davanju jamstva za ispunjavanje obveza </w:t>
      </w:r>
      <w:r w:rsidR="007E2456" w:rsidRPr="003E5ED2">
        <w:rPr>
          <w:rFonts w:ascii="Arial" w:hAnsi="Arial"/>
          <w:sz w:val="22"/>
          <w:szCs w:val="22"/>
        </w:rPr>
        <w:t xml:space="preserve">trgovačkog društva </w:t>
      </w:r>
      <w:r w:rsidR="00844E31" w:rsidRPr="003E5ED2">
        <w:rPr>
          <w:rFonts w:ascii="Arial" w:hAnsi="Arial"/>
          <w:sz w:val="22"/>
          <w:szCs w:val="22"/>
        </w:rPr>
        <w:t xml:space="preserve">Energo d.o.o. kod </w:t>
      </w:r>
      <w:proofErr w:type="spellStart"/>
      <w:r w:rsidR="00844E31" w:rsidRPr="003E5ED2">
        <w:rPr>
          <w:rFonts w:ascii="Arial" w:hAnsi="Arial"/>
          <w:sz w:val="22"/>
          <w:szCs w:val="22"/>
        </w:rPr>
        <w:t>Erste&amp;Steiermarkische</w:t>
      </w:r>
      <w:proofErr w:type="spellEnd"/>
      <w:r w:rsidR="00844E31" w:rsidRPr="003E5ED2">
        <w:rPr>
          <w:rFonts w:ascii="Arial" w:hAnsi="Arial"/>
          <w:sz w:val="22"/>
          <w:szCs w:val="22"/>
        </w:rPr>
        <w:t xml:space="preserve"> Bank d.d.</w:t>
      </w:r>
      <w:r w:rsidR="007E2456" w:rsidRPr="003E5ED2">
        <w:rPr>
          <w:rFonts w:ascii="Arial" w:hAnsi="Arial"/>
          <w:sz w:val="22"/>
          <w:szCs w:val="22"/>
        </w:rPr>
        <w:t xml:space="preserve"> </w:t>
      </w:r>
      <w:r w:rsidR="00844E31" w:rsidRPr="003E5ED2">
        <w:rPr>
          <w:rFonts w:ascii="Arial" w:hAnsi="Arial"/>
          <w:sz w:val="22"/>
          <w:szCs w:val="22"/>
        </w:rPr>
        <w:t>u iznosu 30.000.000,00 k</w:t>
      </w:r>
      <w:r w:rsidR="00342DDC" w:rsidRPr="003E5ED2">
        <w:rPr>
          <w:rFonts w:ascii="Arial" w:hAnsi="Arial"/>
          <w:sz w:val="22"/>
          <w:szCs w:val="22"/>
        </w:rPr>
        <w:t>una</w:t>
      </w:r>
      <w:r w:rsidR="006B536F" w:rsidRPr="003E5ED2">
        <w:rPr>
          <w:rFonts w:ascii="Arial" w:hAnsi="Arial"/>
          <w:sz w:val="22"/>
          <w:szCs w:val="22"/>
        </w:rPr>
        <w:t>,</w:t>
      </w:r>
      <w:r w:rsidR="00844E31" w:rsidRPr="003E5ED2">
        <w:rPr>
          <w:rFonts w:ascii="Arial" w:hAnsi="Arial"/>
          <w:sz w:val="22"/>
          <w:szCs w:val="22"/>
        </w:rPr>
        <w:t xml:space="preserve"> radi</w:t>
      </w:r>
      <w:r w:rsidR="00836785" w:rsidRPr="003E5ED2">
        <w:rPr>
          <w:rFonts w:ascii="Arial" w:hAnsi="Arial"/>
          <w:sz w:val="22"/>
          <w:szCs w:val="22"/>
        </w:rPr>
        <w:t xml:space="preserve"> </w:t>
      </w:r>
      <w:r w:rsidR="00844E31" w:rsidRPr="003E5ED2">
        <w:rPr>
          <w:rFonts w:ascii="Arial" w:hAnsi="Arial"/>
          <w:sz w:val="22"/>
          <w:szCs w:val="22"/>
        </w:rPr>
        <w:t xml:space="preserve">sufinanciranja vlastite komponente u realizaciji EU projekta Obnova </w:t>
      </w:r>
      <w:proofErr w:type="spellStart"/>
      <w:r w:rsidR="00844E31" w:rsidRPr="003E5ED2">
        <w:rPr>
          <w:rFonts w:ascii="Arial" w:hAnsi="Arial"/>
          <w:sz w:val="22"/>
          <w:szCs w:val="22"/>
        </w:rPr>
        <w:t>toplina</w:t>
      </w:r>
      <w:r w:rsidR="00860150" w:rsidRPr="003E5ED2">
        <w:rPr>
          <w:rFonts w:ascii="Arial" w:hAnsi="Arial"/>
          <w:sz w:val="22"/>
          <w:szCs w:val="22"/>
        </w:rPr>
        <w:t>rstva</w:t>
      </w:r>
      <w:proofErr w:type="spellEnd"/>
      <w:r w:rsidR="00844E31" w:rsidRPr="003E5ED2">
        <w:rPr>
          <w:rFonts w:ascii="Arial" w:hAnsi="Arial"/>
          <w:sz w:val="22"/>
          <w:szCs w:val="22"/>
        </w:rPr>
        <w:t xml:space="preserve"> Grada Rijeke. Temeljem </w:t>
      </w:r>
      <w:r w:rsidR="00860150" w:rsidRPr="003E5ED2">
        <w:rPr>
          <w:rFonts w:ascii="Arial" w:hAnsi="Arial"/>
          <w:sz w:val="22"/>
          <w:szCs w:val="22"/>
        </w:rPr>
        <w:t>O</w:t>
      </w:r>
      <w:r w:rsidR="00844E31" w:rsidRPr="003E5ED2">
        <w:rPr>
          <w:rFonts w:ascii="Arial" w:hAnsi="Arial"/>
          <w:sz w:val="22"/>
          <w:szCs w:val="22"/>
        </w:rPr>
        <w:t xml:space="preserve">dluke dano je jamstvo za ispunjenje preuzetih obveza </w:t>
      </w:r>
      <w:r w:rsidR="00860150" w:rsidRPr="003E5ED2">
        <w:rPr>
          <w:rFonts w:ascii="Arial" w:hAnsi="Arial"/>
          <w:sz w:val="22"/>
          <w:szCs w:val="22"/>
        </w:rPr>
        <w:t>društva</w:t>
      </w:r>
      <w:r w:rsidR="00844E31" w:rsidRPr="003E5ED2">
        <w:rPr>
          <w:rFonts w:ascii="Arial" w:hAnsi="Arial"/>
          <w:sz w:val="22"/>
          <w:szCs w:val="22"/>
        </w:rPr>
        <w:t xml:space="preserve"> Energo d.o.o</w:t>
      </w:r>
      <w:r w:rsidR="00757079" w:rsidRPr="003E5ED2">
        <w:rPr>
          <w:rFonts w:ascii="Arial" w:hAnsi="Arial"/>
          <w:sz w:val="22"/>
          <w:szCs w:val="22"/>
        </w:rPr>
        <w:t>.</w:t>
      </w:r>
      <w:r w:rsidR="00844E31" w:rsidRPr="003E5ED2">
        <w:rPr>
          <w:rFonts w:ascii="Arial" w:hAnsi="Arial"/>
          <w:sz w:val="22"/>
          <w:szCs w:val="22"/>
        </w:rPr>
        <w:t xml:space="preserve"> u visini</w:t>
      </w:r>
      <w:r w:rsidR="00836785" w:rsidRPr="003E5ED2">
        <w:rPr>
          <w:rFonts w:ascii="Arial" w:hAnsi="Arial"/>
          <w:sz w:val="22"/>
          <w:szCs w:val="22"/>
        </w:rPr>
        <w:t xml:space="preserve"> </w:t>
      </w:r>
      <w:r w:rsidR="00757079" w:rsidRPr="003E5ED2">
        <w:rPr>
          <w:rFonts w:ascii="Arial" w:hAnsi="Arial"/>
          <w:sz w:val="22"/>
          <w:szCs w:val="22"/>
        </w:rPr>
        <w:t>80% ukupnog kredita</w:t>
      </w:r>
      <w:r w:rsidR="00844E31" w:rsidRPr="003E5ED2">
        <w:rPr>
          <w:rFonts w:ascii="Arial" w:hAnsi="Arial"/>
          <w:sz w:val="22"/>
          <w:szCs w:val="22"/>
        </w:rPr>
        <w:t>, odnosno u iznosu od 24.000.000,00 k</w:t>
      </w:r>
      <w:r w:rsidR="007E4070" w:rsidRPr="003E5ED2">
        <w:rPr>
          <w:rFonts w:ascii="Arial" w:hAnsi="Arial"/>
          <w:sz w:val="22"/>
          <w:szCs w:val="22"/>
        </w:rPr>
        <w:t>una</w:t>
      </w:r>
      <w:r w:rsidR="00844E31" w:rsidRPr="003E5ED2">
        <w:rPr>
          <w:rFonts w:ascii="Arial" w:hAnsi="Arial"/>
          <w:sz w:val="22"/>
          <w:szCs w:val="22"/>
        </w:rPr>
        <w:t>, uvećano za pripadajuće kamate i ostale troškove</w:t>
      </w:r>
      <w:r w:rsidR="00BC44EE" w:rsidRPr="003E5ED2">
        <w:rPr>
          <w:rFonts w:ascii="Arial" w:hAnsi="Arial"/>
          <w:sz w:val="22"/>
          <w:szCs w:val="22"/>
        </w:rPr>
        <w:t>. B</w:t>
      </w:r>
      <w:r w:rsidR="00844E31" w:rsidRPr="003E5ED2">
        <w:rPr>
          <w:rFonts w:ascii="Arial" w:hAnsi="Arial"/>
          <w:sz w:val="22"/>
          <w:szCs w:val="22"/>
        </w:rPr>
        <w:t>udući da je jamstvo dano do visine 80% kredita ne predstavlja nedozvoljenu državnu potporu.</w:t>
      </w:r>
    </w:p>
    <w:p w:rsidR="00685D02" w:rsidRPr="003E5ED2" w:rsidRDefault="00844E31" w:rsidP="00D0786D">
      <w:pPr>
        <w:tabs>
          <w:tab w:val="left" w:pos="284"/>
          <w:tab w:val="left" w:pos="567"/>
          <w:tab w:val="left" w:pos="709"/>
        </w:tabs>
        <w:ind w:left="284"/>
        <w:jc w:val="both"/>
        <w:rPr>
          <w:rFonts w:ascii="Arial" w:hAnsi="Arial"/>
          <w:sz w:val="22"/>
          <w:szCs w:val="22"/>
        </w:rPr>
      </w:pPr>
      <w:r w:rsidRPr="003E5ED2">
        <w:rPr>
          <w:rFonts w:ascii="Arial" w:hAnsi="Arial"/>
          <w:sz w:val="22"/>
          <w:szCs w:val="22"/>
        </w:rPr>
        <w:t xml:space="preserve">Na predmetnu Odluku Gradskog vijeća, Grad Rijeka je dobio suglasnost ministra financija 5. srpnja 2022. </w:t>
      </w:r>
      <w:r w:rsidR="00836785" w:rsidRPr="003E5ED2">
        <w:rPr>
          <w:rFonts w:ascii="Arial" w:hAnsi="Arial"/>
          <w:sz w:val="22"/>
          <w:szCs w:val="22"/>
        </w:rPr>
        <w:t xml:space="preserve">godine. Na </w:t>
      </w:r>
      <w:r w:rsidRPr="003E5ED2">
        <w:rPr>
          <w:rFonts w:ascii="Arial" w:hAnsi="Arial"/>
          <w:sz w:val="22"/>
          <w:szCs w:val="22"/>
        </w:rPr>
        <w:t>temelju dobivene suglasnosti za davanje jamstva na 24.000.000,00 k</w:t>
      </w:r>
      <w:r w:rsidR="00BC44EE" w:rsidRPr="003E5ED2">
        <w:rPr>
          <w:rFonts w:ascii="Arial" w:hAnsi="Arial"/>
          <w:sz w:val="22"/>
          <w:szCs w:val="22"/>
        </w:rPr>
        <w:t>u</w:t>
      </w:r>
      <w:r w:rsidRPr="003E5ED2">
        <w:rPr>
          <w:rFonts w:ascii="Arial" w:hAnsi="Arial"/>
          <w:sz w:val="22"/>
          <w:szCs w:val="22"/>
        </w:rPr>
        <w:t>n</w:t>
      </w:r>
      <w:r w:rsidR="00BC44EE" w:rsidRPr="003E5ED2">
        <w:rPr>
          <w:rFonts w:ascii="Arial" w:hAnsi="Arial"/>
          <w:sz w:val="22"/>
          <w:szCs w:val="22"/>
        </w:rPr>
        <w:t>a</w:t>
      </w:r>
      <w:r w:rsidR="00AE5A02" w:rsidRPr="003E5ED2">
        <w:rPr>
          <w:rFonts w:ascii="Arial" w:hAnsi="Arial"/>
          <w:sz w:val="22"/>
          <w:szCs w:val="22"/>
        </w:rPr>
        <w:t xml:space="preserve">, </w:t>
      </w:r>
      <w:r w:rsidRPr="003E5ED2">
        <w:rPr>
          <w:rFonts w:ascii="Arial" w:hAnsi="Arial"/>
          <w:sz w:val="22"/>
          <w:szCs w:val="22"/>
        </w:rPr>
        <w:t xml:space="preserve">kojim jamči </w:t>
      </w:r>
      <w:proofErr w:type="spellStart"/>
      <w:r w:rsidR="006C01DE" w:rsidRPr="003E5ED2">
        <w:rPr>
          <w:rFonts w:ascii="Arial" w:hAnsi="Arial"/>
          <w:sz w:val="22"/>
          <w:szCs w:val="22"/>
        </w:rPr>
        <w:t>Erste&amp;Steiermarkische</w:t>
      </w:r>
      <w:proofErr w:type="spellEnd"/>
      <w:r w:rsidR="006C01DE" w:rsidRPr="003E5ED2">
        <w:rPr>
          <w:rFonts w:ascii="Arial" w:hAnsi="Arial"/>
          <w:sz w:val="22"/>
          <w:szCs w:val="22"/>
        </w:rPr>
        <w:t xml:space="preserve"> Bank d.d</w:t>
      </w:r>
      <w:r w:rsidRPr="003E5ED2">
        <w:rPr>
          <w:rFonts w:ascii="Arial" w:hAnsi="Arial"/>
          <w:sz w:val="22"/>
          <w:szCs w:val="22"/>
        </w:rPr>
        <w:t>. Rijeka za plaćanje svih obveza glavnog dužnika Energo d.o.o.</w:t>
      </w:r>
      <w:r w:rsidR="00AE5A02" w:rsidRPr="003E5ED2">
        <w:rPr>
          <w:rFonts w:ascii="Arial" w:hAnsi="Arial"/>
          <w:sz w:val="22"/>
          <w:szCs w:val="22"/>
        </w:rPr>
        <w:t xml:space="preserve">, dok </w:t>
      </w:r>
      <w:r w:rsidR="00860150" w:rsidRPr="003E5ED2">
        <w:rPr>
          <w:rFonts w:ascii="Arial" w:hAnsi="Arial"/>
          <w:sz w:val="22"/>
          <w:szCs w:val="22"/>
        </w:rPr>
        <w:t xml:space="preserve">je </w:t>
      </w:r>
      <w:r w:rsidR="00E9282A" w:rsidRPr="003E5ED2">
        <w:rPr>
          <w:rFonts w:ascii="Arial" w:hAnsi="Arial"/>
          <w:sz w:val="22"/>
          <w:szCs w:val="22"/>
        </w:rPr>
        <w:t>Ugovor o kreditu</w:t>
      </w:r>
      <w:r w:rsidR="00836785" w:rsidRPr="003E5ED2">
        <w:rPr>
          <w:rFonts w:ascii="Arial" w:hAnsi="Arial"/>
          <w:sz w:val="22"/>
          <w:szCs w:val="22"/>
        </w:rPr>
        <w:t xml:space="preserve"> </w:t>
      </w:r>
      <w:r w:rsidR="00E9282A" w:rsidRPr="003E5ED2">
        <w:rPr>
          <w:rFonts w:ascii="Arial" w:hAnsi="Arial"/>
          <w:sz w:val="22"/>
          <w:szCs w:val="22"/>
        </w:rPr>
        <w:t>sklopljen između Energo d.o.o</w:t>
      </w:r>
      <w:r w:rsidR="00836785" w:rsidRPr="003E5ED2">
        <w:rPr>
          <w:rFonts w:ascii="Arial" w:hAnsi="Arial"/>
          <w:sz w:val="22"/>
          <w:szCs w:val="22"/>
        </w:rPr>
        <w:t>.</w:t>
      </w:r>
      <w:r w:rsidR="00E9282A" w:rsidRPr="003E5ED2">
        <w:rPr>
          <w:rFonts w:ascii="Arial" w:hAnsi="Arial"/>
          <w:sz w:val="22"/>
          <w:szCs w:val="22"/>
        </w:rPr>
        <w:t xml:space="preserve"> i </w:t>
      </w:r>
      <w:proofErr w:type="spellStart"/>
      <w:r w:rsidR="00E9282A" w:rsidRPr="003E5ED2">
        <w:rPr>
          <w:rFonts w:ascii="Arial" w:hAnsi="Arial"/>
          <w:sz w:val="22"/>
          <w:szCs w:val="22"/>
        </w:rPr>
        <w:t>Erste&amp;Steiermarkische</w:t>
      </w:r>
      <w:proofErr w:type="spellEnd"/>
      <w:r w:rsidR="00E9282A" w:rsidRPr="003E5ED2">
        <w:rPr>
          <w:rFonts w:ascii="Arial" w:hAnsi="Arial"/>
          <w:sz w:val="22"/>
          <w:szCs w:val="22"/>
        </w:rPr>
        <w:t xml:space="preserve"> Bank d.d.</w:t>
      </w:r>
      <w:r w:rsidR="00CF2990" w:rsidRPr="003E5ED2">
        <w:rPr>
          <w:rFonts w:ascii="Arial" w:hAnsi="Arial"/>
          <w:sz w:val="22"/>
          <w:szCs w:val="22"/>
        </w:rPr>
        <w:t xml:space="preserve"> </w:t>
      </w:r>
      <w:r w:rsidR="00E9282A" w:rsidRPr="003E5ED2">
        <w:rPr>
          <w:rFonts w:ascii="Arial" w:hAnsi="Arial"/>
          <w:sz w:val="22"/>
          <w:szCs w:val="22"/>
        </w:rPr>
        <w:t>Prema uvjetima iz ugovora Energo d.o.o. će sredstva kredita po isteku roka korištenja otplaćivati u roku od 15 godina u jednakim tromjesečnim ratama. Kamatna stopa je fiksna i iznosi 2,3% godišnje.</w:t>
      </w:r>
      <w:r w:rsidR="00685D02" w:rsidRPr="003E5ED2">
        <w:rPr>
          <w:rFonts w:ascii="Arial" w:hAnsi="Arial"/>
          <w:sz w:val="22"/>
          <w:szCs w:val="22"/>
        </w:rPr>
        <w:t xml:space="preserve"> </w:t>
      </w:r>
    </w:p>
    <w:p w:rsidR="00764316" w:rsidRPr="003E5ED2" w:rsidRDefault="00281682" w:rsidP="00685D02">
      <w:pPr>
        <w:ind w:left="284"/>
        <w:rPr>
          <w:rFonts w:ascii="Arial" w:hAnsi="Arial"/>
          <w:b/>
          <w:sz w:val="22"/>
          <w:szCs w:val="22"/>
        </w:rPr>
      </w:pPr>
      <w:r w:rsidRPr="003E5ED2">
        <w:rPr>
          <w:rFonts w:ascii="Arial" w:hAnsi="Arial"/>
          <w:b/>
          <w:sz w:val="22"/>
          <w:szCs w:val="22"/>
        </w:rPr>
        <w:t xml:space="preserve">Stanje kredita na dan 31. prosinca </w:t>
      </w:r>
      <w:r w:rsidR="00BD4ADB" w:rsidRPr="003E5ED2">
        <w:rPr>
          <w:rFonts w:ascii="Arial" w:hAnsi="Arial"/>
          <w:b/>
          <w:sz w:val="22"/>
          <w:szCs w:val="22"/>
        </w:rPr>
        <w:t>2024</w:t>
      </w:r>
      <w:r w:rsidR="00E9282A" w:rsidRPr="003E5ED2">
        <w:rPr>
          <w:rFonts w:ascii="Arial" w:hAnsi="Arial"/>
          <w:b/>
          <w:sz w:val="22"/>
          <w:szCs w:val="22"/>
        </w:rPr>
        <w:t xml:space="preserve">. godine po osnovi glavnice i kamate iznosi </w:t>
      </w:r>
      <w:r w:rsidR="00BD4ADB" w:rsidRPr="003E5ED2">
        <w:rPr>
          <w:rFonts w:ascii="Arial" w:hAnsi="Arial"/>
          <w:b/>
          <w:sz w:val="22"/>
          <w:szCs w:val="22"/>
        </w:rPr>
        <w:t>3.467.075,21</w:t>
      </w:r>
      <w:r w:rsidR="006B536F" w:rsidRPr="003E5ED2">
        <w:rPr>
          <w:rFonts w:ascii="Arial" w:hAnsi="Arial"/>
          <w:b/>
          <w:sz w:val="22"/>
          <w:szCs w:val="22"/>
        </w:rPr>
        <w:t xml:space="preserve"> euro.</w:t>
      </w:r>
      <w:r w:rsidR="00E9282A" w:rsidRPr="003E5ED2">
        <w:rPr>
          <w:rFonts w:ascii="Arial" w:hAnsi="Arial"/>
          <w:b/>
          <w:sz w:val="22"/>
          <w:szCs w:val="22"/>
        </w:rPr>
        <w:t xml:space="preserve"> </w:t>
      </w:r>
      <w:r w:rsidR="00685D02" w:rsidRPr="003E5ED2">
        <w:rPr>
          <w:rFonts w:ascii="Arial" w:hAnsi="Arial"/>
          <w:b/>
          <w:sz w:val="22"/>
          <w:szCs w:val="22"/>
        </w:rPr>
        <w:t xml:space="preserve"> </w:t>
      </w:r>
    </w:p>
    <w:p w:rsidR="00C375C1" w:rsidRPr="003E5ED2" w:rsidRDefault="00C375C1" w:rsidP="00685D02">
      <w:pPr>
        <w:ind w:left="284"/>
        <w:rPr>
          <w:rFonts w:ascii="Arial" w:hAnsi="Arial"/>
          <w:b/>
          <w:sz w:val="22"/>
          <w:szCs w:val="22"/>
          <w:highlight w:val="yellow"/>
        </w:rPr>
      </w:pPr>
    </w:p>
    <w:p w:rsidR="00764316" w:rsidRPr="003E5ED2" w:rsidRDefault="00764316" w:rsidP="00D24180">
      <w:pPr>
        <w:pStyle w:val="ListParagraph"/>
        <w:numPr>
          <w:ilvl w:val="0"/>
          <w:numId w:val="7"/>
        </w:numPr>
        <w:rPr>
          <w:rFonts w:ascii="Arial" w:eastAsiaTheme="minorHAnsi" w:hAnsi="Arial" w:cs="Arial"/>
          <w:b/>
          <w:bCs/>
          <w:sz w:val="22"/>
          <w:szCs w:val="22"/>
          <w:lang w:eastAsia="en-US"/>
        </w:rPr>
      </w:pPr>
      <w:r w:rsidRPr="003E5ED2">
        <w:rPr>
          <w:rFonts w:ascii="Arial" w:eastAsiaTheme="minorHAnsi" w:hAnsi="Arial" w:cs="Arial"/>
          <w:b/>
          <w:bCs/>
          <w:sz w:val="22"/>
          <w:szCs w:val="22"/>
          <w:lang w:eastAsia="en-US"/>
        </w:rPr>
        <w:t xml:space="preserve">Jamstvo dano za kreditno zaduženje Energo d.o.o. Rijeka u visini 9,3 </w:t>
      </w:r>
      <w:proofErr w:type="spellStart"/>
      <w:r w:rsidRPr="003E5ED2">
        <w:rPr>
          <w:rFonts w:ascii="Arial" w:eastAsiaTheme="minorHAnsi" w:hAnsi="Arial" w:cs="Arial"/>
          <w:b/>
          <w:bCs/>
          <w:sz w:val="22"/>
          <w:szCs w:val="22"/>
          <w:lang w:eastAsia="en-US"/>
        </w:rPr>
        <w:t>mil</w:t>
      </w:r>
      <w:proofErr w:type="spellEnd"/>
      <w:r w:rsidRPr="003E5ED2">
        <w:rPr>
          <w:rFonts w:ascii="Arial" w:eastAsiaTheme="minorHAnsi" w:hAnsi="Arial" w:cs="Arial"/>
          <w:b/>
          <w:bCs/>
          <w:sz w:val="22"/>
          <w:szCs w:val="22"/>
          <w:lang w:eastAsia="en-US"/>
        </w:rPr>
        <w:t>. eura</w:t>
      </w:r>
    </w:p>
    <w:p w:rsidR="00764316" w:rsidRPr="003E5ED2" w:rsidRDefault="00764316" w:rsidP="00764316">
      <w:pPr>
        <w:jc w:val="both"/>
        <w:rPr>
          <w:rFonts w:ascii="Arial" w:eastAsiaTheme="minorHAnsi" w:hAnsi="Arial" w:cs="Arial"/>
          <w:sz w:val="22"/>
          <w:szCs w:val="22"/>
          <w:lang w:eastAsia="en-US"/>
        </w:rPr>
      </w:pPr>
    </w:p>
    <w:p w:rsidR="00764316" w:rsidRPr="003E5ED2" w:rsidRDefault="00764316" w:rsidP="005720A3">
      <w:pPr>
        <w:tabs>
          <w:tab w:val="left" w:pos="284"/>
          <w:tab w:val="left" w:pos="567"/>
          <w:tab w:val="left" w:pos="709"/>
        </w:tabs>
        <w:ind w:left="284"/>
        <w:jc w:val="both"/>
        <w:rPr>
          <w:rFonts w:ascii="Arial" w:hAnsi="Arial"/>
          <w:sz w:val="22"/>
          <w:szCs w:val="22"/>
        </w:rPr>
      </w:pPr>
      <w:r w:rsidRPr="003E5ED2">
        <w:rPr>
          <w:rFonts w:ascii="Arial" w:hAnsi="Arial"/>
          <w:sz w:val="22"/>
          <w:szCs w:val="22"/>
        </w:rPr>
        <w:t>Gradsko vijeće Grada Rijeke donijelo je na sjednici 23. veljače 2023. godine Odluku o davanju suglasnosti za zaduženje i davanju jamstva radi refinanciranja postojećih financijskih obveza Energo d.o.o. Navedeno</w:t>
      </w:r>
      <w:r w:rsidR="005720A3" w:rsidRPr="003E5ED2">
        <w:rPr>
          <w:rFonts w:ascii="Arial" w:hAnsi="Arial"/>
          <w:sz w:val="22"/>
          <w:szCs w:val="22"/>
        </w:rPr>
        <w:t xml:space="preserve">m Odlukom dana je suglasnost </w:t>
      </w:r>
      <w:r w:rsidRPr="003E5ED2">
        <w:rPr>
          <w:rFonts w:ascii="Arial" w:hAnsi="Arial"/>
          <w:sz w:val="22"/>
          <w:szCs w:val="22"/>
        </w:rPr>
        <w:t xml:space="preserve">Energu </w:t>
      </w:r>
      <w:r w:rsidR="005720A3" w:rsidRPr="003E5ED2">
        <w:rPr>
          <w:rFonts w:ascii="Arial" w:hAnsi="Arial"/>
          <w:sz w:val="22"/>
          <w:szCs w:val="22"/>
        </w:rPr>
        <w:t xml:space="preserve">d.o.o. </w:t>
      </w:r>
      <w:r w:rsidRPr="003E5ED2">
        <w:rPr>
          <w:rFonts w:ascii="Arial" w:hAnsi="Arial"/>
          <w:sz w:val="22"/>
          <w:szCs w:val="22"/>
        </w:rPr>
        <w:t>za dugoročno zaduženje kod kluba banaka: Agram banke d.d</w:t>
      </w:r>
      <w:r w:rsidR="00156413" w:rsidRPr="003E5ED2">
        <w:rPr>
          <w:rFonts w:ascii="Arial" w:hAnsi="Arial"/>
          <w:sz w:val="22"/>
          <w:szCs w:val="22"/>
        </w:rPr>
        <w:t>.</w:t>
      </w:r>
      <w:r w:rsidRPr="003E5ED2">
        <w:rPr>
          <w:rFonts w:ascii="Arial" w:hAnsi="Arial"/>
          <w:sz w:val="22"/>
          <w:szCs w:val="22"/>
        </w:rPr>
        <w:t>, Karlovačke banke d.d.</w:t>
      </w:r>
      <w:r w:rsidR="00156413" w:rsidRPr="003E5ED2">
        <w:rPr>
          <w:rFonts w:ascii="Arial" w:hAnsi="Arial"/>
          <w:sz w:val="22"/>
          <w:szCs w:val="22"/>
        </w:rPr>
        <w:t>,</w:t>
      </w:r>
      <w:r w:rsidRPr="003E5ED2">
        <w:rPr>
          <w:rFonts w:ascii="Arial" w:hAnsi="Arial"/>
          <w:sz w:val="22"/>
          <w:szCs w:val="22"/>
        </w:rPr>
        <w:t xml:space="preserve"> Nove hrvatske banke d.d., PBZ d.d. i Zagrebačke banke d.d. u iznosu do 11.600.000</w:t>
      </w:r>
      <w:r w:rsidR="00A06E0A" w:rsidRPr="003E5ED2">
        <w:rPr>
          <w:rFonts w:ascii="Arial" w:hAnsi="Arial"/>
          <w:sz w:val="22"/>
          <w:szCs w:val="22"/>
        </w:rPr>
        <w:t>,00</w:t>
      </w:r>
      <w:r w:rsidRPr="003E5ED2">
        <w:rPr>
          <w:rFonts w:ascii="Arial" w:hAnsi="Arial"/>
          <w:sz w:val="22"/>
          <w:szCs w:val="22"/>
        </w:rPr>
        <w:t xml:space="preserve"> eura radi refinanciranja postojećih financijskih obveza društva kod navedenih poslovnih banaka. Nadalje, Odlukom je odobreno davanje jamstva Grada Rijeke za ispunjenje preuzetih obveza Energo d.o.o. u visini 80% ukupnog kredita, odnosno u iznosu do 9.280.000</w:t>
      </w:r>
      <w:r w:rsidR="00A06E0A" w:rsidRPr="003E5ED2">
        <w:rPr>
          <w:rFonts w:ascii="Arial" w:hAnsi="Arial"/>
          <w:sz w:val="22"/>
          <w:szCs w:val="22"/>
        </w:rPr>
        <w:t>,00</w:t>
      </w:r>
      <w:r w:rsidRPr="003E5ED2">
        <w:rPr>
          <w:rFonts w:ascii="Arial" w:hAnsi="Arial"/>
          <w:sz w:val="22"/>
          <w:szCs w:val="22"/>
        </w:rPr>
        <w:t xml:space="preserve"> eura, uvećano za pripadajuće kamate i ostale troškove. Na predmetnu Odluku Gradskog vijeća, Grad Rijeka je dobio suglasnost ministra financija 4. svibnja 2023. godine. Na temelju dobivene suglasnosti za davanje jamstva od Ministarstva financija, Grad Rijeka je 23. svibnja 2023. sklopio Ugovor o jamstvu s navedenim poslovnim bankama do iznosa od 8.954.447,81 eura, uvećano za pripadajuću kamatu i ostale troškove. Prema uvjetima iz ugovora,</w:t>
      </w:r>
      <w:r w:rsidR="005720A3" w:rsidRPr="003E5ED2">
        <w:rPr>
          <w:rFonts w:ascii="Arial" w:hAnsi="Arial"/>
          <w:sz w:val="22"/>
          <w:szCs w:val="22"/>
        </w:rPr>
        <w:t xml:space="preserve"> </w:t>
      </w:r>
      <w:r w:rsidRPr="003E5ED2">
        <w:rPr>
          <w:rFonts w:ascii="Arial" w:hAnsi="Arial"/>
          <w:sz w:val="22"/>
          <w:szCs w:val="22"/>
        </w:rPr>
        <w:t>Energo d.o.o. će sredstva kredita po isteku roka korištenja otplaćivati u roku od 10 godina u tromjesečnim ratama uz promjenjivu godišnju kamatnu stopu vezanu uz 3M Euribor+3,30 p.p.</w:t>
      </w:r>
    </w:p>
    <w:p w:rsidR="00BD4ADB" w:rsidRPr="003E5ED2" w:rsidRDefault="00BD4ADB" w:rsidP="005720A3">
      <w:pPr>
        <w:tabs>
          <w:tab w:val="left" w:pos="284"/>
          <w:tab w:val="left" w:pos="567"/>
          <w:tab w:val="left" w:pos="709"/>
        </w:tabs>
        <w:ind w:left="284"/>
        <w:jc w:val="both"/>
        <w:rPr>
          <w:rFonts w:ascii="Arial" w:hAnsi="Arial"/>
          <w:b/>
          <w:sz w:val="22"/>
          <w:szCs w:val="22"/>
        </w:rPr>
      </w:pPr>
      <w:r w:rsidRPr="003E5ED2">
        <w:rPr>
          <w:rFonts w:ascii="Arial" w:hAnsi="Arial"/>
          <w:b/>
          <w:sz w:val="22"/>
          <w:szCs w:val="22"/>
        </w:rPr>
        <w:t>Stanje kredita na dan 31. prosinca 2024. godine po osnovi glavnice i kamate iznosi 10.718.566,36 eura.</w:t>
      </w:r>
    </w:p>
    <w:p w:rsidR="00685D02" w:rsidRPr="003E5ED2" w:rsidRDefault="00685D02" w:rsidP="00D24180">
      <w:pPr>
        <w:tabs>
          <w:tab w:val="left" w:pos="284"/>
          <w:tab w:val="left" w:pos="567"/>
          <w:tab w:val="left" w:pos="709"/>
        </w:tabs>
        <w:ind w:left="284"/>
        <w:jc w:val="both"/>
        <w:rPr>
          <w:rFonts w:ascii="Arial" w:hAnsi="Arial"/>
          <w:sz w:val="22"/>
          <w:szCs w:val="22"/>
          <w:highlight w:val="yellow"/>
        </w:rPr>
      </w:pPr>
    </w:p>
    <w:p w:rsidR="00A95DDF" w:rsidRPr="00306E1B" w:rsidRDefault="00BD4ADB" w:rsidP="00685D02">
      <w:pPr>
        <w:ind w:left="284"/>
        <w:rPr>
          <w:rFonts w:ascii="Arial" w:hAnsi="Arial" w:cs="Arial"/>
          <w:b/>
          <w:color w:val="000000"/>
          <w:sz w:val="22"/>
          <w:szCs w:val="22"/>
          <w:u w:val="single"/>
        </w:rPr>
      </w:pPr>
      <w:r w:rsidRPr="00306E1B">
        <w:rPr>
          <w:rFonts w:ascii="Arial" w:hAnsi="Arial" w:cs="Arial"/>
          <w:b/>
          <w:color w:val="000000"/>
          <w:sz w:val="22"/>
          <w:szCs w:val="22"/>
          <w:u w:val="single"/>
        </w:rPr>
        <w:t>U 2024</w:t>
      </w:r>
      <w:r w:rsidR="001164CB" w:rsidRPr="00306E1B">
        <w:rPr>
          <w:rFonts w:ascii="Arial" w:hAnsi="Arial" w:cs="Arial"/>
          <w:b/>
          <w:color w:val="000000"/>
          <w:sz w:val="22"/>
          <w:szCs w:val="22"/>
          <w:u w:val="single"/>
        </w:rPr>
        <w:t>. godini navedena dana jamstva nisu protestirana odnosno u proračunu Grada nije bilo izvršenih izdataka po danim jamstvima.</w:t>
      </w:r>
    </w:p>
    <w:p w:rsidR="00653FA1" w:rsidRPr="003E5ED2" w:rsidRDefault="00653FA1" w:rsidP="004748AB">
      <w:pPr>
        <w:jc w:val="both"/>
        <w:rPr>
          <w:rFonts w:ascii="Arial" w:hAnsi="Arial"/>
        </w:rPr>
      </w:pPr>
    </w:p>
    <w:p w:rsidR="00BA5C46" w:rsidRPr="003E5ED2" w:rsidRDefault="00BA5C46" w:rsidP="004748AB">
      <w:pPr>
        <w:jc w:val="both"/>
        <w:rPr>
          <w:rFonts w:ascii="Arial" w:hAnsi="Arial"/>
        </w:rPr>
      </w:pPr>
    </w:p>
    <w:p w:rsidR="006E6F0D" w:rsidRPr="003E5ED2" w:rsidRDefault="006E6F0D" w:rsidP="004748AB">
      <w:pPr>
        <w:jc w:val="both"/>
        <w:rPr>
          <w:rFonts w:ascii="Arial" w:hAnsi="Arial"/>
          <w:b/>
          <w:color w:val="1F3864" w:themeColor="accent5" w:themeShade="80"/>
          <w:sz w:val="16"/>
          <w:szCs w:val="16"/>
        </w:rPr>
      </w:pPr>
      <w:r w:rsidRPr="003E5ED2">
        <w:rPr>
          <w:rFonts w:ascii="Arial" w:hAnsi="Arial"/>
        </w:rPr>
        <w:t xml:space="preserve">Tablica 3. Dana jamstva </w:t>
      </w:r>
      <w:r w:rsidRPr="003E5ED2">
        <w:rPr>
          <w:rFonts w:ascii="Arial" w:hAnsi="Arial"/>
        </w:rPr>
        <w:tab/>
      </w:r>
      <w:r w:rsidR="004748AB" w:rsidRPr="003E5ED2">
        <w:rPr>
          <w:rFonts w:ascii="Arial" w:hAnsi="Arial"/>
        </w:rPr>
        <w:tab/>
      </w:r>
      <w:r w:rsidR="004748AB" w:rsidRPr="003E5ED2">
        <w:rPr>
          <w:rFonts w:ascii="Arial" w:hAnsi="Arial"/>
        </w:rPr>
        <w:tab/>
      </w:r>
      <w:r w:rsidR="004748AB" w:rsidRPr="003E5ED2">
        <w:rPr>
          <w:rFonts w:ascii="Arial" w:hAnsi="Arial"/>
        </w:rPr>
        <w:tab/>
      </w:r>
      <w:r w:rsidR="004748AB" w:rsidRPr="003E5ED2">
        <w:rPr>
          <w:rFonts w:ascii="Arial" w:hAnsi="Arial"/>
        </w:rPr>
        <w:tab/>
      </w:r>
      <w:r w:rsidR="004748AB" w:rsidRPr="003E5ED2">
        <w:rPr>
          <w:rFonts w:ascii="Arial" w:hAnsi="Arial"/>
        </w:rPr>
        <w:tab/>
      </w:r>
      <w:r w:rsidR="004748AB" w:rsidRPr="003E5ED2">
        <w:rPr>
          <w:rFonts w:ascii="Arial" w:hAnsi="Arial"/>
        </w:rPr>
        <w:tab/>
      </w:r>
      <w:r w:rsidR="004748AB" w:rsidRPr="003E5ED2">
        <w:rPr>
          <w:rFonts w:ascii="Arial" w:hAnsi="Arial"/>
        </w:rPr>
        <w:tab/>
      </w:r>
      <w:r w:rsidR="004748AB" w:rsidRPr="003E5ED2">
        <w:rPr>
          <w:rFonts w:ascii="Arial" w:hAnsi="Arial"/>
        </w:rPr>
        <w:tab/>
      </w:r>
      <w:r w:rsidR="00862D1D" w:rsidRPr="003E5ED2">
        <w:rPr>
          <w:rFonts w:ascii="Arial" w:hAnsi="Arial"/>
        </w:rPr>
        <w:t xml:space="preserve">   </w:t>
      </w:r>
      <w:r w:rsidR="00764316" w:rsidRPr="003E5ED2">
        <w:rPr>
          <w:rFonts w:ascii="Arial" w:hAnsi="Arial"/>
          <w:i/>
          <w:sz w:val="16"/>
          <w:szCs w:val="16"/>
        </w:rPr>
        <w:t xml:space="preserve">u </w:t>
      </w:r>
      <w:r w:rsidR="00156413" w:rsidRPr="003E5ED2">
        <w:rPr>
          <w:rFonts w:ascii="Arial" w:hAnsi="Arial"/>
          <w:i/>
          <w:sz w:val="16"/>
          <w:szCs w:val="16"/>
        </w:rPr>
        <w:t>EUR</w:t>
      </w:r>
    </w:p>
    <w:tbl>
      <w:tblPr>
        <w:tblW w:w="10068" w:type="dxa"/>
        <w:tblInd w:w="-5" w:type="dxa"/>
        <w:tblLook w:val="04A0" w:firstRow="1" w:lastRow="0" w:firstColumn="1" w:lastColumn="0" w:noHBand="0" w:noVBand="1"/>
      </w:tblPr>
      <w:tblGrid>
        <w:gridCol w:w="4788"/>
        <w:gridCol w:w="1760"/>
        <w:gridCol w:w="1760"/>
        <w:gridCol w:w="1760"/>
      </w:tblGrid>
      <w:tr w:rsidR="006E6F0D" w:rsidRPr="003E5ED2" w:rsidTr="006A03E7">
        <w:trPr>
          <w:trHeight w:val="397"/>
        </w:trPr>
        <w:tc>
          <w:tcPr>
            <w:tcW w:w="4788"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rsidR="006E6F0D" w:rsidRPr="003E5ED2" w:rsidRDefault="006E6F0D" w:rsidP="005958A4">
            <w:pPr>
              <w:jc w:val="center"/>
              <w:rPr>
                <w:rFonts w:ascii="Arial" w:hAnsi="Arial" w:cs="Arial"/>
                <w:b/>
                <w:bCs/>
                <w:sz w:val="18"/>
                <w:szCs w:val="18"/>
                <w:lang w:eastAsia="en-US"/>
              </w:rPr>
            </w:pPr>
            <w:r w:rsidRPr="003E5ED2">
              <w:rPr>
                <w:rFonts w:ascii="Arial" w:hAnsi="Arial" w:cs="Arial"/>
                <w:b/>
                <w:bCs/>
                <w:sz w:val="18"/>
                <w:szCs w:val="18"/>
                <w:lang w:eastAsia="en-US"/>
              </w:rPr>
              <w:t>Jamstva</w:t>
            </w:r>
          </w:p>
        </w:tc>
        <w:tc>
          <w:tcPr>
            <w:tcW w:w="1760"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rsidR="006E6F0D" w:rsidRPr="003E5ED2" w:rsidRDefault="006E6F0D" w:rsidP="005958A4">
            <w:pPr>
              <w:jc w:val="center"/>
              <w:rPr>
                <w:rFonts w:ascii="Arial" w:hAnsi="Arial" w:cs="Arial"/>
                <w:b/>
                <w:bCs/>
                <w:sz w:val="18"/>
                <w:szCs w:val="18"/>
                <w:lang w:eastAsia="en-US"/>
              </w:rPr>
            </w:pPr>
            <w:r w:rsidRPr="003E5ED2">
              <w:rPr>
                <w:rFonts w:ascii="Arial" w:hAnsi="Arial" w:cs="Arial"/>
                <w:b/>
                <w:bCs/>
                <w:sz w:val="18"/>
                <w:szCs w:val="18"/>
                <w:lang w:eastAsia="en-US"/>
              </w:rPr>
              <w:t>Ukupno</w:t>
            </w:r>
          </w:p>
        </w:tc>
        <w:tc>
          <w:tcPr>
            <w:tcW w:w="1760"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rsidR="006E6F0D" w:rsidRPr="003E5ED2" w:rsidRDefault="006E6F0D" w:rsidP="005958A4">
            <w:pPr>
              <w:jc w:val="center"/>
              <w:rPr>
                <w:rFonts w:ascii="Arial" w:hAnsi="Arial" w:cs="Arial"/>
                <w:b/>
                <w:bCs/>
                <w:sz w:val="18"/>
                <w:szCs w:val="18"/>
                <w:lang w:eastAsia="en-US"/>
              </w:rPr>
            </w:pPr>
            <w:r w:rsidRPr="003E5ED2">
              <w:rPr>
                <w:rFonts w:ascii="Arial" w:hAnsi="Arial" w:cs="Arial"/>
                <w:b/>
                <w:bCs/>
                <w:sz w:val="18"/>
                <w:szCs w:val="18"/>
                <w:lang w:eastAsia="en-US"/>
              </w:rPr>
              <w:t>Glavnica</w:t>
            </w:r>
          </w:p>
        </w:tc>
        <w:tc>
          <w:tcPr>
            <w:tcW w:w="1760"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rsidR="006E6F0D" w:rsidRPr="003E5ED2" w:rsidRDefault="006E6F0D" w:rsidP="005958A4">
            <w:pPr>
              <w:jc w:val="center"/>
              <w:rPr>
                <w:rFonts w:ascii="Arial" w:hAnsi="Arial" w:cs="Arial"/>
                <w:b/>
                <w:bCs/>
                <w:sz w:val="18"/>
                <w:szCs w:val="18"/>
                <w:lang w:eastAsia="en-US"/>
              </w:rPr>
            </w:pPr>
            <w:r w:rsidRPr="003E5ED2">
              <w:rPr>
                <w:rFonts w:ascii="Arial" w:hAnsi="Arial" w:cs="Arial"/>
                <w:b/>
                <w:bCs/>
                <w:sz w:val="18"/>
                <w:szCs w:val="18"/>
                <w:lang w:eastAsia="en-US"/>
              </w:rPr>
              <w:t>Kamata</w:t>
            </w:r>
          </w:p>
        </w:tc>
      </w:tr>
      <w:tr w:rsidR="006E6F0D" w:rsidRPr="003E5ED2" w:rsidTr="00E9282A">
        <w:trPr>
          <w:trHeight w:val="415"/>
        </w:trPr>
        <w:tc>
          <w:tcPr>
            <w:tcW w:w="4788" w:type="dxa"/>
            <w:tcBorders>
              <w:top w:val="nil"/>
              <w:left w:val="single" w:sz="4" w:space="0" w:color="auto"/>
              <w:bottom w:val="single" w:sz="4" w:space="0" w:color="auto"/>
              <w:right w:val="single" w:sz="4" w:space="0" w:color="auto"/>
            </w:tcBorders>
            <w:shd w:val="clear" w:color="auto" w:fill="auto"/>
            <w:noWrap/>
            <w:vAlign w:val="center"/>
            <w:hideMark/>
          </w:tcPr>
          <w:p w:rsidR="006E6F0D" w:rsidRPr="003E5ED2" w:rsidRDefault="006E6F0D" w:rsidP="005958A4">
            <w:pPr>
              <w:rPr>
                <w:rFonts w:ascii="Arial" w:hAnsi="Arial" w:cs="Arial"/>
                <w:b/>
                <w:bCs/>
                <w:sz w:val="18"/>
                <w:szCs w:val="18"/>
                <w:lang w:eastAsia="en-US"/>
              </w:rPr>
            </w:pPr>
            <w:r w:rsidRPr="003E5ED2">
              <w:rPr>
                <w:rFonts w:ascii="Arial" w:hAnsi="Arial" w:cs="Arial"/>
                <w:b/>
                <w:bCs/>
                <w:sz w:val="18"/>
                <w:szCs w:val="18"/>
                <w:lang w:eastAsia="en-US"/>
              </w:rPr>
              <w:t>Ukupno jamstva:</w:t>
            </w:r>
          </w:p>
        </w:tc>
        <w:tc>
          <w:tcPr>
            <w:tcW w:w="1760" w:type="dxa"/>
            <w:tcBorders>
              <w:top w:val="nil"/>
              <w:left w:val="nil"/>
              <w:bottom w:val="single" w:sz="4" w:space="0" w:color="auto"/>
              <w:right w:val="single" w:sz="4" w:space="0" w:color="auto"/>
            </w:tcBorders>
            <w:shd w:val="clear" w:color="auto" w:fill="auto"/>
            <w:noWrap/>
            <w:vAlign w:val="center"/>
            <w:hideMark/>
          </w:tcPr>
          <w:p w:rsidR="006E6F0D" w:rsidRPr="003E5ED2" w:rsidRDefault="00BD4ADB" w:rsidP="006A03E7">
            <w:pPr>
              <w:jc w:val="right"/>
              <w:rPr>
                <w:rFonts w:ascii="Arial" w:hAnsi="Arial" w:cs="Arial"/>
                <w:b/>
                <w:sz w:val="18"/>
                <w:szCs w:val="18"/>
                <w:lang w:eastAsia="en-US"/>
              </w:rPr>
            </w:pPr>
            <w:r w:rsidRPr="003E5ED2">
              <w:rPr>
                <w:rFonts w:ascii="Arial" w:hAnsi="Arial" w:cs="Arial"/>
                <w:b/>
                <w:sz w:val="18"/>
                <w:szCs w:val="18"/>
                <w:lang w:eastAsia="en-US"/>
              </w:rPr>
              <w:t>18.371.596,62</w:t>
            </w:r>
          </w:p>
        </w:tc>
        <w:tc>
          <w:tcPr>
            <w:tcW w:w="1760" w:type="dxa"/>
            <w:tcBorders>
              <w:top w:val="nil"/>
              <w:left w:val="nil"/>
              <w:bottom w:val="single" w:sz="4" w:space="0" w:color="auto"/>
              <w:right w:val="single" w:sz="4" w:space="0" w:color="auto"/>
            </w:tcBorders>
            <w:shd w:val="clear" w:color="auto" w:fill="auto"/>
            <w:noWrap/>
            <w:vAlign w:val="center"/>
            <w:hideMark/>
          </w:tcPr>
          <w:p w:rsidR="006E6F0D" w:rsidRPr="003E5ED2" w:rsidRDefault="00BD4ADB" w:rsidP="006A03E7">
            <w:pPr>
              <w:jc w:val="right"/>
              <w:rPr>
                <w:rFonts w:ascii="Arial" w:hAnsi="Arial" w:cs="Arial"/>
                <w:b/>
                <w:sz w:val="18"/>
                <w:szCs w:val="18"/>
                <w:lang w:eastAsia="en-US"/>
              </w:rPr>
            </w:pPr>
            <w:r w:rsidRPr="003E5ED2">
              <w:rPr>
                <w:rFonts w:ascii="Arial" w:hAnsi="Arial" w:cs="Arial"/>
                <w:b/>
                <w:sz w:val="18"/>
                <w:szCs w:val="18"/>
                <w:lang w:eastAsia="en-US"/>
              </w:rPr>
              <w:t>14.130.386,89</w:t>
            </w:r>
          </w:p>
        </w:tc>
        <w:tc>
          <w:tcPr>
            <w:tcW w:w="1760" w:type="dxa"/>
            <w:tcBorders>
              <w:top w:val="nil"/>
              <w:left w:val="nil"/>
              <w:bottom w:val="single" w:sz="4" w:space="0" w:color="auto"/>
              <w:right w:val="single" w:sz="4" w:space="0" w:color="auto"/>
            </w:tcBorders>
            <w:shd w:val="clear" w:color="auto" w:fill="auto"/>
            <w:noWrap/>
            <w:vAlign w:val="center"/>
            <w:hideMark/>
          </w:tcPr>
          <w:p w:rsidR="006E6F0D" w:rsidRPr="003E5ED2" w:rsidRDefault="00BD4ADB" w:rsidP="006A03E7">
            <w:pPr>
              <w:jc w:val="right"/>
              <w:rPr>
                <w:rFonts w:ascii="Arial" w:hAnsi="Arial" w:cs="Arial"/>
                <w:b/>
                <w:sz w:val="18"/>
                <w:szCs w:val="18"/>
                <w:lang w:eastAsia="en-US"/>
              </w:rPr>
            </w:pPr>
            <w:r w:rsidRPr="003E5ED2">
              <w:rPr>
                <w:rFonts w:ascii="Arial" w:hAnsi="Arial" w:cs="Arial"/>
                <w:b/>
                <w:sz w:val="18"/>
                <w:szCs w:val="18"/>
                <w:lang w:eastAsia="en-US"/>
              </w:rPr>
              <w:t>4.241.209,73</w:t>
            </w:r>
          </w:p>
        </w:tc>
      </w:tr>
      <w:tr w:rsidR="006E6F0D" w:rsidRPr="003E5ED2" w:rsidTr="00E9282A">
        <w:trPr>
          <w:trHeight w:val="463"/>
        </w:trPr>
        <w:tc>
          <w:tcPr>
            <w:tcW w:w="4788" w:type="dxa"/>
            <w:tcBorders>
              <w:top w:val="nil"/>
              <w:left w:val="single" w:sz="4" w:space="0" w:color="auto"/>
              <w:bottom w:val="single" w:sz="4" w:space="0" w:color="auto"/>
              <w:right w:val="single" w:sz="4" w:space="0" w:color="auto"/>
            </w:tcBorders>
            <w:shd w:val="clear" w:color="auto" w:fill="auto"/>
            <w:vAlign w:val="center"/>
            <w:hideMark/>
          </w:tcPr>
          <w:p w:rsidR="006E6F0D" w:rsidRPr="003E5ED2" w:rsidRDefault="006E6F0D" w:rsidP="005958A4">
            <w:pPr>
              <w:rPr>
                <w:rFonts w:ascii="Arial" w:hAnsi="Arial" w:cs="Arial"/>
                <w:sz w:val="18"/>
                <w:szCs w:val="18"/>
                <w:lang w:eastAsia="en-US"/>
              </w:rPr>
            </w:pPr>
            <w:r w:rsidRPr="003E5ED2">
              <w:rPr>
                <w:rFonts w:ascii="Arial" w:hAnsi="Arial" w:cs="Arial"/>
                <w:sz w:val="18"/>
                <w:szCs w:val="18"/>
                <w:lang w:eastAsia="en-US"/>
              </w:rPr>
              <w:t xml:space="preserve">Jamstvo za zaduženje </w:t>
            </w:r>
            <w:proofErr w:type="spellStart"/>
            <w:r w:rsidRPr="003E5ED2">
              <w:rPr>
                <w:rFonts w:ascii="Arial" w:hAnsi="Arial" w:cs="Arial"/>
                <w:sz w:val="18"/>
                <w:szCs w:val="18"/>
                <w:lang w:eastAsia="en-US"/>
              </w:rPr>
              <w:t>Ekoplus</w:t>
            </w:r>
            <w:proofErr w:type="spellEnd"/>
            <w:r w:rsidRPr="003E5ED2">
              <w:rPr>
                <w:rFonts w:ascii="Arial" w:hAnsi="Arial" w:cs="Arial"/>
                <w:sz w:val="18"/>
                <w:szCs w:val="18"/>
                <w:lang w:eastAsia="en-US"/>
              </w:rPr>
              <w:t xml:space="preserve"> d.o.o. za projekt IPA ŽCGO </w:t>
            </w:r>
            <w:proofErr w:type="spellStart"/>
            <w:r w:rsidRPr="003E5ED2">
              <w:rPr>
                <w:rFonts w:ascii="Arial" w:hAnsi="Arial" w:cs="Arial"/>
                <w:sz w:val="18"/>
                <w:szCs w:val="18"/>
                <w:lang w:eastAsia="en-US"/>
              </w:rPr>
              <w:t>Marišćina</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rsidR="006E6F0D" w:rsidRPr="003E5ED2" w:rsidRDefault="00BD4ADB" w:rsidP="006A03E7">
            <w:pPr>
              <w:jc w:val="right"/>
              <w:rPr>
                <w:rFonts w:ascii="Arial" w:hAnsi="Arial" w:cs="Arial"/>
                <w:sz w:val="18"/>
                <w:szCs w:val="18"/>
                <w:lang w:eastAsia="en-US"/>
              </w:rPr>
            </w:pPr>
            <w:r w:rsidRPr="003E5ED2">
              <w:rPr>
                <w:rFonts w:ascii="Arial" w:hAnsi="Arial" w:cs="Arial"/>
                <w:sz w:val="18"/>
                <w:szCs w:val="18"/>
                <w:lang w:eastAsia="en-US"/>
              </w:rPr>
              <w:t>3.746.400,35</w:t>
            </w:r>
          </w:p>
        </w:tc>
        <w:tc>
          <w:tcPr>
            <w:tcW w:w="1760" w:type="dxa"/>
            <w:tcBorders>
              <w:top w:val="nil"/>
              <w:left w:val="nil"/>
              <w:bottom w:val="single" w:sz="4" w:space="0" w:color="auto"/>
              <w:right w:val="single" w:sz="4" w:space="0" w:color="auto"/>
            </w:tcBorders>
            <w:shd w:val="clear" w:color="auto" w:fill="auto"/>
            <w:noWrap/>
            <w:vAlign w:val="center"/>
            <w:hideMark/>
          </w:tcPr>
          <w:p w:rsidR="006E6F0D" w:rsidRPr="003E5ED2" w:rsidRDefault="00BD4ADB" w:rsidP="006A03E7">
            <w:pPr>
              <w:jc w:val="right"/>
              <w:rPr>
                <w:rFonts w:ascii="Arial" w:hAnsi="Arial" w:cs="Arial"/>
                <w:sz w:val="18"/>
                <w:szCs w:val="18"/>
                <w:lang w:eastAsia="en-US"/>
              </w:rPr>
            </w:pPr>
            <w:r w:rsidRPr="003E5ED2">
              <w:rPr>
                <w:rFonts w:ascii="Arial" w:hAnsi="Arial" w:cs="Arial"/>
                <w:sz w:val="18"/>
                <w:szCs w:val="18"/>
                <w:lang w:eastAsia="en-US"/>
              </w:rPr>
              <w:t>2.478.358,27</w:t>
            </w:r>
          </w:p>
        </w:tc>
        <w:tc>
          <w:tcPr>
            <w:tcW w:w="1760" w:type="dxa"/>
            <w:tcBorders>
              <w:top w:val="nil"/>
              <w:left w:val="nil"/>
              <w:bottom w:val="single" w:sz="4" w:space="0" w:color="auto"/>
              <w:right w:val="single" w:sz="4" w:space="0" w:color="auto"/>
            </w:tcBorders>
            <w:shd w:val="clear" w:color="auto" w:fill="auto"/>
            <w:noWrap/>
            <w:vAlign w:val="center"/>
            <w:hideMark/>
          </w:tcPr>
          <w:p w:rsidR="006E6F0D" w:rsidRPr="003E5ED2" w:rsidRDefault="00BD4ADB" w:rsidP="006A03E7">
            <w:pPr>
              <w:jc w:val="right"/>
              <w:rPr>
                <w:rFonts w:ascii="Arial" w:hAnsi="Arial" w:cs="Arial"/>
                <w:sz w:val="18"/>
                <w:szCs w:val="18"/>
                <w:lang w:eastAsia="en-US"/>
              </w:rPr>
            </w:pPr>
            <w:r w:rsidRPr="003E5ED2">
              <w:rPr>
                <w:rFonts w:ascii="Arial" w:hAnsi="Arial" w:cs="Arial"/>
                <w:sz w:val="18"/>
                <w:szCs w:val="18"/>
                <w:lang w:eastAsia="en-US"/>
              </w:rPr>
              <w:t>1.268.042,08</w:t>
            </w:r>
          </w:p>
        </w:tc>
      </w:tr>
      <w:tr w:rsidR="006E6F0D" w:rsidRPr="003E5ED2" w:rsidTr="00E9282A">
        <w:trPr>
          <w:trHeight w:val="544"/>
        </w:trPr>
        <w:tc>
          <w:tcPr>
            <w:tcW w:w="4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F0D" w:rsidRPr="003E5ED2" w:rsidRDefault="006E6F0D" w:rsidP="005958A4">
            <w:pPr>
              <w:rPr>
                <w:rFonts w:ascii="Arial" w:hAnsi="Arial" w:cs="Arial"/>
                <w:sz w:val="18"/>
                <w:szCs w:val="18"/>
                <w:lang w:eastAsia="en-US"/>
              </w:rPr>
            </w:pPr>
            <w:r w:rsidRPr="003E5ED2">
              <w:rPr>
                <w:rFonts w:ascii="Arial" w:hAnsi="Arial" w:cs="Arial"/>
                <w:sz w:val="18"/>
                <w:szCs w:val="18"/>
                <w:lang w:eastAsia="en-US"/>
              </w:rPr>
              <w:t xml:space="preserve">Jamstvo za zaduženje Energo d.o.o. za </w:t>
            </w:r>
            <w:proofErr w:type="spellStart"/>
            <w:r w:rsidRPr="003E5ED2">
              <w:rPr>
                <w:rFonts w:ascii="Arial" w:hAnsi="Arial" w:cs="Arial"/>
                <w:sz w:val="18"/>
                <w:szCs w:val="18"/>
                <w:lang w:eastAsia="en-US"/>
              </w:rPr>
              <w:t>kogeneracijsku</w:t>
            </w:r>
            <w:proofErr w:type="spellEnd"/>
            <w:r w:rsidRPr="003E5ED2">
              <w:rPr>
                <w:rFonts w:ascii="Arial" w:hAnsi="Arial" w:cs="Arial"/>
                <w:sz w:val="18"/>
                <w:szCs w:val="18"/>
                <w:lang w:eastAsia="en-US"/>
              </w:rPr>
              <w:t xml:space="preserve"> energanu na Trsatu</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6E6F0D" w:rsidRPr="003E5ED2" w:rsidRDefault="00BD4ADB" w:rsidP="006A03E7">
            <w:pPr>
              <w:jc w:val="right"/>
              <w:rPr>
                <w:rFonts w:ascii="Arial" w:hAnsi="Arial" w:cs="Arial"/>
                <w:sz w:val="18"/>
                <w:szCs w:val="18"/>
                <w:lang w:eastAsia="en-US"/>
              </w:rPr>
            </w:pPr>
            <w:r w:rsidRPr="003E5ED2">
              <w:rPr>
                <w:rFonts w:ascii="Arial" w:hAnsi="Arial" w:cs="Arial"/>
                <w:sz w:val="18"/>
                <w:szCs w:val="18"/>
                <w:lang w:eastAsia="en-US"/>
              </w:rPr>
              <w:t>439.554,70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6E6F0D" w:rsidRPr="003E5ED2" w:rsidRDefault="00BD4ADB" w:rsidP="006A03E7">
            <w:pPr>
              <w:jc w:val="right"/>
              <w:rPr>
                <w:rFonts w:ascii="Arial" w:hAnsi="Arial" w:cs="Arial"/>
                <w:sz w:val="18"/>
                <w:szCs w:val="18"/>
                <w:lang w:eastAsia="en-US"/>
              </w:rPr>
            </w:pPr>
            <w:r w:rsidRPr="003E5ED2">
              <w:rPr>
                <w:rFonts w:ascii="Arial" w:hAnsi="Arial" w:cs="Arial"/>
                <w:sz w:val="18"/>
                <w:szCs w:val="18"/>
                <w:lang w:eastAsia="en-US"/>
              </w:rPr>
              <w:t>427.177,70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6E6F0D" w:rsidRPr="003E5ED2" w:rsidRDefault="0072500C" w:rsidP="00BD4ADB">
            <w:pPr>
              <w:jc w:val="right"/>
              <w:rPr>
                <w:rFonts w:ascii="Arial" w:hAnsi="Arial" w:cs="Arial"/>
                <w:sz w:val="18"/>
                <w:szCs w:val="18"/>
                <w:lang w:eastAsia="en-US"/>
              </w:rPr>
            </w:pPr>
            <w:r w:rsidRPr="003E5ED2">
              <w:rPr>
                <w:rFonts w:ascii="Arial" w:hAnsi="Arial" w:cs="Arial"/>
                <w:sz w:val="18"/>
                <w:szCs w:val="18"/>
                <w:lang w:eastAsia="en-US"/>
              </w:rPr>
              <w:t xml:space="preserve">     </w:t>
            </w:r>
            <w:r w:rsidR="00BD4ADB" w:rsidRPr="003E5ED2">
              <w:rPr>
                <w:rFonts w:ascii="Arial" w:hAnsi="Arial" w:cs="Arial"/>
                <w:sz w:val="18"/>
                <w:szCs w:val="18"/>
                <w:lang w:eastAsia="en-US"/>
              </w:rPr>
              <w:t>12.377,00</w:t>
            </w:r>
          </w:p>
        </w:tc>
      </w:tr>
      <w:tr w:rsidR="00E9282A" w:rsidRPr="003E5ED2" w:rsidTr="00E9282A">
        <w:trPr>
          <w:trHeight w:val="544"/>
        </w:trPr>
        <w:tc>
          <w:tcPr>
            <w:tcW w:w="4788" w:type="dxa"/>
            <w:tcBorders>
              <w:top w:val="single" w:sz="4" w:space="0" w:color="auto"/>
              <w:left w:val="single" w:sz="4" w:space="0" w:color="auto"/>
              <w:bottom w:val="single" w:sz="4" w:space="0" w:color="auto"/>
              <w:right w:val="single" w:sz="4" w:space="0" w:color="auto"/>
            </w:tcBorders>
            <w:shd w:val="clear" w:color="auto" w:fill="auto"/>
            <w:vAlign w:val="center"/>
          </w:tcPr>
          <w:p w:rsidR="00E9282A" w:rsidRPr="003E5ED2" w:rsidRDefault="00E9282A" w:rsidP="005958A4">
            <w:pPr>
              <w:rPr>
                <w:rFonts w:ascii="Arial" w:hAnsi="Arial" w:cs="Arial"/>
                <w:sz w:val="18"/>
                <w:szCs w:val="18"/>
                <w:lang w:eastAsia="en-US"/>
              </w:rPr>
            </w:pPr>
            <w:r w:rsidRPr="003E5ED2">
              <w:rPr>
                <w:rFonts w:ascii="Arial" w:hAnsi="Arial" w:cs="Arial"/>
                <w:sz w:val="18"/>
                <w:szCs w:val="18"/>
                <w:lang w:eastAsia="en-US"/>
              </w:rPr>
              <w:t>Jamstvo za zaduženje Energo d.o.o.</w:t>
            </w:r>
            <w:r w:rsidR="00C4668D" w:rsidRPr="003E5ED2">
              <w:rPr>
                <w:rFonts w:ascii="Arial" w:hAnsi="Arial" w:cs="Arial"/>
                <w:sz w:val="18"/>
                <w:szCs w:val="18"/>
                <w:lang w:eastAsia="en-US"/>
              </w:rPr>
              <w:t xml:space="preserve"> </w:t>
            </w:r>
            <w:r w:rsidRPr="003E5ED2">
              <w:rPr>
                <w:rFonts w:ascii="Arial" w:hAnsi="Arial" w:cs="Arial"/>
                <w:sz w:val="18"/>
                <w:szCs w:val="18"/>
                <w:lang w:eastAsia="en-US"/>
              </w:rPr>
              <w:t xml:space="preserve">za obnovu </w:t>
            </w:r>
            <w:proofErr w:type="spellStart"/>
            <w:r w:rsidRPr="003E5ED2">
              <w:rPr>
                <w:rFonts w:ascii="Arial" w:hAnsi="Arial" w:cs="Arial"/>
                <w:sz w:val="18"/>
                <w:szCs w:val="18"/>
                <w:lang w:eastAsia="en-US"/>
              </w:rPr>
              <w:t>toplinarstva</w:t>
            </w:r>
            <w:proofErr w:type="spellEnd"/>
            <w:r w:rsidRPr="003E5ED2">
              <w:rPr>
                <w:rFonts w:ascii="Arial" w:hAnsi="Arial" w:cs="Arial"/>
                <w:sz w:val="18"/>
                <w:szCs w:val="18"/>
                <w:lang w:eastAsia="en-US"/>
              </w:rPr>
              <w:t xml:space="preserve"> grada Rijeke</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E9282A" w:rsidRPr="003E5ED2" w:rsidRDefault="00BD4ADB" w:rsidP="00764316">
            <w:pPr>
              <w:jc w:val="right"/>
              <w:rPr>
                <w:rFonts w:ascii="Arial" w:hAnsi="Arial" w:cs="Arial"/>
                <w:sz w:val="18"/>
                <w:szCs w:val="18"/>
                <w:lang w:eastAsia="en-US"/>
              </w:rPr>
            </w:pPr>
            <w:r w:rsidRPr="003E5ED2">
              <w:rPr>
                <w:rFonts w:ascii="Arial" w:hAnsi="Arial" w:cs="Arial"/>
                <w:sz w:val="18"/>
                <w:szCs w:val="18"/>
                <w:lang w:eastAsia="en-US"/>
              </w:rPr>
              <w:t>3.467.075,21</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E9282A" w:rsidRPr="003E5ED2" w:rsidRDefault="00BD4ADB" w:rsidP="00764316">
            <w:pPr>
              <w:jc w:val="right"/>
              <w:rPr>
                <w:rFonts w:ascii="Arial" w:hAnsi="Arial" w:cs="Arial"/>
                <w:sz w:val="18"/>
                <w:szCs w:val="18"/>
                <w:lang w:eastAsia="en-US"/>
              </w:rPr>
            </w:pPr>
            <w:r w:rsidRPr="003E5ED2">
              <w:rPr>
                <w:rFonts w:ascii="Arial" w:hAnsi="Arial" w:cs="Arial"/>
                <w:sz w:val="18"/>
                <w:szCs w:val="18"/>
                <w:lang w:eastAsia="en-US"/>
              </w:rPr>
              <w:t>2.972.990,92</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E9282A" w:rsidRPr="003E5ED2" w:rsidRDefault="00BD4ADB" w:rsidP="00764316">
            <w:pPr>
              <w:jc w:val="right"/>
              <w:rPr>
                <w:rFonts w:ascii="Arial" w:hAnsi="Arial" w:cs="Arial"/>
                <w:sz w:val="18"/>
                <w:szCs w:val="18"/>
                <w:lang w:eastAsia="en-US"/>
              </w:rPr>
            </w:pPr>
            <w:r w:rsidRPr="003E5ED2">
              <w:rPr>
                <w:rFonts w:ascii="Arial" w:hAnsi="Arial" w:cs="Arial"/>
                <w:sz w:val="18"/>
                <w:szCs w:val="18"/>
                <w:lang w:eastAsia="en-US"/>
              </w:rPr>
              <w:t>494.084,29</w:t>
            </w:r>
          </w:p>
        </w:tc>
      </w:tr>
      <w:tr w:rsidR="00764316" w:rsidRPr="003E5ED2" w:rsidTr="00E9282A">
        <w:trPr>
          <w:trHeight w:val="544"/>
        </w:trPr>
        <w:tc>
          <w:tcPr>
            <w:tcW w:w="4788" w:type="dxa"/>
            <w:tcBorders>
              <w:top w:val="single" w:sz="4" w:space="0" w:color="auto"/>
              <w:left w:val="single" w:sz="4" w:space="0" w:color="auto"/>
              <w:bottom w:val="single" w:sz="4" w:space="0" w:color="auto"/>
              <w:right w:val="single" w:sz="4" w:space="0" w:color="auto"/>
            </w:tcBorders>
            <w:shd w:val="clear" w:color="auto" w:fill="auto"/>
            <w:vAlign w:val="center"/>
          </w:tcPr>
          <w:p w:rsidR="00764316" w:rsidRPr="003E5ED2" w:rsidRDefault="00764316" w:rsidP="005958A4">
            <w:pPr>
              <w:rPr>
                <w:rFonts w:ascii="Arial" w:hAnsi="Arial" w:cs="Arial"/>
                <w:sz w:val="18"/>
                <w:szCs w:val="18"/>
                <w:lang w:eastAsia="en-US"/>
              </w:rPr>
            </w:pPr>
            <w:r w:rsidRPr="003E5ED2">
              <w:rPr>
                <w:rFonts w:ascii="Arial" w:hAnsi="Arial" w:cs="Arial"/>
                <w:sz w:val="18"/>
                <w:szCs w:val="18"/>
                <w:lang w:eastAsia="en-US"/>
              </w:rPr>
              <w:t>Jamstvo za zaduženje Energo d.o.o.</w:t>
            </w:r>
            <w:r w:rsidR="00D933D6" w:rsidRPr="003E5ED2">
              <w:rPr>
                <w:rFonts w:ascii="Arial" w:hAnsi="Arial" w:cs="Arial"/>
                <w:sz w:val="18"/>
                <w:szCs w:val="18"/>
                <w:lang w:eastAsia="en-US"/>
              </w:rPr>
              <w:t xml:space="preserve"> </w:t>
            </w:r>
            <w:r w:rsidRPr="003E5ED2">
              <w:rPr>
                <w:rFonts w:ascii="Arial" w:hAnsi="Arial" w:cs="Arial"/>
                <w:sz w:val="18"/>
                <w:szCs w:val="18"/>
                <w:lang w:eastAsia="en-US"/>
              </w:rPr>
              <w:t>za refinanciranje postojećih financijskih obveza</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764316" w:rsidRPr="003E5ED2" w:rsidRDefault="00BD4ADB" w:rsidP="006A03E7">
            <w:pPr>
              <w:jc w:val="right"/>
              <w:rPr>
                <w:rFonts w:ascii="Arial" w:hAnsi="Arial" w:cs="Arial"/>
                <w:sz w:val="18"/>
                <w:szCs w:val="18"/>
                <w:lang w:eastAsia="en-US"/>
              </w:rPr>
            </w:pPr>
            <w:r w:rsidRPr="003E5ED2">
              <w:rPr>
                <w:rFonts w:ascii="Arial" w:hAnsi="Arial" w:cs="Arial"/>
                <w:sz w:val="18"/>
                <w:szCs w:val="18"/>
                <w:lang w:eastAsia="en-US"/>
              </w:rPr>
              <w:t>10.718.566,36</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764316" w:rsidRPr="003E5ED2" w:rsidRDefault="00BD4ADB" w:rsidP="006A03E7">
            <w:pPr>
              <w:jc w:val="right"/>
              <w:rPr>
                <w:rFonts w:ascii="Arial" w:hAnsi="Arial" w:cs="Arial"/>
                <w:sz w:val="18"/>
                <w:szCs w:val="18"/>
                <w:lang w:eastAsia="en-US"/>
              </w:rPr>
            </w:pPr>
            <w:r w:rsidRPr="003E5ED2">
              <w:rPr>
                <w:rFonts w:ascii="Arial" w:hAnsi="Arial" w:cs="Arial"/>
                <w:sz w:val="18"/>
                <w:szCs w:val="18"/>
                <w:lang w:eastAsia="en-US"/>
              </w:rPr>
              <w:t>8.251.860,00</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764316" w:rsidRPr="003E5ED2" w:rsidRDefault="00BD4ADB" w:rsidP="006A03E7">
            <w:pPr>
              <w:jc w:val="right"/>
              <w:rPr>
                <w:rFonts w:ascii="Arial" w:hAnsi="Arial" w:cs="Arial"/>
                <w:sz w:val="18"/>
                <w:szCs w:val="18"/>
                <w:lang w:eastAsia="en-US"/>
              </w:rPr>
            </w:pPr>
            <w:r w:rsidRPr="003E5ED2">
              <w:rPr>
                <w:rFonts w:ascii="Arial" w:hAnsi="Arial" w:cs="Arial"/>
                <w:sz w:val="18"/>
                <w:szCs w:val="18"/>
                <w:lang w:eastAsia="en-US"/>
              </w:rPr>
              <w:t>2.466.706,36</w:t>
            </w:r>
          </w:p>
        </w:tc>
      </w:tr>
    </w:tbl>
    <w:p w:rsidR="00D933D6" w:rsidRPr="003E5ED2" w:rsidRDefault="006E6F0D" w:rsidP="006E6F0D">
      <w:pPr>
        <w:ind w:left="90"/>
        <w:jc w:val="both"/>
        <w:rPr>
          <w:rFonts w:ascii="Arial" w:hAnsi="Arial" w:cs="Arial"/>
          <w:i/>
          <w:sz w:val="16"/>
          <w:szCs w:val="16"/>
        </w:rPr>
      </w:pPr>
      <w:proofErr w:type="spellStart"/>
      <w:r w:rsidRPr="003E5ED2">
        <w:rPr>
          <w:rFonts w:ascii="Arial" w:hAnsi="Arial" w:cs="Arial"/>
          <w:i/>
          <w:sz w:val="16"/>
          <w:szCs w:val="16"/>
        </w:rPr>
        <w:t>Ekoplus</w:t>
      </w:r>
      <w:proofErr w:type="spellEnd"/>
      <w:r w:rsidRPr="003E5ED2">
        <w:rPr>
          <w:rFonts w:ascii="Arial" w:hAnsi="Arial" w:cs="Arial"/>
          <w:i/>
          <w:sz w:val="16"/>
          <w:szCs w:val="16"/>
        </w:rPr>
        <w:t xml:space="preserve"> - Projekt financiran iz fondova EU, iz instrumenta </w:t>
      </w:r>
      <w:proofErr w:type="spellStart"/>
      <w:r w:rsidRPr="003E5ED2">
        <w:rPr>
          <w:rFonts w:ascii="Arial" w:hAnsi="Arial" w:cs="Arial"/>
          <w:i/>
          <w:sz w:val="16"/>
          <w:szCs w:val="16"/>
        </w:rPr>
        <w:t>pretpristupne</w:t>
      </w:r>
      <w:proofErr w:type="spellEnd"/>
      <w:r w:rsidRPr="003E5ED2">
        <w:rPr>
          <w:rFonts w:ascii="Arial" w:hAnsi="Arial" w:cs="Arial"/>
          <w:i/>
          <w:sz w:val="16"/>
          <w:szCs w:val="16"/>
        </w:rPr>
        <w:t xml:space="preserve"> pomoći program IPA, komponenta III Operativni program</w:t>
      </w:r>
    </w:p>
    <w:p w:rsidR="006E6F0D" w:rsidRPr="003E5ED2" w:rsidRDefault="00D933D6" w:rsidP="006E6F0D">
      <w:pPr>
        <w:ind w:left="90"/>
        <w:jc w:val="both"/>
        <w:rPr>
          <w:rFonts w:ascii="Arial" w:hAnsi="Arial"/>
          <w:b/>
          <w:i/>
        </w:rPr>
      </w:pPr>
      <w:r w:rsidRPr="003E5ED2">
        <w:rPr>
          <w:rFonts w:ascii="Arial" w:hAnsi="Arial" w:cs="Arial"/>
          <w:i/>
          <w:sz w:val="16"/>
          <w:szCs w:val="16"/>
        </w:rPr>
        <w:tab/>
      </w:r>
      <w:r w:rsidR="006E6F0D" w:rsidRPr="003E5ED2">
        <w:rPr>
          <w:rFonts w:ascii="Arial" w:hAnsi="Arial" w:cs="Arial"/>
          <w:i/>
          <w:sz w:val="16"/>
          <w:szCs w:val="16"/>
        </w:rPr>
        <w:t xml:space="preserve"> Zaštita okoliša</w:t>
      </w:r>
    </w:p>
    <w:p w:rsidR="006E6F0D" w:rsidRPr="003E5ED2" w:rsidRDefault="006E6F0D" w:rsidP="006E6F0D">
      <w:pPr>
        <w:jc w:val="both"/>
        <w:rPr>
          <w:rFonts w:ascii="Arial" w:hAnsi="Arial" w:cs="Arial"/>
          <w:i/>
          <w:sz w:val="16"/>
          <w:szCs w:val="16"/>
        </w:rPr>
      </w:pPr>
      <w:r w:rsidRPr="003E5ED2">
        <w:rPr>
          <w:rFonts w:ascii="Arial" w:hAnsi="Arial" w:cs="Arial"/>
          <w:i/>
          <w:sz w:val="16"/>
          <w:szCs w:val="16"/>
        </w:rPr>
        <w:t xml:space="preserve">  Energo - Projekt iz područja unaprjeđenja energetske učinkovitosti u kojem sudjeluje i Grad Rijeka</w:t>
      </w:r>
    </w:p>
    <w:p w:rsidR="00FF78DC" w:rsidRPr="003E5ED2" w:rsidRDefault="00FF78DC" w:rsidP="006E6F0D">
      <w:pPr>
        <w:jc w:val="both"/>
        <w:rPr>
          <w:rFonts w:ascii="Arial" w:hAnsi="Arial" w:cs="Arial"/>
          <w:i/>
          <w:sz w:val="16"/>
          <w:szCs w:val="16"/>
        </w:rPr>
      </w:pPr>
      <w:r w:rsidRPr="003E5ED2">
        <w:rPr>
          <w:rFonts w:ascii="Arial" w:hAnsi="Arial" w:cs="Arial"/>
          <w:i/>
          <w:sz w:val="16"/>
          <w:szCs w:val="16"/>
        </w:rPr>
        <w:t xml:space="preserve">  Energo </w:t>
      </w:r>
      <w:r w:rsidR="00DF35AF" w:rsidRPr="003E5ED2">
        <w:rPr>
          <w:rFonts w:ascii="Arial" w:hAnsi="Arial" w:cs="Arial"/>
          <w:i/>
          <w:sz w:val="16"/>
          <w:szCs w:val="16"/>
        </w:rPr>
        <w:t>-</w:t>
      </w:r>
      <w:r w:rsidRPr="003E5ED2">
        <w:rPr>
          <w:rFonts w:ascii="Arial" w:hAnsi="Arial" w:cs="Arial"/>
          <w:i/>
          <w:sz w:val="16"/>
          <w:szCs w:val="16"/>
        </w:rPr>
        <w:t xml:space="preserve"> Projekt financiran iz fondova EU – Obnova </w:t>
      </w:r>
      <w:proofErr w:type="spellStart"/>
      <w:r w:rsidRPr="003E5ED2">
        <w:rPr>
          <w:rFonts w:ascii="Arial" w:hAnsi="Arial" w:cs="Arial"/>
          <w:i/>
          <w:sz w:val="16"/>
          <w:szCs w:val="16"/>
        </w:rPr>
        <w:t>toplinarstva</w:t>
      </w:r>
      <w:proofErr w:type="spellEnd"/>
      <w:r w:rsidRPr="003E5ED2">
        <w:rPr>
          <w:rFonts w:ascii="Arial" w:hAnsi="Arial" w:cs="Arial"/>
          <w:i/>
          <w:sz w:val="16"/>
          <w:szCs w:val="16"/>
        </w:rPr>
        <w:t xml:space="preserve"> grada Rijeke</w:t>
      </w:r>
    </w:p>
    <w:p w:rsidR="00C70396" w:rsidRPr="003E5ED2" w:rsidRDefault="00C70396" w:rsidP="006E6F0D">
      <w:pPr>
        <w:jc w:val="both"/>
        <w:rPr>
          <w:rFonts w:ascii="Arial" w:hAnsi="Arial"/>
          <w:b/>
          <w:i/>
        </w:rPr>
      </w:pPr>
      <w:r w:rsidRPr="003E5ED2">
        <w:rPr>
          <w:rFonts w:ascii="Arial" w:hAnsi="Arial" w:cs="Arial"/>
          <w:i/>
          <w:sz w:val="16"/>
          <w:szCs w:val="16"/>
        </w:rPr>
        <w:t xml:space="preserve">  Energo</w:t>
      </w:r>
      <w:r w:rsidR="00DF35AF" w:rsidRPr="003E5ED2">
        <w:rPr>
          <w:rFonts w:ascii="Arial" w:hAnsi="Arial" w:cs="Arial"/>
          <w:i/>
          <w:sz w:val="16"/>
          <w:szCs w:val="16"/>
        </w:rPr>
        <w:t xml:space="preserve"> </w:t>
      </w:r>
      <w:r w:rsidRPr="003E5ED2">
        <w:rPr>
          <w:rFonts w:ascii="Arial" w:hAnsi="Arial" w:cs="Arial"/>
          <w:i/>
          <w:sz w:val="16"/>
          <w:szCs w:val="16"/>
        </w:rPr>
        <w:t>-</w:t>
      </w:r>
      <w:r w:rsidR="00DF35AF" w:rsidRPr="003E5ED2">
        <w:rPr>
          <w:rFonts w:ascii="Arial" w:hAnsi="Arial" w:cs="Arial"/>
          <w:i/>
          <w:sz w:val="16"/>
          <w:szCs w:val="16"/>
        </w:rPr>
        <w:t xml:space="preserve"> </w:t>
      </w:r>
      <w:r w:rsidRPr="003E5ED2">
        <w:rPr>
          <w:rFonts w:ascii="Arial" w:hAnsi="Arial" w:cs="Arial"/>
          <w:i/>
          <w:sz w:val="16"/>
          <w:szCs w:val="16"/>
        </w:rPr>
        <w:t>za refinanciranje postojećih financijskih obveza</w:t>
      </w:r>
    </w:p>
    <w:p w:rsidR="00494271" w:rsidRPr="003E5ED2" w:rsidRDefault="00494271" w:rsidP="000E69DA">
      <w:pPr>
        <w:tabs>
          <w:tab w:val="left" w:pos="284"/>
          <w:tab w:val="left" w:pos="567"/>
          <w:tab w:val="left" w:pos="851"/>
        </w:tabs>
        <w:jc w:val="both"/>
        <w:rPr>
          <w:rFonts w:ascii="Arial" w:hAnsi="Arial"/>
          <w:b/>
        </w:rPr>
      </w:pPr>
    </w:p>
    <w:p w:rsidR="00821153" w:rsidRPr="003E5ED2" w:rsidRDefault="00821153" w:rsidP="000E69DA">
      <w:pPr>
        <w:tabs>
          <w:tab w:val="left" w:pos="284"/>
          <w:tab w:val="left" w:pos="567"/>
          <w:tab w:val="left" w:pos="851"/>
        </w:tabs>
        <w:jc w:val="both"/>
        <w:rPr>
          <w:rFonts w:ascii="Arial" w:hAnsi="Arial"/>
          <w:b/>
        </w:rPr>
      </w:pPr>
    </w:p>
    <w:p w:rsidR="004F3ECD" w:rsidRDefault="004F3ECD" w:rsidP="00BA5C46">
      <w:pPr>
        <w:tabs>
          <w:tab w:val="left" w:pos="284"/>
          <w:tab w:val="left" w:pos="567"/>
          <w:tab w:val="left" w:pos="851"/>
        </w:tabs>
        <w:jc w:val="both"/>
        <w:rPr>
          <w:rFonts w:ascii="Arial" w:hAnsi="Arial"/>
          <w:b/>
          <w:sz w:val="22"/>
          <w:szCs w:val="22"/>
        </w:rPr>
      </w:pPr>
    </w:p>
    <w:p w:rsidR="004F3ECD" w:rsidRDefault="004F3ECD" w:rsidP="00BA5C46">
      <w:pPr>
        <w:tabs>
          <w:tab w:val="left" w:pos="284"/>
          <w:tab w:val="left" w:pos="567"/>
          <w:tab w:val="left" w:pos="851"/>
        </w:tabs>
        <w:jc w:val="both"/>
        <w:rPr>
          <w:rFonts w:ascii="Arial" w:hAnsi="Arial"/>
          <w:b/>
          <w:sz w:val="22"/>
          <w:szCs w:val="22"/>
        </w:rPr>
      </w:pPr>
    </w:p>
    <w:p w:rsidR="004F3ECD" w:rsidRDefault="004F3ECD" w:rsidP="00BA5C46">
      <w:pPr>
        <w:tabs>
          <w:tab w:val="left" w:pos="284"/>
          <w:tab w:val="left" w:pos="567"/>
          <w:tab w:val="left" w:pos="851"/>
        </w:tabs>
        <w:jc w:val="both"/>
        <w:rPr>
          <w:rFonts w:ascii="Arial" w:hAnsi="Arial"/>
          <w:b/>
          <w:sz w:val="22"/>
          <w:szCs w:val="22"/>
        </w:rPr>
      </w:pPr>
    </w:p>
    <w:p w:rsidR="00556BD4" w:rsidRPr="003E5ED2" w:rsidRDefault="005F32BA" w:rsidP="00BA5C46">
      <w:pPr>
        <w:tabs>
          <w:tab w:val="left" w:pos="284"/>
          <w:tab w:val="left" w:pos="567"/>
          <w:tab w:val="left" w:pos="851"/>
        </w:tabs>
        <w:jc w:val="both"/>
        <w:rPr>
          <w:rFonts w:ascii="Arial" w:hAnsi="Arial"/>
          <w:b/>
          <w:sz w:val="22"/>
          <w:szCs w:val="22"/>
        </w:rPr>
      </w:pPr>
      <w:r w:rsidRPr="003E5ED2">
        <w:rPr>
          <w:rFonts w:ascii="Arial" w:hAnsi="Arial"/>
          <w:b/>
          <w:sz w:val="22"/>
          <w:szCs w:val="22"/>
        </w:rPr>
        <w:t xml:space="preserve">Bilješka broj 8 </w:t>
      </w:r>
      <w:r w:rsidRPr="003E5ED2">
        <w:rPr>
          <w:rFonts w:ascii="Arial" w:hAnsi="Arial" w:cs="Arial"/>
          <w:b/>
          <w:sz w:val="22"/>
          <w:szCs w:val="22"/>
        </w:rPr>
        <w:t>–</w:t>
      </w:r>
      <w:r w:rsidRPr="003E5ED2">
        <w:rPr>
          <w:rFonts w:ascii="Arial" w:hAnsi="Arial"/>
          <w:b/>
          <w:sz w:val="22"/>
          <w:szCs w:val="22"/>
        </w:rPr>
        <w:t xml:space="preserve"> Dane suglasnosti</w:t>
      </w:r>
      <w:r w:rsidR="001A622B" w:rsidRPr="003E5ED2">
        <w:rPr>
          <w:rFonts w:ascii="Arial" w:hAnsi="Arial"/>
          <w:b/>
          <w:sz w:val="22"/>
          <w:szCs w:val="22"/>
        </w:rPr>
        <w:t xml:space="preserve"> </w:t>
      </w:r>
      <w:r w:rsidR="00C11AD3" w:rsidRPr="003E5ED2">
        <w:rPr>
          <w:rFonts w:ascii="Arial" w:hAnsi="Arial"/>
          <w:b/>
          <w:sz w:val="22"/>
          <w:szCs w:val="22"/>
        </w:rPr>
        <w:t>za zaduženje</w:t>
      </w:r>
    </w:p>
    <w:p w:rsidR="00BA5C46" w:rsidRPr="003E5ED2" w:rsidRDefault="00BA5C46" w:rsidP="00BA5C46">
      <w:pPr>
        <w:tabs>
          <w:tab w:val="left" w:pos="284"/>
          <w:tab w:val="left" w:pos="567"/>
          <w:tab w:val="left" w:pos="851"/>
        </w:tabs>
        <w:jc w:val="both"/>
        <w:rPr>
          <w:rFonts w:ascii="Arial" w:hAnsi="Arial" w:cs="Arial"/>
          <w:sz w:val="22"/>
          <w:szCs w:val="22"/>
        </w:rPr>
      </w:pPr>
    </w:p>
    <w:p w:rsidR="00556BD4" w:rsidRPr="003E5ED2" w:rsidRDefault="002A6C4A" w:rsidP="00D24180">
      <w:pPr>
        <w:jc w:val="both"/>
        <w:rPr>
          <w:rFonts w:ascii="Arial" w:hAnsi="Arial" w:cs="Arial"/>
          <w:sz w:val="22"/>
          <w:szCs w:val="22"/>
        </w:rPr>
      </w:pPr>
      <w:r w:rsidRPr="003E5ED2">
        <w:rPr>
          <w:rFonts w:ascii="Arial" w:hAnsi="Arial" w:cs="Arial"/>
          <w:sz w:val="22"/>
          <w:szCs w:val="22"/>
        </w:rPr>
        <w:t>U izvještajnom razdoblju Grad Rijeka nije davao nove suglasnosti</w:t>
      </w:r>
      <w:r w:rsidR="006C14F3" w:rsidRPr="003E5ED2">
        <w:rPr>
          <w:rFonts w:ascii="Arial" w:hAnsi="Arial" w:cs="Arial"/>
          <w:sz w:val="22"/>
          <w:szCs w:val="22"/>
        </w:rPr>
        <w:t xml:space="preserve"> za zaduženje</w:t>
      </w:r>
      <w:r w:rsidR="006000C8" w:rsidRPr="003E5ED2">
        <w:rPr>
          <w:rFonts w:ascii="Arial" w:hAnsi="Arial" w:cs="Arial"/>
          <w:sz w:val="22"/>
          <w:szCs w:val="22"/>
        </w:rPr>
        <w:t>. R</w:t>
      </w:r>
      <w:r w:rsidRPr="003E5ED2">
        <w:rPr>
          <w:rFonts w:ascii="Arial" w:hAnsi="Arial" w:cs="Arial"/>
          <w:sz w:val="22"/>
          <w:szCs w:val="22"/>
        </w:rPr>
        <w:t xml:space="preserve">anijih godina </w:t>
      </w:r>
      <w:r w:rsidR="006000C8" w:rsidRPr="003E5ED2">
        <w:rPr>
          <w:rFonts w:ascii="Arial" w:hAnsi="Arial" w:cs="Arial"/>
          <w:sz w:val="22"/>
          <w:szCs w:val="22"/>
        </w:rPr>
        <w:t xml:space="preserve">Grad je </w:t>
      </w:r>
      <w:r w:rsidRPr="003E5ED2">
        <w:rPr>
          <w:rFonts w:ascii="Arial" w:hAnsi="Arial" w:cs="Arial"/>
          <w:sz w:val="22"/>
          <w:szCs w:val="22"/>
        </w:rPr>
        <w:t xml:space="preserve">dao suglasnosti ustanovi </w:t>
      </w:r>
      <w:r w:rsidR="00556BD4" w:rsidRPr="003E5ED2">
        <w:rPr>
          <w:rFonts w:ascii="Arial" w:hAnsi="Arial" w:cs="Arial"/>
          <w:sz w:val="22"/>
          <w:szCs w:val="22"/>
        </w:rPr>
        <w:t xml:space="preserve">Dječji vrtić Rijeka te trgovačkim društvima u većinskom vlasništvu: Rijeka </w:t>
      </w:r>
      <w:r w:rsidRPr="003E5ED2">
        <w:rPr>
          <w:rFonts w:ascii="Arial" w:hAnsi="Arial" w:cs="Arial"/>
          <w:sz w:val="22"/>
          <w:szCs w:val="22"/>
        </w:rPr>
        <w:t>plus d.o.o. Rijeka sport d.o.o.</w:t>
      </w:r>
      <w:r w:rsidR="00556BD4" w:rsidRPr="003E5ED2">
        <w:rPr>
          <w:rFonts w:ascii="Arial" w:hAnsi="Arial" w:cs="Arial"/>
          <w:sz w:val="22"/>
          <w:szCs w:val="22"/>
        </w:rPr>
        <w:t>, Energ</w:t>
      </w:r>
      <w:r w:rsidR="00A414CE" w:rsidRPr="003E5ED2">
        <w:rPr>
          <w:rFonts w:ascii="Arial" w:hAnsi="Arial" w:cs="Arial"/>
          <w:sz w:val="22"/>
          <w:szCs w:val="22"/>
        </w:rPr>
        <w:t>o d.o.o. i komunalnim društvima</w:t>
      </w:r>
      <w:r w:rsidR="006E4DA4" w:rsidRPr="003E5ED2">
        <w:rPr>
          <w:rFonts w:ascii="Arial" w:hAnsi="Arial" w:cs="Arial"/>
          <w:sz w:val="22"/>
          <w:szCs w:val="22"/>
        </w:rPr>
        <w:t xml:space="preserve"> </w:t>
      </w:r>
      <w:r w:rsidR="00556BD4" w:rsidRPr="003E5ED2">
        <w:rPr>
          <w:rFonts w:ascii="Arial" w:hAnsi="Arial" w:cs="Arial"/>
          <w:sz w:val="22"/>
          <w:szCs w:val="22"/>
        </w:rPr>
        <w:t>Vodovod i kanalizacija d.o.o.,</w:t>
      </w:r>
      <w:r w:rsidR="00A414CE" w:rsidRPr="003E5ED2">
        <w:rPr>
          <w:rFonts w:ascii="Arial" w:hAnsi="Arial" w:cs="Arial"/>
          <w:sz w:val="22"/>
          <w:szCs w:val="22"/>
        </w:rPr>
        <w:t xml:space="preserve"> </w:t>
      </w:r>
      <w:r w:rsidR="00556BD4" w:rsidRPr="003E5ED2">
        <w:rPr>
          <w:rFonts w:ascii="Arial" w:hAnsi="Arial" w:cs="Arial"/>
          <w:sz w:val="22"/>
          <w:szCs w:val="22"/>
        </w:rPr>
        <w:t>Autotrolej d.o.o. i Čistoća d.o.o.</w:t>
      </w:r>
    </w:p>
    <w:p w:rsidR="00556BD4" w:rsidRPr="003E5ED2" w:rsidRDefault="00556BD4" w:rsidP="00556BD4">
      <w:pPr>
        <w:jc w:val="both"/>
        <w:rPr>
          <w:rFonts w:ascii="Arial" w:eastAsiaTheme="minorHAnsi" w:hAnsi="Arial" w:cs="Arial"/>
          <w:sz w:val="22"/>
          <w:szCs w:val="22"/>
          <w:lang w:eastAsia="en-US"/>
        </w:rPr>
      </w:pPr>
    </w:p>
    <w:p w:rsidR="000E58B7" w:rsidRPr="003E5ED2" w:rsidRDefault="00556BD4" w:rsidP="00B15886">
      <w:pPr>
        <w:jc w:val="both"/>
        <w:rPr>
          <w:rFonts w:ascii="Arial" w:eastAsiaTheme="minorHAnsi" w:hAnsi="Arial" w:cs="Arial"/>
          <w:sz w:val="22"/>
          <w:szCs w:val="22"/>
          <w:lang w:eastAsia="en-US"/>
        </w:rPr>
      </w:pPr>
      <w:r w:rsidRPr="003E5ED2">
        <w:rPr>
          <w:rFonts w:ascii="Arial" w:eastAsiaTheme="minorHAnsi" w:hAnsi="Arial" w:cs="Arial"/>
          <w:sz w:val="22"/>
          <w:szCs w:val="22"/>
          <w:lang w:eastAsia="en-US"/>
        </w:rPr>
        <w:t xml:space="preserve">Stanje kredita po osnovi danih suglasnosti za dugoročno zaduženje pravnim </w:t>
      </w:r>
      <w:r w:rsidR="004629BE" w:rsidRPr="003E5ED2">
        <w:rPr>
          <w:rFonts w:ascii="Arial" w:eastAsiaTheme="minorHAnsi" w:hAnsi="Arial" w:cs="Arial"/>
          <w:sz w:val="22"/>
          <w:szCs w:val="22"/>
          <w:lang w:eastAsia="en-US"/>
        </w:rPr>
        <w:t>osobama na dan 31.</w:t>
      </w:r>
      <w:r w:rsidR="006000C8" w:rsidRPr="003E5ED2">
        <w:rPr>
          <w:rFonts w:ascii="Arial" w:eastAsiaTheme="minorHAnsi" w:hAnsi="Arial" w:cs="Arial"/>
          <w:sz w:val="22"/>
          <w:szCs w:val="22"/>
          <w:lang w:eastAsia="en-US"/>
        </w:rPr>
        <w:t xml:space="preserve"> </w:t>
      </w:r>
      <w:r w:rsidR="002A6C4A" w:rsidRPr="003E5ED2">
        <w:rPr>
          <w:rFonts w:ascii="Arial" w:eastAsiaTheme="minorHAnsi" w:hAnsi="Arial" w:cs="Arial"/>
          <w:sz w:val="22"/>
          <w:szCs w:val="22"/>
          <w:lang w:eastAsia="en-US"/>
        </w:rPr>
        <w:t>prosinca 2024</w:t>
      </w:r>
      <w:r w:rsidRPr="003E5ED2">
        <w:rPr>
          <w:rFonts w:ascii="Arial" w:eastAsiaTheme="minorHAnsi" w:hAnsi="Arial" w:cs="Arial"/>
          <w:sz w:val="22"/>
          <w:szCs w:val="22"/>
          <w:lang w:eastAsia="en-US"/>
        </w:rPr>
        <w:t>. godine po osnovi glavnice</w:t>
      </w:r>
      <w:r w:rsidR="002A6C4A" w:rsidRPr="003E5ED2">
        <w:rPr>
          <w:rFonts w:ascii="Arial" w:eastAsiaTheme="minorHAnsi" w:hAnsi="Arial" w:cs="Arial"/>
          <w:sz w:val="22"/>
          <w:szCs w:val="22"/>
          <w:lang w:eastAsia="en-US"/>
        </w:rPr>
        <w:t xml:space="preserve"> i kamata</w:t>
      </w:r>
      <w:r w:rsidRPr="003E5ED2">
        <w:rPr>
          <w:rFonts w:ascii="Arial" w:eastAsiaTheme="minorHAnsi" w:hAnsi="Arial" w:cs="Arial"/>
          <w:sz w:val="22"/>
          <w:szCs w:val="22"/>
          <w:lang w:eastAsia="en-US"/>
        </w:rPr>
        <w:t xml:space="preserve"> </w:t>
      </w:r>
      <w:r w:rsidRPr="003E5ED2">
        <w:rPr>
          <w:rFonts w:ascii="Arial" w:eastAsiaTheme="minorHAnsi" w:hAnsi="Arial" w:cs="Arial"/>
          <w:color w:val="000000"/>
          <w:sz w:val="22"/>
          <w:szCs w:val="22"/>
          <w:lang w:eastAsia="en-US"/>
        </w:rPr>
        <w:t xml:space="preserve">iznosi </w:t>
      </w:r>
      <w:r w:rsidR="002A6C4A" w:rsidRPr="003E5ED2">
        <w:rPr>
          <w:rFonts w:ascii="Arial" w:eastAsiaTheme="minorHAnsi" w:hAnsi="Arial" w:cs="Arial"/>
          <w:color w:val="000000"/>
          <w:sz w:val="22"/>
          <w:szCs w:val="22"/>
          <w:lang w:eastAsia="en-US"/>
        </w:rPr>
        <w:t>44.468.665,34</w:t>
      </w:r>
      <w:r w:rsidRPr="003E5ED2">
        <w:rPr>
          <w:rFonts w:ascii="Arial" w:eastAsiaTheme="minorHAnsi" w:hAnsi="Arial" w:cs="Arial"/>
          <w:color w:val="000000"/>
          <w:sz w:val="22"/>
          <w:szCs w:val="22"/>
          <w:lang w:eastAsia="en-US"/>
        </w:rPr>
        <w:t xml:space="preserve"> eura</w:t>
      </w:r>
      <w:r w:rsidRPr="003E5ED2">
        <w:rPr>
          <w:rFonts w:ascii="Arial" w:eastAsiaTheme="minorHAnsi" w:hAnsi="Arial" w:cs="Arial"/>
          <w:sz w:val="22"/>
          <w:szCs w:val="22"/>
          <w:lang w:eastAsia="en-US"/>
        </w:rPr>
        <w:t xml:space="preserve">. </w:t>
      </w:r>
    </w:p>
    <w:p w:rsidR="00821153" w:rsidRPr="003E5ED2" w:rsidRDefault="00821153" w:rsidP="000E69DA">
      <w:pPr>
        <w:tabs>
          <w:tab w:val="left" w:pos="284"/>
          <w:tab w:val="left" w:pos="567"/>
          <w:tab w:val="left" w:pos="851"/>
        </w:tabs>
        <w:jc w:val="both"/>
        <w:rPr>
          <w:rFonts w:ascii="Arial" w:hAnsi="Arial"/>
          <w:b/>
          <w:sz w:val="22"/>
          <w:szCs w:val="22"/>
        </w:rPr>
      </w:pPr>
    </w:p>
    <w:p w:rsidR="0092050D" w:rsidRPr="003E5ED2" w:rsidRDefault="000E69DA" w:rsidP="000E69DA">
      <w:pPr>
        <w:tabs>
          <w:tab w:val="left" w:pos="284"/>
          <w:tab w:val="left" w:pos="567"/>
          <w:tab w:val="left" w:pos="851"/>
        </w:tabs>
        <w:jc w:val="both"/>
        <w:rPr>
          <w:rFonts w:ascii="Arial" w:hAnsi="Arial" w:cs="Arial"/>
          <w:b/>
          <w:sz w:val="22"/>
          <w:szCs w:val="22"/>
        </w:rPr>
      </w:pPr>
      <w:r w:rsidRPr="003E5ED2">
        <w:rPr>
          <w:rFonts w:ascii="Arial" w:hAnsi="Arial"/>
          <w:b/>
          <w:sz w:val="22"/>
          <w:szCs w:val="22"/>
        </w:rPr>
        <w:t xml:space="preserve">Bilješka broj </w:t>
      </w:r>
      <w:r w:rsidR="005F32BA" w:rsidRPr="003E5ED2">
        <w:rPr>
          <w:rFonts w:ascii="Arial" w:hAnsi="Arial"/>
          <w:b/>
          <w:sz w:val="22"/>
          <w:szCs w:val="22"/>
        </w:rPr>
        <w:t>9</w:t>
      </w:r>
      <w:r w:rsidRPr="003E5ED2">
        <w:rPr>
          <w:rFonts w:ascii="Arial" w:hAnsi="Arial"/>
          <w:b/>
          <w:sz w:val="22"/>
          <w:szCs w:val="22"/>
        </w:rPr>
        <w:t xml:space="preserve"> </w:t>
      </w:r>
      <w:r w:rsidRPr="003E5ED2">
        <w:rPr>
          <w:rFonts w:ascii="Arial" w:hAnsi="Arial" w:cs="Arial"/>
          <w:b/>
          <w:sz w:val="22"/>
          <w:szCs w:val="22"/>
        </w:rPr>
        <w:t>–</w:t>
      </w:r>
      <w:r w:rsidRPr="003E5ED2">
        <w:rPr>
          <w:rFonts w:ascii="Arial" w:hAnsi="Arial"/>
          <w:b/>
          <w:sz w:val="22"/>
          <w:szCs w:val="22"/>
        </w:rPr>
        <w:t xml:space="preserve"> </w:t>
      </w:r>
      <w:r w:rsidRPr="003E5ED2">
        <w:rPr>
          <w:rFonts w:ascii="Arial" w:hAnsi="Arial" w:cs="Arial"/>
          <w:b/>
          <w:sz w:val="22"/>
          <w:szCs w:val="22"/>
        </w:rPr>
        <w:t>Sudski sporovi u tijeku</w:t>
      </w:r>
      <w:r w:rsidR="009015D8" w:rsidRPr="003E5ED2">
        <w:rPr>
          <w:rFonts w:ascii="Arial" w:hAnsi="Arial" w:cs="Arial"/>
          <w:b/>
          <w:sz w:val="22"/>
          <w:szCs w:val="22"/>
        </w:rPr>
        <w:t xml:space="preserve"> </w:t>
      </w:r>
    </w:p>
    <w:p w:rsidR="00BA5C46" w:rsidRPr="003E5ED2" w:rsidRDefault="00BA5C46" w:rsidP="000E69DA">
      <w:pPr>
        <w:tabs>
          <w:tab w:val="left" w:pos="284"/>
          <w:tab w:val="left" w:pos="567"/>
          <w:tab w:val="left" w:pos="851"/>
        </w:tabs>
        <w:jc w:val="both"/>
        <w:rPr>
          <w:rFonts w:ascii="Arial" w:hAnsi="Arial" w:cs="Arial"/>
          <w:b/>
          <w:sz w:val="22"/>
          <w:szCs w:val="22"/>
        </w:rPr>
      </w:pPr>
    </w:p>
    <w:p w:rsidR="000E3631" w:rsidRPr="003E5ED2" w:rsidRDefault="000E3631" w:rsidP="000E3631">
      <w:pPr>
        <w:jc w:val="both"/>
        <w:rPr>
          <w:rFonts w:ascii="Arial" w:hAnsi="Arial" w:cs="Arial"/>
          <w:sz w:val="22"/>
          <w:szCs w:val="22"/>
        </w:rPr>
      </w:pPr>
      <w:r w:rsidRPr="003E5ED2">
        <w:rPr>
          <w:rFonts w:ascii="Arial" w:hAnsi="Arial" w:cs="Arial"/>
          <w:sz w:val="22"/>
          <w:szCs w:val="22"/>
        </w:rPr>
        <w:t xml:space="preserve">Prema podacima nadležnih odjela gradske uprave u kojima se vode službene evidencije o sudskim sporovima u kojima je Grad jedna od stranaka, a za potrebe iskazivanja podatka u </w:t>
      </w:r>
      <w:proofErr w:type="spellStart"/>
      <w:r w:rsidRPr="003E5ED2">
        <w:rPr>
          <w:rFonts w:ascii="Arial" w:hAnsi="Arial" w:cs="Arial"/>
          <w:sz w:val="22"/>
          <w:szCs w:val="22"/>
        </w:rPr>
        <w:t>izvanbilančnoj</w:t>
      </w:r>
      <w:proofErr w:type="spellEnd"/>
      <w:r w:rsidRPr="003E5ED2">
        <w:rPr>
          <w:rFonts w:ascii="Arial" w:hAnsi="Arial" w:cs="Arial"/>
          <w:sz w:val="22"/>
          <w:szCs w:val="22"/>
        </w:rPr>
        <w:t xml:space="preserve"> evidenciji i u ovim Bilj</w:t>
      </w:r>
      <w:r w:rsidR="00B1263B" w:rsidRPr="003E5ED2">
        <w:rPr>
          <w:rFonts w:ascii="Arial" w:hAnsi="Arial" w:cs="Arial"/>
          <w:sz w:val="22"/>
          <w:szCs w:val="22"/>
        </w:rPr>
        <w:t>eškama, na dan 31. prosinca 2024</w:t>
      </w:r>
      <w:r w:rsidRPr="003E5ED2">
        <w:rPr>
          <w:rFonts w:ascii="Arial" w:hAnsi="Arial" w:cs="Arial"/>
          <w:sz w:val="22"/>
          <w:szCs w:val="22"/>
        </w:rPr>
        <w:t xml:space="preserve">., Grad u aktivnoj ulozi tužitelja vodi </w:t>
      </w:r>
      <w:r w:rsidR="00B1263B" w:rsidRPr="003E5ED2">
        <w:rPr>
          <w:rFonts w:ascii="Arial" w:hAnsi="Arial" w:cs="Arial"/>
          <w:sz w:val="22"/>
          <w:szCs w:val="22"/>
        </w:rPr>
        <w:t>894</w:t>
      </w:r>
      <w:r w:rsidRPr="003E5ED2">
        <w:rPr>
          <w:rFonts w:ascii="Arial" w:hAnsi="Arial" w:cs="Arial"/>
          <w:sz w:val="22"/>
          <w:szCs w:val="22"/>
        </w:rPr>
        <w:t xml:space="preserve"> </w:t>
      </w:r>
      <w:r w:rsidR="00A52B40" w:rsidRPr="003E5ED2">
        <w:rPr>
          <w:rFonts w:ascii="Arial" w:hAnsi="Arial" w:cs="Arial"/>
          <w:sz w:val="22"/>
          <w:szCs w:val="22"/>
        </w:rPr>
        <w:t>sudskih</w:t>
      </w:r>
      <w:r w:rsidRPr="003E5ED2">
        <w:rPr>
          <w:rFonts w:ascii="Arial" w:hAnsi="Arial" w:cs="Arial"/>
          <w:sz w:val="22"/>
          <w:szCs w:val="22"/>
        </w:rPr>
        <w:t xml:space="preserve"> sp</w:t>
      </w:r>
      <w:r w:rsidR="00A52B40" w:rsidRPr="003E5ED2">
        <w:rPr>
          <w:rFonts w:ascii="Arial" w:hAnsi="Arial" w:cs="Arial"/>
          <w:sz w:val="22"/>
          <w:szCs w:val="22"/>
        </w:rPr>
        <w:t>orova</w:t>
      </w:r>
      <w:r w:rsidRPr="003E5ED2">
        <w:rPr>
          <w:rFonts w:ascii="Arial" w:hAnsi="Arial" w:cs="Arial"/>
          <w:sz w:val="22"/>
          <w:szCs w:val="22"/>
        </w:rPr>
        <w:t xml:space="preserve"> vrijednosti </w:t>
      </w:r>
      <w:r w:rsidRPr="003E5ED2">
        <w:rPr>
          <w:rFonts w:ascii="Arial" w:hAnsi="Arial" w:cs="Arial"/>
          <w:i/>
          <w:iCs/>
          <w:sz w:val="22"/>
          <w:szCs w:val="22"/>
        </w:rPr>
        <w:t>potencijalne imovine</w:t>
      </w:r>
      <w:r w:rsidRPr="003E5ED2">
        <w:rPr>
          <w:rFonts w:ascii="Arial" w:hAnsi="Arial" w:cs="Arial"/>
          <w:sz w:val="22"/>
          <w:szCs w:val="22"/>
        </w:rPr>
        <w:t xml:space="preserve"> u iznosu od </w:t>
      </w:r>
      <w:r w:rsidR="00E51AE4" w:rsidRPr="003E5ED2">
        <w:rPr>
          <w:rFonts w:ascii="Arial" w:hAnsi="Arial" w:cs="Arial"/>
          <w:sz w:val="22"/>
          <w:szCs w:val="22"/>
        </w:rPr>
        <w:t>6.429.679,67</w:t>
      </w:r>
      <w:r w:rsidR="001B0F8E" w:rsidRPr="003E5ED2">
        <w:rPr>
          <w:rFonts w:ascii="Arial" w:hAnsi="Arial" w:cs="Arial"/>
          <w:sz w:val="22"/>
          <w:szCs w:val="22"/>
        </w:rPr>
        <w:t xml:space="preserve"> </w:t>
      </w:r>
      <w:r w:rsidRPr="003E5ED2">
        <w:rPr>
          <w:rFonts w:ascii="Arial" w:hAnsi="Arial" w:cs="Arial"/>
          <w:sz w:val="22"/>
          <w:szCs w:val="22"/>
        </w:rPr>
        <w:t xml:space="preserve">eura, a u ulozi tuženika vodi </w:t>
      </w:r>
      <w:r w:rsidR="001820A6" w:rsidRPr="003E5ED2">
        <w:rPr>
          <w:rFonts w:ascii="Arial" w:hAnsi="Arial" w:cs="Arial"/>
          <w:sz w:val="22"/>
          <w:szCs w:val="22"/>
        </w:rPr>
        <w:t>298</w:t>
      </w:r>
      <w:r w:rsidRPr="003E5ED2">
        <w:rPr>
          <w:rFonts w:ascii="Arial" w:hAnsi="Arial" w:cs="Arial"/>
          <w:sz w:val="22"/>
          <w:szCs w:val="22"/>
        </w:rPr>
        <w:t xml:space="preserve"> </w:t>
      </w:r>
      <w:r w:rsidR="00A52B40" w:rsidRPr="003E5ED2">
        <w:rPr>
          <w:rFonts w:ascii="Arial" w:hAnsi="Arial" w:cs="Arial"/>
          <w:sz w:val="22"/>
          <w:szCs w:val="22"/>
        </w:rPr>
        <w:t>sudsk</w:t>
      </w:r>
      <w:r w:rsidR="006000C8" w:rsidRPr="003E5ED2">
        <w:rPr>
          <w:rFonts w:ascii="Arial" w:hAnsi="Arial" w:cs="Arial"/>
          <w:sz w:val="22"/>
          <w:szCs w:val="22"/>
        </w:rPr>
        <w:t>ih</w:t>
      </w:r>
      <w:r w:rsidR="00A52B40" w:rsidRPr="003E5ED2">
        <w:rPr>
          <w:rFonts w:ascii="Arial" w:hAnsi="Arial" w:cs="Arial"/>
          <w:sz w:val="22"/>
          <w:szCs w:val="22"/>
        </w:rPr>
        <w:t xml:space="preserve"> spor</w:t>
      </w:r>
      <w:r w:rsidR="006000C8" w:rsidRPr="003E5ED2">
        <w:rPr>
          <w:rFonts w:ascii="Arial" w:hAnsi="Arial" w:cs="Arial"/>
          <w:sz w:val="22"/>
          <w:szCs w:val="22"/>
        </w:rPr>
        <w:t>ova</w:t>
      </w:r>
      <w:r w:rsidRPr="003E5ED2">
        <w:rPr>
          <w:rFonts w:ascii="Arial" w:hAnsi="Arial" w:cs="Arial"/>
          <w:sz w:val="22"/>
          <w:szCs w:val="22"/>
        </w:rPr>
        <w:t xml:space="preserve">, vrijednosti </w:t>
      </w:r>
      <w:r w:rsidRPr="003E5ED2">
        <w:rPr>
          <w:rFonts w:ascii="Arial" w:hAnsi="Arial" w:cs="Arial"/>
          <w:i/>
          <w:iCs/>
          <w:sz w:val="22"/>
          <w:szCs w:val="22"/>
        </w:rPr>
        <w:t>potencijalne obveze</w:t>
      </w:r>
      <w:r w:rsidRPr="003E5ED2">
        <w:rPr>
          <w:rFonts w:ascii="Arial" w:hAnsi="Arial" w:cs="Arial"/>
          <w:sz w:val="22"/>
          <w:szCs w:val="22"/>
        </w:rPr>
        <w:t xml:space="preserve"> u iznosu od </w:t>
      </w:r>
      <w:r w:rsidR="001820A6" w:rsidRPr="003E5ED2">
        <w:rPr>
          <w:rFonts w:ascii="Arial" w:hAnsi="Arial" w:cs="Arial"/>
          <w:sz w:val="22"/>
          <w:szCs w:val="22"/>
        </w:rPr>
        <w:t>5.988.482,11</w:t>
      </w:r>
      <w:r w:rsidRPr="003E5ED2">
        <w:rPr>
          <w:rFonts w:ascii="Arial" w:hAnsi="Arial" w:cs="Arial"/>
          <w:sz w:val="22"/>
          <w:szCs w:val="22"/>
        </w:rPr>
        <w:t xml:space="preserve"> eura.</w:t>
      </w:r>
    </w:p>
    <w:p w:rsidR="00502423" w:rsidRPr="003E5ED2" w:rsidRDefault="00502423" w:rsidP="000E3631">
      <w:pPr>
        <w:jc w:val="both"/>
        <w:rPr>
          <w:rFonts w:ascii="Arial" w:hAnsi="Arial" w:cs="Arial"/>
          <w:sz w:val="22"/>
          <w:szCs w:val="22"/>
        </w:rPr>
      </w:pPr>
    </w:p>
    <w:p w:rsidR="00A41B29" w:rsidRPr="003E5ED2" w:rsidRDefault="00A41B29" w:rsidP="000E3631">
      <w:pPr>
        <w:jc w:val="both"/>
        <w:rPr>
          <w:rFonts w:ascii="Arial" w:hAnsi="Arial" w:cs="Arial"/>
          <w:sz w:val="22"/>
          <w:szCs w:val="22"/>
        </w:rPr>
      </w:pPr>
    </w:p>
    <w:p w:rsidR="000E69DA" w:rsidRPr="003E5ED2" w:rsidRDefault="008E4991" w:rsidP="000E69DA">
      <w:pPr>
        <w:jc w:val="both"/>
        <w:rPr>
          <w:rFonts w:ascii="Arial" w:hAnsi="Arial" w:cs="Arial"/>
        </w:rPr>
      </w:pPr>
      <w:r w:rsidRPr="003E5ED2">
        <w:rPr>
          <w:rFonts w:ascii="Arial" w:hAnsi="Arial" w:cs="Arial"/>
        </w:rPr>
        <w:t xml:space="preserve">Tablica 4. </w:t>
      </w:r>
      <w:r w:rsidR="000E69DA" w:rsidRPr="003E5ED2">
        <w:rPr>
          <w:rFonts w:ascii="Arial" w:hAnsi="Arial" w:cs="Arial"/>
        </w:rPr>
        <w:t>Rekapitulacija sudskih sporova u tijeku na da</w:t>
      </w:r>
      <w:r w:rsidR="001820A6" w:rsidRPr="003E5ED2">
        <w:rPr>
          <w:rFonts w:ascii="Arial" w:hAnsi="Arial" w:cs="Arial"/>
        </w:rPr>
        <w:t>n 31.12.2024</w:t>
      </w:r>
      <w:r w:rsidR="000E69DA" w:rsidRPr="003E5ED2">
        <w:rPr>
          <w:rFonts w:ascii="Arial" w:hAnsi="Arial" w:cs="Arial"/>
        </w:rPr>
        <w:t>.</w:t>
      </w:r>
    </w:p>
    <w:tbl>
      <w:tblPr>
        <w:tblStyle w:val="TableGrid"/>
        <w:tblW w:w="0" w:type="auto"/>
        <w:tblLook w:val="04A0" w:firstRow="1" w:lastRow="0" w:firstColumn="1" w:lastColumn="0" w:noHBand="0" w:noVBand="1"/>
      </w:tblPr>
      <w:tblGrid>
        <w:gridCol w:w="2830"/>
        <w:gridCol w:w="2694"/>
        <w:gridCol w:w="1886"/>
        <w:gridCol w:w="2218"/>
      </w:tblGrid>
      <w:tr w:rsidR="000E69DA" w:rsidRPr="003E5ED2" w:rsidTr="002A4F07">
        <w:tc>
          <w:tcPr>
            <w:tcW w:w="2830" w:type="dxa"/>
            <w:shd w:val="clear" w:color="auto" w:fill="D5DCE4" w:themeFill="text2" w:themeFillTint="33"/>
            <w:vAlign w:val="center"/>
          </w:tcPr>
          <w:p w:rsidR="000E69DA" w:rsidRPr="003E5ED2" w:rsidRDefault="000E69DA" w:rsidP="000E69DA">
            <w:pPr>
              <w:jc w:val="center"/>
              <w:rPr>
                <w:rFonts w:ascii="Arial" w:hAnsi="Arial" w:cs="Arial"/>
                <w:sz w:val="18"/>
                <w:lang w:val="hr-HR"/>
              </w:rPr>
            </w:pPr>
            <w:r w:rsidRPr="003E5ED2">
              <w:rPr>
                <w:rFonts w:ascii="Arial" w:hAnsi="Arial" w:cs="Arial"/>
                <w:sz w:val="18"/>
                <w:lang w:val="hr-HR"/>
              </w:rPr>
              <w:t>Tužitelj</w:t>
            </w:r>
          </w:p>
        </w:tc>
        <w:tc>
          <w:tcPr>
            <w:tcW w:w="2694" w:type="dxa"/>
            <w:shd w:val="clear" w:color="auto" w:fill="D5DCE4" w:themeFill="text2" w:themeFillTint="33"/>
            <w:vAlign w:val="center"/>
          </w:tcPr>
          <w:p w:rsidR="000E69DA" w:rsidRPr="003E5ED2" w:rsidRDefault="000E69DA" w:rsidP="000E69DA">
            <w:pPr>
              <w:jc w:val="center"/>
              <w:rPr>
                <w:rFonts w:ascii="Arial" w:hAnsi="Arial" w:cs="Arial"/>
                <w:sz w:val="18"/>
                <w:lang w:val="hr-HR"/>
              </w:rPr>
            </w:pPr>
            <w:r w:rsidRPr="003E5ED2">
              <w:rPr>
                <w:rFonts w:ascii="Arial" w:hAnsi="Arial" w:cs="Arial"/>
                <w:sz w:val="18"/>
                <w:lang w:val="hr-HR"/>
              </w:rPr>
              <w:t>Tuženik</w:t>
            </w:r>
          </w:p>
        </w:tc>
        <w:tc>
          <w:tcPr>
            <w:tcW w:w="1886" w:type="dxa"/>
            <w:shd w:val="clear" w:color="auto" w:fill="D5DCE4" w:themeFill="text2" w:themeFillTint="33"/>
            <w:vAlign w:val="center"/>
          </w:tcPr>
          <w:p w:rsidR="000E69DA" w:rsidRPr="003E5ED2" w:rsidRDefault="000E69DA" w:rsidP="000E69DA">
            <w:pPr>
              <w:jc w:val="center"/>
              <w:rPr>
                <w:rFonts w:ascii="Arial" w:hAnsi="Arial" w:cs="Arial"/>
                <w:sz w:val="18"/>
                <w:lang w:val="hr-HR"/>
              </w:rPr>
            </w:pPr>
            <w:r w:rsidRPr="003E5ED2">
              <w:rPr>
                <w:rFonts w:ascii="Arial" w:hAnsi="Arial" w:cs="Arial"/>
                <w:sz w:val="18"/>
                <w:lang w:val="hr-HR"/>
              </w:rPr>
              <w:t>Ukupan broj sudskih sporova</w:t>
            </w:r>
          </w:p>
        </w:tc>
        <w:tc>
          <w:tcPr>
            <w:tcW w:w="2218" w:type="dxa"/>
            <w:shd w:val="clear" w:color="auto" w:fill="D5DCE4" w:themeFill="text2" w:themeFillTint="33"/>
            <w:vAlign w:val="center"/>
          </w:tcPr>
          <w:p w:rsidR="000E69DA" w:rsidRPr="003E5ED2" w:rsidRDefault="000E3631" w:rsidP="00346635">
            <w:pPr>
              <w:jc w:val="center"/>
              <w:rPr>
                <w:rFonts w:ascii="Arial" w:hAnsi="Arial" w:cs="Arial"/>
                <w:sz w:val="18"/>
                <w:lang w:val="hr-HR"/>
              </w:rPr>
            </w:pPr>
            <w:r w:rsidRPr="003E5ED2">
              <w:rPr>
                <w:rFonts w:ascii="Arial" w:hAnsi="Arial" w:cs="Arial"/>
                <w:sz w:val="18"/>
                <w:lang w:val="hr-HR"/>
              </w:rPr>
              <w:t xml:space="preserve">Iznos glavnice (u </w:t>
            </w:r>
            <w:r w:rsidR="00346635" w:rsidRPr="003E5ED2">
              <w:rPr>
                <w:rFonts w:ascii="Arial" w:hAnsi="Arial" w:cs="Arial"/>
                <w:sz w:val="18"/>
                <w:lang w:val="hr-HR"/>
              </w:rPr>
              <w:t>EUR</w:t>
            </w:r>
            <w:r w:rsidR="000E69DA" w:rsidRPr="003E5ED2">
              <w:rPr>
                <w:rFonts w:ascii="Arial" w:hAnsi="Arial" w:cs="Arial"/>
                <w:sz w:val="18"/>
                <w:lang w:val="hr-HR"/>
              </w:rPr>
              <w:t>)</w:t>
            </w:r>
          </w:p>
        </w:tc>
      </w:tr>
      <w:tr w:rsidR="000E69DA" w:rsidRPr="003E5ED2" w:rsidTr="00702AD8">
        <w:tc>
          <w:tcPr>
            <w:tcW w:w="2830" w:type="dxa"/>
            <w:vAlign w:val="center"/>
          </w:tcPr>
          <w:p w:rsidR="000E69DA" w:rsidRPr="003E5ED2" w:rsidRDefault="000E69DA" w:rsidP="000E69DA">
            <w:pPr>
              <w:jc w:val="center"/>
              <w:rPr>
                <w:rFonts w:ascii="Arial" w:hAnsi="Arial" w:cs="Arial"/>
                <w:sz w:val="18"/>
                <w:lang w:val="hr-HR"/>
              </w:rPr>
            </w:pPr>
            <w:r w:rsidRPr="003E5ED2">
              <w:rPr>
                <w:rFonts w:ascii="Arial" w:hAnsi="Arial" w:cs="Arial"/>
                <w:sz w:val="18"/>
                <w:lang w:val="hr-HR"/>
              </w:rPr>
              <w:t>Grad Rijeka</w:t>
            </w:r>
          </w:p>
        </w:tc>
        <w:tc>
          <w:tcPr>
            <w:tcW w:w="2694" w:type="dxa"/>
            <w:vAlign w:val="center"/>
          </w:tcPr>
          <w:p w:rsidR="000E69DA" w:rsidRPr="003E5ED2" w:rsidRDefault="000E69DA" w:rsidP="000E69DA">
            <w:pPr>
              <w:jc w:val="center"/>
              <w:rPr>
                <w:rFonts w:ascii="Arial" w:hAnsi="Arial" w:cs="Arial"/>
                <w:sz w:val="18"/>
                <w:lang w:val="hr-HR"/>
              </w:rPr>
            </w:pPr>
            <w:r w:rsidRPr="003E5ED2">
              <w:rPr>
                <w:rFonts w:ascii="Arial" w:hAnsi="Arial" w:cs="Arial"/>
                <w:sz w:val="18"/>
                <w:lang w:val="hr-HR"/>
              </w:rPr>
              <w:t>Podaci se nalaze u Tablici u Dodatku 1. uz Bilješke*</w:t>
            </w:r>
          </w:p>
        </w:tc>
        <w:tc>
          <w:tcPr>
            <w:tcW w:w="1886" w:type="dxa"/>
            <w:vAlign w:val="center"/>
          </w:tcPr>
          <w:p w:rsidR="000E69DA" w:rsidRPr="003E5ED2" w:rsidRDefault="001820A6" w:rsidP="000E69DA">
            <w:pPr>
              <w:jc w:val="center"/>
              <w:rPr>
                <w:rFonts w:ascii="Arial" w:hAnsi="Arial" w:cs="Arial"/>
                <w:sz w:val="18"/>
                <w:lang w:val="hr-HR"/>
              </w:rPr>
            </w:pPr>
            <w:r w:rsidRPr="003E5ED2">
              <w:rPr>
                <w:rFonts w:ascii="Arial" w:hAnsi="Arial" w:cs="Arial"/>
                <w:sz w:val="18"/>
                <w:lang w:val="hr-HR"/>
              </w:rPr>
              <w:t>894</w:t>
            </w:r>
          </w:p>
        </w:tc>
        <w:tc>
          <w:tcPr>
            <w:tcW w:w="2218" w:type="dxa"/>
            <w:shd w:val="clear" w:color="auto" w:fill="auto"/>
            <w:vAlign w:val="center"/>
          </w:tcPr>
          <w:p w:rsidR="000E69DA" w:rsidRPr="003E5ED2" w:rsidRDefault="00E51AE4" w:rsidP="001B0F8E">
            <w:pPr>
              <w:jc w:val="center"/>
              <w:rPr>
                <w:rFonts w:ascii="Arial" w:hAnsi="Arial" w:cs="Arial"/>
                <w:sz w:val="18"/>
                <w:lang w:val="hr-HR"/>
              </w:rPr>
            </w:pPr>
            <w:r w:rsidRPr="003E5ED2">
              <w:rPr>
                <w:rFonts w:ascii="Arial" w:hAnsi="Arial" w:cs="Arial"/>
                <w:sz w:val="18"/>
                <w:szCs w:val="18"/>
                <w:lang w:val="hr-HR"/>
              </w:rPr>
              <w:t>6.429.679,67</w:t>
            </w:r>
          </w:p>
        </w:tc>
      </w:tr>
      <w:tr w:rsidR="000E69DA" w:rsidRPr="003E5ED2" w:rsidTr="00E04F3B">
        <w:tc>
          <w:tcPr>
            <w:tcW w:w="2830" w:type="dxa"/>
            <w:vAlign w:val="center"/>
          </w:tcPr>
          <w:p w:rsidR="000E69DA" w:rsidRPr="003E5ED2" w:rsidRDefault="000E69DA" w:rsidP="000E69DA">
            <w:pPr>
              <w:jc w:val="center"/>
              <w:rPr>
                <w:rFonts w:ascii="Arial" w:hAnsi="Arial" w:cs="Arial"/>
                <w:sz w:val="18"/>
                <w:lang w:val="hr-HR"/>
              </w:rPr>
            </w:pPr>
            <w:r w:rsidRPr="003E5ED2">
              <w:rPr>
                <w:rFonts w:ascii="Arial" w:hAnsi="Arial" w:cs="Arial"/>
                <w:sz w:val="18"/>
                <w:lang w:val="hr-HR"/>
              </w:rPr>
              <w:t>Podaci se nalaze u Tablici u Dodatku 2. uz Bilješke*</w:t>
            </w:r>
          </w:p>
        </w:tc>
        <w:tc>
          <w:tcPr>
            <w:tcW w:w="2694" w:type="dxa"/>
            <w:vAlign w:val="center"/>
          </w:tcPr>
          <w:p w:rsidR="000E69DA" w:rsidRPr="003E5ED2" w:rsidRDefault="000E69DA" w:rsidP="000E69DA">
            <w:pPr>
              <w:jc w:val="center"/>
              <w:rPr>
                <w:rFonts w:ascii="Arial" w:hAnsi="Arial" w:cs="Arial"/>
                <w:sz w:val="18"/>
                <w:lang w:val="hr-HR"/>
              </w:rPr>
            </w:pPr>
            <w:r w:rsidRPr="003E5ED2">
              <w:rPr>
                <w:rFonts w:ascii="Arial" w:hAnsi="Arial" w:cs="Arial"/>
                <w:sz w:val="18"/>
                <w:lang w:val="hr-HR"/>
              </w:rPr>
              <w:t>Grad Rijeka</w:t>
            </w:r>
          </w:p>
        </w:tc>
        <w:tc>
          <w:tcPr>
            <w:tcW w:w="1886" w:type="dxa"/>
            <w:vAlign w:val="center"/>
          </w:tcPr>
          <w:p w:rsidR="000E69DA" w:rsidRPr="003E5ED2" w:rsidRDefault="001820A6" w:rsidP="000E69DA">
            <w:pPr>
              <w:jc w:val="center"/>
              <w:rPr>
                <w:rFonts w:ascii="Arial" w:hAnsi="Arial" w:cs="Arial"/>
                <w:sz w:val="18"/>
                <w:lang w:val="hr-HR"/>
              </w:rPr>
            </w:pPr>
            <w:r w:rsidRPr="003E5ED2">
              <w:rPr>
                <w:rFonts w:ascii="Arial" w:hAnsi="Arial" w:cs="Arial"/>
                <w:sz w:val="18"/>
                <w:lang w:val="hr-HR"/>
              </w:rPr>
              <w:t>298</w:t>
            </w:r>
          </w:p>
        </w:tc>
        <w:tc>
          <w:tcPr>
            <w:tcW w:w="2218" w:type="dxa"/>
            <w:vAlign w:val="center"/>
          </w:tcPr>
          <w:p w:rsidR="000E69DA" w:rsidRPr="003E5ED2" w:rsidRDefault="001820A6" w:rsidP="000E69DA">
            <w:pPr>
              <w:jc w:val="center"/>
              <w:rPr>
                <w:rFonts w:ascii="Arial" w:hAnsi="Arial" w:cs="Arial"/>
                <w:sz w:val="18"/>
                <w:lang w:val="hr-HR"/>
              </w:rPr>
            </w:pPr>
            <w:r w:rsidRPr="003E5ED2">
              <w:rPr>
                <w:rFonts w:ascii="Arial" w:hAnsi="Arial" w:cs="Arial"/>
                <w:sz w:val="18"/>
                <w:szCs w:val="18"/>
                <w:lang w:val="hr-HR"/>
              </w:rPr>
              <w:t>5.988.482,11</w:t>
            </w:r>
          </w:p>
        </w:tc>
      </w:tr>
    </w:tbl>
    <w:p w:rsidR="000E69DA" w:rsidRPr="003E5ED2" w:rsidRDefault="000E69DA" w:rsidP="000E69DA">
      <w:pPr>
        <w:jc w:val="both"/>
        <w:rPr>
          <w:rFonts w:ascii="Arial" w:hAnsi="Arial" w:cs="Arial"/>
          <w:i/>
          <w:color w:val="000000"/>
          <w:sz w:val="16"/>
          <w:szCs w:val="16"/>
          <w:lang w:eastAsia="en-US"/>
        </w:rPr>
      </w:pPr>
      <w:r w:rsidRPr="003E5ED2">
        <w:rPr>
          <w:rFonts w:ascii="Arial" w:hAnsi="Arial" w:cs="Arial"/>
          <w:i/>
          <w:color w:val="000000"/>
          <w:sz w:val="18"/>
          <w:szCs w:val="18"/>
          <w:lang w:eastAsia="en-US"/>
        </w:rPr>
        <w:t>*</w:t>
      </w:r>
      <w:r w:rsidRPr="003E5ED2">
        <w:rPr>
          <w:rFonts w:ascii="Arial" w:hAnsi="Arial" w:cs="Arial"/>
          <w:i/>
          <w:color w:val="000000"/>
          <w:sz w:val="16"/>
          <w:szCs w:val="16"/>
          <w:lang w:eastAsia="en-US"/>
        </w:rPr>
        <w:t>Tablice s iskazanim analitičkim podacima po svakom pojedinom sudskom sporu nalaze se u Dodatku 1. i Dodatku 2. u prilogu ovih Bilješki</w:t>
      </w:r>
    </w:p>
    <w:p w:rsidR="00E7403B" w:rsidRPr="003E5ED2" w:rsidRDefault="00E7403B" w:rsidP="007C3B30">
      <w:pPr>
        <w:tabs>
          <w:tab w:val="left" w:pos="284"/>
          <w:tab w:val="left" w:pos="567"/>
          <w:tab w:val="left" w:pos="851"/>
        </w:tabs>
        <w:jc w:val="both"/>
        <w:rPr>
          <w:rFonts w:ascii="Arial" w:hAnsi="Arial" w:cs="Arial"/>
          <w:b/>
        </w:rPr>
      </w:pPr>
    </w:p>
    <w:p w:rsidR="00E7403B" w:rsidRPr="003E5ED2" w:rsidRDefault="00E7403B" w:rsidP="007C3B30">
      <w:pPr>
        <w:tabs>
          <w:tab w:val="left" w:pos="284"/>
          <w:tab w:val="left" w:pos="567"/>
          <w:tab w:val="left" w:pos="851"/>
        </w:tabs>
        <w:jc w:val="both"/>
        <w:rPr>
          <w:rFonts w:ascii="Arial" w:hAnsi="Arial" w:cs="Arial"/>
          <w:b/>
          <w:sz w:val="22"/>
          <w:szCs w:val="22"/>
        </w:rPr>
      </w:pPr>
    </w:p>
    <w:p w:rsidR="007C3B30" w:rsidRPr="003E5ED2" w:rsidRDefault="000E69DA" w:rsidP="007C3B30">
      <w:pPr>
        <w:tabs>
          <w:tab w:val="left" w:pos="284"/>
          <w:tab w:val="left" w:pos="567"/>
          <w:tab w:val="left" w:pos="851"/>
        </w:tabs>
        <w:jc w:val="both"/>
        <w:rPr>
          <w:rFonts w:ascii="Arial" w:hAnsi="Arial" w:cs="Arial"/>
          <w:b/>
          <w:sz w:val="22"/>
          <w:szCs w:val="22"/>
        </w:rPr>
      </w:pPr>
      <w:r w:rsidRPr="003E5ED2">
        <w:rPr>
          <w:rFonts w:ascii="Arial" w:hAnsi="Arial" w:cs="Arial"/>
          <w:b/>
          <w:sz w:val="22"/>
          <w:szCs w:val="22"/>
        </w:rPr>
        <w:t xml:space="preserve">Bilješka broj </w:t>
      </w:r>
      <w:r w:rsidR="001821F8" w:rsidRPr="003E5ED2">
        <w:rPr>
          <w:rFonts w:ascii="Arial" w:hAnsi="Arial" w:cs="Arial"/>
          <w:b/>
          <w:sz w:val="22"/>
          <w:szCs w:val="22"/>
        </w:rPr>
        <w:t>10</w:t>
      </w:r>
      <w:r w:rsidRPr="003E5ED2">
        <w:rPr>
          <w:rFonts w:ascii="Arial" w:hAnsi="Arial" w:cs="Arial"/>
          <w:b/>
          <w:sz w:val="22"/>
          <w:szCs w:val="22"/>
        </w:rPr>
        <w:t xml:space="preserve"> – Instrumenti osiguranja plaćanja</w:t>
      </w:r>
      <w:r w:rsidR="0040635A" w:rsidRPr="003E5ED2">
        <w:rPr>
          <w:rFonts w:ascii="Arial" w:hAnsi="Arial" w:cs="Arial"/>
          <w:b/>
          <w:sz w:val="22"/>
          <w:szCs w:val="22"/>
        </w:rPr>
        <w:t xml:space="preserve"> </w:t>
      </w:r>
    </w:p>
    <w:p w:rsidR="00BA5C46" w:rsidRPr="003E5ED2" w:rsidRDefault="00BA5C46" w:rsidP="007C3B30">
      <w:pPr>
        <w:tabs>
          <w:tab w:val="left" w:pos="284"/>
          <w:tab w:val="left" w:pos="567"/>
          <w:tab w:val="left" w:pos="851"/>
        </w:tabs>
        <w:jc w:val="both"/>
        <w:rPr>
          <w:rFonts w:ascii="Arial" w:hAnsi="Arial" w:cs="Arial"/>
          <w:b/>
          <w:sz w:val="22"/>
          <w:szCs w:val="22"/>
        </w:rPr>
      </w:pPr>
    </w:p>
    <w:p w:rsidR="000E69DA" w:rsidRPr="003E5ED2" w:rsidRDefault="007977E4" w:rsidP="000E69DA">
      <w:pPr>
        <w:jc w:val="both"/>
        <w:rPr>
          <w:rFonts w:ascii="Arial" w:hAnsi="Arial" w:cs="Arial"/>
          <w:sz w:val="22"/>
          <w:szCs w:val="22"/>
        </w:rPr>
      </w:pPr>
      <w:r w:rsidRPr="003E5ED2">
        <w:rPr>
          <w:rFonts w:ascii="Arial" w:hAnsi="Arial" w:cs="Arial"/>
          <w:sz w:val="22"/>
          <w:szCs w:val="22"/>
        </w:rPr>
        <w:t>Upravni odjel</w:t>
      </w:r>
      <w:r w:rsidR="000E69DA" w:rsidRPr="003E5ED2">
        <w:rPr>
          <w:rFonts w:ascii="Arial" w:hAnsi="Arial" w:cs="Arial"/>
          <w:sz w:val="22"/>
          <w:szCs w:val="22"/>
        </w:rPr>
        <w:t xml:space="preserve"> za financije vodi analitičku evidenciju izdanih i primljenih vrijednosnih papira i drugih financijskih instrumenata</w:t>
      </w:r>
      <w:r w:rsidR="00685ED9" w:rsidRPr="003E5ED2">
        <w:rPr>
          <w:rFonts w:ascii="Arial" w:hAnsi="Arial" w:cs="Arial"/>
          <w:sz w:val="22"/>
          <w:szCs w:val="22"/>
        </w:rPr>
        <w:t xml:space="preserve">. </w:t>
      </w:r>
      <w:r w:rsidR="00663032" w:rsidRPr="003E5ED2">
        <w:rPr>
          <w:rFonts w:ascii="Arial" w:hAnsi="Arial" w:cs="Arial"/>
          <w:sz w:val="22"/>
          <w:szCs w:val="22"/>
        </w:rPr>
        <w:t>Prema članku 23</w:t>
      </w:r>
      <w:r w:rsidR="000E69DA" w:rsidRPr="003E5ED2">
        <w:rPr>
          <w:rFonts w:ascii="Arial" w:hAnsi="Arial" w:cs="Arial"/>
          <w:sz w:val="22"/>
          <w:szCs w:val="22"/>
        </w:rPr>
        <w:t>. Odluke o izvršavanj</w:t>
      </w:r>
      <w:r w:rsidR="00663032" w:rsidRPr="003E5ED2">
        <w:rPr>
          <w:rFonts w:ascii="Arial" w:hAnsi="Arial" w:cs="Arial"/>
          <w:sz w:val="22"/>
          <w:szCs w:val="22"/>
        </w:rPr>
        <w:t>u proračuna Grada Rijeke za 2024</w:t>
      </w:r>
      <w:r w:rsidR="000E69DA" w:rsidRPr="003E5ED2">
        <w:rPr>
          <w:rFonts w:ascii="Arial" w:hAnsi="Arial" w:cs="Arial"/>
          <w:sz w:val="22"/>
          <w:szCs w:val="22"/>
        </w:rPr>
        <w:t>. godinu (Službene</w:t>
      </w:r>
      <w:r w:rsidR="00942F43" w:rsidRPr="003E5ED2">
        <w:rPr>
          <w:rFonts w:ascii="Arial" w:hAnsi="Arial" w:cs="Arial"/>
          <w:sz w:val="22"/>
          <w:szCs w:val="22"/>
        </w:rPr>
        <w:t xml:space="preserve"> novine Grada </w:t>
      </w:r>
      <w:r w:rsidRPr="003E5ED2">
        <w:rPr>
          <w:rFonts w:ascii="Arial" w:hAnsi="Arial" w:cs="Arial"/>
          <w:sz w:val="22"/>
          <w:szCs w:val="22"/>
        </w:rPr>
        <w:t xml:space="preserve">Rijeke, broj </w:t>
      </w:r>
      <w:r w:rsidR="00663032" w:rsidRPr="003E5ED2">
        <w:rPr>
          <w:rFonts w:ascii="Arial" w:hAnsi="Arial" w:cs="Arial"/>
          <w:sz w:val="22"/>
          <w:szCs w:val="22"/>
        </w:rPr>
        <w:t>18/23</w:t>
      </w:r>
      <w:r w:rsidR="006D1FFC" w:rsidRPr="003E5ED2">
        <w:rPr>
          <w:rFonts w:ascii="Arial" w:hAnsi="Arial" w:cs="Arial"/>
          <w:sz w:val="22"/>
          <w:szCs w:val="22"/>
        </w:rPr>
        <w:t>,</w:t>
      </w:r>
      <w:r w:rsidR="00A30D82" w:rsidRPr="003E5ED2">
        <w:rPr>
          <w:rFonts w:ascii="Arial" w:hAnsi="Arial" w:cs="Arial"/>
          <w:sz w:val="22"/>
          <w:szCs w:val="22"/>
        </w:rPr>
        <w:t>10/24 i 15/24</w:t>
      </w:r>
      <w:r w:rsidR="000E69DA" w:rsidRPr="003E5ED2">
        <w:rPr>
          <w:rFonts w:ascii="Arial" w:hAnsi="Arial" w:cs="Arial"/>
          <w:sz w:val="22"/>
          <w:szCs w:val="22"/>
        </w:rPr>
        <w:t>), uprav</w:t>
      </w:r>
      <w:r w:rsidRPr="003E5ED2">
        <w:rPr>
          <w:rFonts w:ascii="Arial" w:hAnsi="Arial" w:cs="Arial"/>
          <w:sz w:val="22"/>
          <w:szCs w:val="22"/>
        </w:rPr>
        <w:t>ni odjeli</w:t>
      </w:r>
      <w:r w:rsidR="000E69DA" w:rsidRPr="003E5ED2">
        <w:rPr>
          <w:rFonts w:ascii="Arial" w:hAnsi="Arial" w:cs="Arial"/>
          <w:sz w:val="22"/>
          <w:szCs w:val="22"/>
        </w:rPr>
        <w:t xml:space="preserve"> obvezni su </w:t>
      </w:r>
      <w:r w:rsidRPr="003E5ED2">
        <w:rPr>
          <w:rFonts w:ascii="Arial" w:hAnsi="Arial" w:cs="Arial"/>
          <w:sz w:val="22"/>
          <w:szCs w:val="22"/>
        </w:rPr>
        <w:t>Upravnom odjelu</w:t>
      </w:r>
      <w:r w:rsidR="000E69DA" w:rsidRPr="003E5ED2">
        <w:rPr>
          <w:rFonts w:ascii="Arial" w:hAnsi="Arial" w:cs="Arial"/>
          <w:sz w:val="22"/>
          <w:szCs w:val="22"/>
        </w:rPr>
        <w:t xml:space="preserve"> za financije dostaviti primljene instrumente osiguranja plaćanja </w:t>
      </w:r>
      <w:r w:rsidR="00136936" w:rsidRPr="003E5ED2">
        <w:rPr>
          <w:rFonts w:ascii="Arial" w:hAnsi="Arial" w:cs="Arial"/>
          <w:sz w:val="22"/>
          <w:szCs w:val="22"/>
        </w:rPr>
        <w:t xml:space="preserve">od strane </w:t>
      </w:r>
      <w:r w:rsidR="000E69DA" w:rsidRPr="003E5ED2">
        <w:rPr>
          <w:rFonts w:ascii="Arial" w:hAnsi="Arial" w:cs="Arial"/>
          <w:sz w:val="22"/>
          <w:szCs w:val="22"/>
        </w:rPr>
        <w:t>pravnih osoba kao sredstvo osiguranja naplate potraživanja ili izvođenja radova i usluga.</w:t>
      </w:r>
    </w:p>
    <w:p w:rsidR="00845713" w:rsidRPr="003E5ED2" w:rsidRDefault="00845713" w:rsidP="000E69DA">
      <w:pPr>
        <w:jc w:val="both"/>
        <w:rPr>
          <w:rFonts w:ascii="Arial" w:hAnsi="Arial" w:cs="Arial"/>
          <w:sz w:val="22"/>
          <w:szCs w:val="22"/>
          <w:highlight w:val="yellow"/>
        </w:rPr>
      </w:pPr>
    </w:p>
    <w:p w:rsidR="000E69DA" w:rsidRPr="003E5ED2" w:rsidRDefault="000E69DA" w:rsidP="000E69DA">
      <w:pPr>
        <w:jc w:val="both"/>
        <w:rPr>
          <w:rFonts w:ascii="Arial" w:hAnsi="Arial" w:cs="Arial"/>
          <w:sz w:val="22"/>
          <w:szCs w:val="22"/>
          <w:u w:val="single"/>
        </w:rPr>
      </w:pPr>
      <w:r w:rsidRPr="003E5ED2">
        <w:rPr>
          <w:rFonts w:ascii="Arial" w:hAnsi="Arial" w:cs="Arial"/>
          <w:sz w:val="22"/>
          <w:szCs w:val="22"/>
        </w:rPr>
        <w:t>Prema analitičkoj evid</w:t>
      </w:r>
      <w:r w:rsidR="005720A3" w:rsidRPr="003E5ED2">
        <w:rPr>
          <w:rFonts w:ascii="Arial" w:hAnsi="Arial" w:cs="Arial"/>
          <w:sz w:val="22"/>
          <w:szCs w:val="22"/>
        </w:rPr>
        <w:t xml:space="preserve">enciji, stanje na dan 31. prosinca </w:t>
      </w:r>
      <w:r w:rsidR="004B73F8" w:rsidRPr="003E5ED2">
        <w:rPr>
          <w:rFonts w:ascii="Arial" w:hAnsi="Arial" w:cs="Arial"/>
          <w:sz w:val="22"/>
          <w:szCs w:val="22"/>
        </w:rPr>
        <w:t>2024</w:t>
      </w:r>
      <w:r w:rsidRPr="003E5ED2">
        <w:rPr>
          <w:rFonts w:ascii="Arial" w:hAnsi="Arial" w:cs="Arial"/>
          <w:sz w:val="22"/>
          <w:szCs w:val="22"/>
        </w:rPr>
        <w:t xml:space="preserve">., Grad Rijeka </w:t>
      </w:r>
      <w:r w:rsidRPr="003E5ED2">
        <w:rPr>
          <w:rFonts w:ascii="Arial" w:hAnsi="Arial" w:cs="Arial"/>
          <w:sz w:val="22"/>
          <w:szCs w:val="22"/>
          <w:u w:val="single"/>
        </w:rPr>
        <w:t xml:space="preserve">izdao je: </w:t>
      </w:r>
    </w:p>
    <w:p w:rsidR="00A41B29" w:rsidRPr="003E5ED2" w:rsidRDefault="00A41B29" w:rsidP="000E69DA">
      <w:pPr>
        <w:jc w:val="both"/>
        <w:rPr>
          <w:rFonts w:ascii="Arial" w:hAnsi="Arial" w:cs="Arial"/>
          <w:sz w:val="22"/>
          <w:szCs w:val="22"/>
          <w:u w:val="single"/>
        </w:rPr>
      </w:pPr>
    </w:p>
    <w:p w:rsidR="000E69DA" w:rsidRPr="003E5ED2" w:rsidRDefault="004B73F8" w:rsidP="00D907B7">
      <w:pPr>
        <w:numPr>
          <w:ilvl w:val="0"/>
          <w:numId w:val="8"/>
        </w:numPr>
        <w:ind w:left="357" w:hanging="357"/>
        <w:contextualSpacing/>
        <w:jc w:val="both"/>
        <w:rPr>
          <w:rFonts w:ascii="Arial" w:hAnsi="Arial" w:cs="Arial"/>
          <w:sz w:val="22"/>
          <w:szCs w:val="22"/>
        </w:rPr>
      </w:pPr>
      <w:r w:rsidRPr="003E5ED2">
        <w:rPr>
          <w:rFonts w:ascii="Arial" w:hAnsi="Arial" w:cs="Arial"/>
          <w:sz w:val="22"/>
          <w:szCs w:val="22"/>
        </w:rPr>
        <w:t>33</w:t>
      </w:r>
      <w:r w:rsidR="007C3B30" w:rsidRPr="003E5ED2">
        <w:rPr>
          <w:rFonts w:ascii="Arial" w:hAnsi="Arial" w:cs="Arial"/>
          <w:sz w:val="22"/>
          <w:szCs w:val="22"/>
        </w:rPr>
        <w:t xml:space="preserve"> zadužnic</w:t>
      </w:r>
      <w:r w:rsidR="00BA5C46" w:rsidRPr="003E5ED2">
        <w:rPr>
          <w:rFonts w:ascii="Arial" w:hAnsi="Arial" w:cs="Arial"/>
          <w:sz w:val="22"/>
          <w:szCs w:val="22"/>
        </w:rPr>
        <w:t>e</w:t>
      </w:r>
      <w:r w:rsidR="000E69DA" w:rsidRPr="003E5ED2">
        <w:rPr>
          <w:rFonts w:ascii="Arial" w:hAnsi="Arial" w:cs="Arial"/>
          <w:sz w:val="22"/>
          <w:szCs w:val="22"/>
        </w:rPr>
        <w:t xml:space="preserve"> ukupne vrijednosti </w:t>
      </w:r>
      <w:r w:rsidRPr="003E5ED2">
        <w:rPr>
          <w:rFonts w:ascii="Arial" w:hAnsi="Arial" w:cs="Arial"/>
          <w:sz w:val="22"/>
          <w:szCs w:val="22"/>
        </w:rPr>
        <w:t>34.300.538,73</w:t>
      </w:r>
      <w:r w:rsidR="0070258D" w:rsidRPr="003E5ED2">
        <w:rPr>
          <w:rFonts w:ascii="Arial" w:hAnsi="Arial" w:cs="Arial"/>
          <w:sz w:val="22"/>
          <w:szCs w:val="22"/>
        </w:rPr>
        <w:t xml:space="preserve"> eura</w:t>
      </w:r>
    </w:p>
    <w:p w:rsidR="00942F43" w:rsidRPr="003E5ED2" w:rsidRDefault="0070258D" w:rsidP="00D907B7">
      <w:pPr>
        <w:numPr>
          <w:ilvl w:val="0"/>
          <w:numId w:val="8"/>
        </w:numPr>
        <w:ind w:left="357" w:hanging="357"/>
        <w:contextualSpacing/>
        <w:jc w:val="both"/>
        <w:rPr>
          <w:rFonts w:ascii="Arial" w:hAnsi="Arial" w:cs="Arial"/>
          <w:sz w:val="22"/>
          <w:szCs w:val="22"/>
        </w:rPr>
      </w:pPr>
      <w:r w:rsidRPr="003E5ED2">
        <w:rPr>
          <w:rFonts w:ascii="Arial" w:hAnsi="Arial" w:cs="Arial"/>
          <w:sz w:val="22"/>
          <w:szCs w:val="22"/>
        </w:rPr>
        <w:t>2 jamstva</w:t>
      </w:r>
      <w:r w:rsidR="00FB3155" w:rsidRPr="003E5ED2">
        <w:rPr>
          <w:rFonts w:ascii="Arial" w:hAnsi="Arial" w:cs="Arial"/>
          <w:sz w:val="22"/>
          <w:szCs w:val="22"/>
        </w:rPr>
        <w:t xml:space="preserve"> </w:t>
      </w:r>
      <w:r w:rsidR="00942F43" w:rsidRPr="003E5ED2">
        <w:rPr>
          <w:rFonts w:ascii="Arial" w:hAnsi="Arial" w:cs="Arial"/>
          <w:sz w:val="22"/>
          <w:szCs w:val="22"/>
        </w:rPr>
        <w:t>vrijednost</w:t>
      </w:r>
      <w:r w:rsidR="005C4AAB" w:rsidRPr="003E5ED2">
        <w:rPr>
          <w:rFonts w:ascii="Arial" w:hAnsi="Arial" w:cs="Arial"/>
          <w:sz w:val="22"/>
          <w:szCs w:val="22"/>
        </w:rPr>
        <w:t>i</w:t>
      </w:r>
      <w:r w:rsidR="00942F43" w:rsidRPr="003E5ED2">
        <w:rPr>
          <w:rFonts w:ascii="Arial" w:hAnsi="Arial" w:cs="Arial"/>
          <w:sz w:val="22"/>
          <w:szCs w:val="22"/>
        </w:rPr>
        <w:t xml:space="preserve"> </w:t>
      </w:r>
      <w:r w:rsidRPr="003E5ED2">
        <w:rPr>
          <w:rFonts w:ascii="Arial" w:hAnsi="Arial" w:cs="Arial"/>
          <w:sz w:val="22"/>
          <w:szCs w:val="22"/>
        </w:rPr>
        <w:t>14.378.407,16 eura</w:t>
      </w:r>
    </w:p>
    <w:p w:rsidR="00C06DAB" w:rsidRPr="003E5ED2" w:rsidRDefault="0070258D" w:rsidP="00D907B7">
      <w:pPr>
        <w:numPr>
          <w:ilvl w:val="0"/>
          <w:numId w:val="8"/>
        </w:numPr>
        <w:ind w:left="357" w:hanging="357"/>
        <w:contextualSpacing/>
        <w:jc w:val="both"/>
        <w:rPr>
          <w:rFonts w:ascii="Arial" w:hAnsi="Arial" w:cs="Arial"/>
          <w:sz w:val="22"/>
          <w:szCs w:val="22"/>
        </w:rPr>
      </w:pPr>
      <w:r w:rsidRPr="003E5ED2">
        <w:rPr>
          <w:rFonts w:ascii="Arial" w:hAnsi="Arial" w:cs="Arial"/>
          <w:sz w:val="22"/>
          <w:szCs w:val="22"/>
        </w:rPr>
        <w:t>13</w:t>
      </w:r>
      <w:r w:rsidR="00C06DAB" w:rsidRPr="003E5ED2">
        <w:rPr>
          <w:rFonts w:ascii="Arial" w:hAnsi="Arial" w:cs="Arial"/>
          <w:sz w:val="22"/>
          <w:szCs w:val="22"/>
        </w:rPr>
        <w:t xml:space="preserve"> bjanko mjenica</w:t>
      </w:r>
    </w:p>
    <w:p w:rsidR="0042392F" w:rsidRPr="003E5ED2" w:rsidRDefault="0042392F" w:rsidP="000E69DA">
      <w:pPr>
        <w:jc w:val="both"/>
        <w:rPr>
          <w:rFonts w:ascii="Arial" w:hAnsi="Arial" w:cs="Arial"/>
          <w:sz w:val="22"/>
          <w:szCs w:val="22"/>
          <w:highlight w:val="yellow"/>
        </w:rPr>
      </w:pPr>
    </w:p>
    <w:p w:rsidR="000E69DA" w:rsidRPr="003E5ED2" w:rsidRDefault="000E69DA" w:rsidP="00845713">
      <w:pPr>
        <w:jc w:val="both"/>
        <w:rPr>
          <w:rFonts w:ascii="Arial" w:hAnsi="Arial" w:cs="Arial"/>
          <w:sz w:val="22"/>
          <w:szCs w:val="22"/>
          <w:u w:val="single"/>
        </w:rPr>
      </w:pPr>
      <w:r w:rsidRPr="003E5ED2">
        <w:rPr>
          <w:rFonts w:ascii="Arial" w:hAnsi="Arial" w:cs="Arial"/>
          <w:sz w:val="22"/>
          <w:szCs w:val="22"/>
        </w:rPr>
        <w:t>Prema analitičkoj evid</w:t>
      </w:r>
      <w:r w:rsidR="004B73F8" w:rsidRPr="003E5ED2">
        <w:rPr>
          <w:rFonts w:ascii="Arial" w:hAnsi="Arial" w:cs="Arial"/>
          <w:sz w:val="22"/>
          <w:szCs w:val="22"/>
        </w:rPr>
        <w:t>enciji, stanje na dan 31.12.2024</w:t>
      </w:r>
      <w:r w:rsidRPr="003E5ED2">
        <w:rPr>
          <w:rFonts w:ascii="Arial" w:hAnsi="Arial" w:cs="Arial"/>
          <w:sz w:val="22"/>
          <w:szCs w:val="22"/>
        </w:rPr>
        <w:t xml:space="preserve">., Grad Rijeka </w:t>
      </w:r>
      <w:r w:rsidRPr="003E5ED2">
        <w:rPr>
          <w:rFonts w:ascii="Arial" w:hAnsi="Arial" w:cs="Arial"/>
          <w:sz w:val="22"/>
          <w:szCs w:val="22"/>
          <w:u w:val="single"/>
        </w:rPr>
        <w:t xml:space="preserve">primio je: </w:t>
      </w:r>
    </w:p>
    <w:p w:rsidR="00A41B29" w:rsidRPr="003E5ED2" w:rsidRDefault="00A41B29" w:rsidP="00845713">
      <w:pPr>
        <w:jc w:val="both"/>
        <w:rPr>
          <w:rFonts w:ascii="Arial" w:hAnsi="Arial" w:cs="Arial"/>
          <w:sz w:val="22"/>
          <w:szCs w:val="22"/>
          <w:u w:val="single"/>
        </w:rPr>
      </w:pPr>
    </w:p>
    <w:p w:rsidR="000E69DA" w:rsidRPr="003E5ED2" w:rsidRDefault="004B73F8" w:rsidP="00D907B7">
      <w:pPr>
        <w:numPr>
          <w:ilvl w:val="0"/>
          <w:numId w:val="9"/>
        </w:numPr>
        <w:ind w:left="357" w:hanging="357"/>
        <w:contextualSpacing/>
        <w:jc w:val="both"/>
        <w:rPr>
          <w:rFonts w:ascii="Arial" w:hAnsi="Arial" w:cs="Arial"/>
          <w:sz w:val="22"/>
          <w:szCs w:val="22"/>
        </w:rPr>
      </w:pPr>
      <w:r w:rsidRPr="003E5ED2">
        <w:rPr>
          <w:rFonts w:ascii="Arial" w:hAnsi="Arial" w:cs="Arial"/>
          <w:sz w:val="22"/>
          <w:szCs w:val="22"/>
        </w:rPr>
        <w:t>666</w:t>
      </w:r>
      <w:r w:rsidR="00942F43" w:rsidRPr="003E5ED2">
        <w:rPr>
          <w:rFonts w:ascii="Arial" w:hAnsi="Arial" w:cs="Arial"/>
          <w:sz w:val="22"/>
          <w:szCs w:val="22"/>
        </w:rPr>
        <w:t xml:space="preserve"> </w:t>
      </w:r>
      <w:r w:rsidR="00496890" w:rsidRPr="003E5ED2">
        <w:rPr>
          <w:rFonts w:ascii="Arial" w:hAnsi="Arial" w:cs="Arial"/>
          <w:sz w:val="22"/>
          <w:szCs w:val="22"/>
        </w:rPr>
        <w:t>bankarskih</w:t>
      </w:r>
      <w:r w:rsidR="000E69DA" w:rsidRPr="003E5ED2">
        <w:rPr>
          <w:rFonts w:ascii="Arial" w:hAnsi="Arial" w:cs="Arial"/>
          <w:sz w:val="22"/>
          <w:szCs w:val="22"/>
        </w:rPr>
        <w:t xml:space="preserve"> garancija ukupne vrijednosti </w:t>
      </w:r>
      <w:r w:rsidRPr="003E5ED2">
        <w:rPr>
          <w:rFonts w:ascii="Arial" w:hAnsi="Arial" w:cs="Arial"/>
          <w:sz w:val="22"/>
          <w:szCs w:val="22"/>
        </w:rPr>
        <w:t>30.261.604,93</w:t>
      </w:r>
      <w:r w:rsidR="0070258D" w:rsidRPr="003E5ED2">
        <w:rPr>
          <w:rFonts w:ascii="Arial" w:hAnsi="Arial" w:cs="Arial"/>
          <w:sz w:val="22"/>
          <w:szCs w:val="22"/>
        </w:rPr>
        <w:t xml:space="preserve"> eura</w:t>
      </w:r>
    </w:p>
    <w:p w:rsidR="000E69DA" w:rsidRPr="003E5ED2" w:rsidRDefault="004B73F8" w:rsidP="00D907B7">
      <w:pPr>
        <w:numPr>
          <w:ilvl w:val="0"/>
          <w:numId w:val="9"/>
        </w:numPr>
        <w:ind w:left="357" w:hanging="357"/>
        <w:contextualSpacing/>
        <w:jc w:val="both"/>
        <w:rPr>
          <w:rFonts w:ascii="Arial" w:hAnsi="Arial" w:cs="Arial"/>
          <w:sz w:val="22"/>
          <w:szCs w:val="22"/>
        </w:rPr>
      </w:pPr>
      <w:r w:rsidRPr="003E5ED2">
        <w:rPr>
          <w:rFonts w:ascii="Arial" w:hAnsi="Arial" w:cs="Arial"/>
          <w:sz w:val="22"/>
          <w:szCs w:val="22"/>
        </w:rPr>
        <w:t>4</w:t>
      </w:r>
      <w:r w:rsidR="00BA5C46" w:rsidRPr="003E5ED2">
        <w:rPr>
          <w:rFonts w:ascii="Arial" w:hAnsi="Arial" w:cs="Arial"/>
          <w:sz w:val="22"/>
          <w:szCs w:val="22"/>
        </w:rPr>
        <w:t>.</w:t>
      </w:r>
      <w:r w:rsidRPr="003E5ED2">
        <w:rPr>
          <w:rFonts w:ascii="Arial" w:hAnsi="Arial" w:cs="Arial"/>
          <w:sz w:val="22"/>
          <w:szCs w:val="22"/>
        </w:rPr>
        <w:t>42</w:t>
      </w:r>
      <w:r w:rsidR="0070258D" w:rsidRPr="003E5ED2">
        <w:rPr>
          <w:rFonts w:ascii="Arial" w:hAnsi="Arial" w:cs="Arial"/>
          <w:sz w:val="22"/>
          <w:szCs w:val="22"/>
        </w:rPr>
        <w:t>3</w:t>
      </w:r>
      <w:r w:rsidR="00942F43" w:rsidRPr="003E5ED2">
        <w:rPr>
          <w:rFonts w:ascii="Arial" w:hAnsi="Arial" w:cs="Arial"/>
          <w:sz w:val="22"/>
          <w:szCs w:val="22"/>
        </w:rPr>
        <w:t xml:space="preserve"> </w:t>
      </w:r>
      <w:r w:rsidR="000E69DA" w:rsidRPr="003E5ED2">
        <w:rPr>
          <w:rFonts w:ascii="Arial" w:hAnsi="Arial" w:cs="Arial"/>
          <w:sz w:val="22"/>
          <w:szCs w:val="22"/>
        </w:rPr>
        <w:t xml:space="preserve">zadužnice ukupne vrijednosti </w:t>
      </w:r>
      <w:r w:rsidRPr="003E5ED2">
        <w:rPr>
          <w:rFonts w:ascii="Arial" w:hAnsi="Arial" w:cs="Arial"/>
          <w:sz w:val="22"/>
          <w:szCs w:val="22"/>
        </w:rPr>
        <w:t>65.538.412,85 eura</w:t>
      </w:r>
    </w:p>
    <w:p w:rsidR="001F2662" w:rsidRPr="003E5ED2" w:rsidRDefault="004B73F8" w:rsidP="000E69DA">
      <w:pPr>
        <w:numPr>
          <w:ilvl w:val="0"/>
          <w:numId w:val="9"/>
        </w:numPr>
        <w:ind w:left="357" w:hanging="357"/>
        <w:contextualSpacing/>
        <w:jc w:val="both"/>
        <w:rPr>
          <w:rFonts w:ascii="Arial" w:hAnsi="Arial" w:cs="Arial"/>
          <w:sz w:val="22"/>
          <w:szCs w:val="22"/>
        </w:rPr>
      </w:pPr>
      <w:r w:rsidRPr="003E5ED2">
        <w:rPr>
          <w:rFonts w:ascii="Arial" w:hAnsi="Arial" w:cs="Arial"/>
          <w:sz w:val="22"/>
          <w:szCs w:val="22"/>
        </w:rPr>
        <w:t>243</w:t>
      </w:r>
      <w:r w:rsidR="00BA5C46" w:rsidRPr="003E5ED2">
        <w:rPr>
          <w:rFonts w:ascii="Arial" w:hAnsi="Arial" w:cs="Arial"/>
          <w:sz w:val="22"/>
          <w:szCs w:val="22"/>
        </w:rPr>
        <w:t xml:space="preserve"> </w:t>
      </w:r>
      <w:r w:rsidR="00BA5E49" w:rsidRPr="003E5ED2">
        <w:rPr>
          <w:rFonts w:ascii="Arial" w:hAnsi="Arial" w:cs="Arial"/>
          <w:sz w:val="22"/>
          <w:szCs w:val="22"/>
        </w:rPr>
        <w:t>novčanih</w:t>
      </w:r>
      <w:r w:rsidR="000E69DA" w:rsidRPr="003E5ED2">
        <w:rPr>
          <w:rFonts w:ascii="Arial" w:hAnsi="Arial" w:cs="Arial"/>
          <w:sz w:val="22"/>
          <w:szCs w:val="22"/>
        </w:rPr>
        <w:t xml:space="preserve"> pologa ukupne vrijednosti </w:t>
      </w:r>
      <w:r w:rsidRPr="003E5ED2">
        <w:rPr>
          <w:rFonts w:ascii="Arial" w:hAnsi="Arial" w:cs="Arial"/>
          <w:sz w:val="22"/>
          <w:szCs w:val="22"/>
        </w:rPr>
        <w:t>1.761.975,27</w:t>
      </w:r>
      <w:r w:rsidR="0070258D" w:rsidRPr="003E5ED2">
        <w:rPr>
          <w:rFonts w:ascii="Arial" w:hAnsi="Arial" w:cs="Arial"/>
          <w:sz w:val="22"/>
          <w:szCs w:val="22"/>
        </w:rPr>
        <w:t xml:space="preserve"> eura</w:t>
      </w:r>
    </w:p>
    <w:p w:rsidR="00C06DAB" w:rsidRPr="003E5ED2" w:rsidRDefault="0070258D" w:rsidP="000E69DA">
      <w:pPr>
        <w:numPr>
          <w:ilvl w:val="0"/>
          <w:numId w:val="9"/>
        </w:numPr>
        <w:ind w:left="357" w:hanging="357"/>
        <w:contextualSpacing/>
        <w:jc w:val="both"/>
        <w:rPr>
          <w:rFonts w:ascii="Arial" w:hAnsi="Arial" w:cs="Arial"/>
          <w:sz w:val="22"/>
          <w:szCs w:val="22"/>
        </w:rPr>
      </w:pPr>
      <w:r w:rsidRPr="003E5ED2">
        <w:rPr>
          <w:rFonts w:ascii="Arial" w:hAnsi="Arial" w:cs="Arial"/>
          <w:sz w:val="22"/>
          <w:szCs w:val="22"/>
        </w:rPr>
        <w:t>10</w:t>
      </w:r>
      <w:r w:rsidR="00942F43" w:rsidRPr="003E5ED2">
        <w:rPr>
          <w:rFonts w:ascii="Arial" w:hAnsi="Arial" w:cs="Arial"/>
          <w:sz w:val="22"/>
          <w:szCs w:val="22"/>
        </w:rPr>
        <w:t>.</w:t>
      </w:r>
      <w:r w:rsidR="004B73F8" w:rsidRPr="003E5ED2">
        <w:rPr>
          <w:rFonts w:ascii="Arial" w:hAnsi="Arial" w:cs="Arial"/>
          <w:sz w:val="22"/>
          <w:szCs w:val="22"/>
        </w:rPr>
        <w:t>214</w:t>
      </w:r>
      <w:r w:rsidR="00C06DAB" w:rsidRPr="003E5ED2">
        <w:rPr>
          <w:rFonts w:ascii="Arial" w:hAnsi="Arial" w:cs="Arial"/>
          <w:sz w:val="22"/>
          <w:szCs w:val="22"/>
        </w:rPr>
        <w:t xml:space="preserve"> bjanko mjenica</w:t>
      </w:r>
    </w:p>
    <w:p w:rsidR="00455C7A" w:rsidRPr="003E5ED2" w:rsidRDefault="00455C7A" w:rsidP="000E69DA">
      <w:pPr>
        <w:tabs>
          <w:tab w:val="left" w:pos="284"/>
          <w:tab w:val="left" w:pos="567"/>
          <w:tab w:val="left" w:pos="851"/>
        </w:tabs>
        <w:jc w:val="both"/>
        <w:rPr>
          <w:rFonts w:ascii="Arial" w:hAnsi="Arial" w:cs="Arial"/>
          <w:b/>
          <w:sz w:val="22"/>
          <w:szCs w:val="22"/>
        </w:rPr>
      </w:pPr>
    </w:p>
    <w:p w:rsidR="00502423" w:rsidRPr="003E5ED2" w:rsidRDefault="00502423" w:rsidP="000E69DA">
      <w:pPr>
        <w:tabs>
          <w:tab w:val="left" w:pos="284"/>
          <w:tab w:val="left" w:pos="567"/>
          <w:tab w:val="left" w:pos="851"/>
        </w:tabs>
        <w:jc w:val="both"/>
        <w:rPr>
          <w:rFonts w:ascii="Arial" w:hAnsi="Arial" w:cs="Arial"/>
          <w:b/>
          <w:sz w:val="22"/>
          <w:szCs w:val="22"/>
        </w:rPr>
      </w:pPr>
    </w:p>
    <w:p w:rsidR="002A4F07" w:rsidRPr="003E5ED2" w:rsidRDefault="001F2662" w:rsidP="000E69DA">
      <w:pPr>
        <w:tabs>
          <w:tab w:val="left" w:pos="284"/>
          <w:tab w:val="left" w:pos="567"/>
          <w:tab w:val="left" w:pos="851"/>
        </w:tabs>
        <w:jc w:val="both"/>
        <w:rPr>
          <w:rFonts w:ascii="Arial" w:hAnsi="Arial" w:cs="Arial"/>
          <w:b/>
          <w:sz w:val="22"/>
          <w:szCs w:val="22"/>
        </w:rPr>
      </w:pPr>
      <w:r w:rsidRPr="003E5ED2">
        <w:rPr>
          <w:rFonts w:ascii="Arial" w:hAnsi="Arial" w:cs="Arial"/>
          <w:b/>
          <w:sz w:val="22"/>
          <w:szCs w:val="22"/>
        </w:rPr>
        <w:t>Bilješka broj 11</w:t>
      </w:r>
      <w:r w:rsidR="000E69DA" w:rsidRPr="003E5ED2">
        <w:rPr>
          <w:rFonts w:ascii="Arial" w:hAnsi="Arial" w:cs="Arial"/>
          <w:b/>
          <w:sz w:val="22"/>
          <w:szCs w:val="22"/>
        </w:rPr>
        <w:t xml:space="preserve"> – Hipoteke (založno pravo</w:t>
      </w:r>
      <w:r w:rsidR="00833A7F" w:rsidRPr="003E5ED2">
        <w:rPr>
          <w:rFonts w:ascii="Arial" w:hAnsi="Arial" w:cs="Arial"/>
          <w:b/>
          <w:sz w:val="22"/>
          <w:szCs w:val="22"/>
        </w:rPr>
        <w:t>)</w:t>
      </w:r>
    </w:p>
    <w:p w:rsidR="00833A7F" w:rsidRPr="003E5ED2" w:rsidRDefault="00833A7F" w:rsidP="000E69DA">
      <w:pPr>
        <w:tabs>
          <w:tab w:val="left" w:pos="284"/>
          <w:tab w:val="left" w:pos="567"/>
          <w:tab w:val="left" w:pos="851"/>
        </w:tabs>
        <w:jc w:val="both"/>
        <w:rPr>
          <w:rFonts w:ascii="Arial" w:hAnsi="Arial" w:cs="Arial"/>
          <w:b/>
          <w:sz w:val="22"/>
          <w:szCs w:val="22"/>
          <w:highlight w:val="yellow"/>
        </w:rPr>
      </w:pPr>
    </w:p>
    <w:p w:rsidR="00EE2FBC" w:rsidRPr="003E5ED2" w:rsidRDefault="00EE2FBC" w:rsidP="00EE2FBC">
      <w:pPr>
        <w:tabs>
          <w:tab w:val="left" w:pos="0"/>
          <w:tab w:val="left" w:pos="567"/>
          <w:tab w:val="left" w:pos="851"/>
        </w:tabs>
        <w:jc w:val="both"/>
        <w:rPr>
          <w:rFonts w:ascii="Arial" w:hAnsi="Arial" w:cs="Arial"/>
          <w:sz w:val="22"/>
          <w:szCs w:val="22"/>
        </w:rPr>
      </w:pPr>
      <w:r w:rsidRPr="003E5ED2">
        <w:rPr>
          <w:rFonts w:ascii="Arial" w:hAnsi="Arial" w:cs="Arial"/>
          <w:sz w:val="22"/>
          <w:szCs w:val="22"/>
        </w:rPr>
        <w:t>Hipotekom ili z</w:t>
      </w:r>
      <w:r w:rsidR="00D07085" w:rsidRPr="003E5ED2">
        <w:rPr>
          <w:rFonts w:ascii="Arial" w:hAnsi="Arial" w:cs="Arial"/>
          <w:sz w:val="22"/>
          <w:szCs w:val="22"/>
        </w:rPr>
        <w:t>aložnim pravom opterećene su sl</w:t>
      </w:r>
      <w:r w:rsidRPr="003E5ED2">
        <w:rPr>
          <w:rFonts w:ascii="Arial" w:hAnsi="Arial" w:cs="Arial"/>
          <w:sz w:val="22"/>
          <w:szCs w:val="22"/>
        </w:rPr>
        <w:t>jedeće nekretnine u vlasništvu Grada:</w:t>
      </w:r>
    </w:p>
    <w:p w:rsidR="00EE2FBC" w:rsidRPr="003E5ED2" w:rsidRDefault="00EE2FBC" w:rsidP="00EE2FBC">
      <w:pPr>
        <w:tabs>
          <w:tab w:val="left" w:pos="284"/>
          <w:tab w:val="left" w:pos="567"/>
          <w:tab w:val="left" w:pos="851"/>
        </w:tabs>
        <w:jc w:val="both"/>
        <w:rPr>
          <w:rFonts w:ascii="Arial" w:hAnsi="Arial" w:cs="Arial"/>
          <w:sz w:val="22"/>
          <w:szCs w:val="22"/>
        </w:rPr>
      </w:pPr>
    </w:p>
    <w:p w:rsidR="00EE2FBC" w:rsidRPr="003E5ED2" w:rsidRDefault="00EE2FBC" w:rsidP="00EE2FBC">
      <w:pPr>
        <w:numPr>
          <w:ilvl w:val="0"/>
          <w:numId w:val="20"/>
        </w:numPr>
        <w:tabs>
          <w:tab w:val="left" w:pos="284"/>
          <w:tab w:val="left" w:pos="851"/>
        </w:tabs>
        <w:ind w:left="0"/>
        <w:contextualSpacing/>
        <w:jc w:val="both"/>
        <w:rPr>
          <w:rFonts w:ascii="Arial" w:hAnsi="Arial" w:cs="Arial"/>
          <w:sz w:val="22"/>
          <w:szCs w:val="22"/>
        </w:rPr>
      </w:pPr>
      <w:r w:rsidRPr="003E5ED2">
        <w:rPr>
          <w:rFonts w:ascii="Arial" w:hAnsi="Arial" w:cs="Arial"/>
          <w:sz w:val="22"/>
          <w:szCs w:val="22"/>
        </w:rPr>
        <w:t>Nekretnine Plivališta SFK Kantrida na temelju Sporazuma o zasnivanju založnog prava na nekretninama i pravu na neposrednu ovrhu od 3. siječnja 2017. godine, u korist Privredne banke Zagreb d.d., a radi osiguranja novčane tražbine Privredne banke Zagreb d.d. sukladno zaključenom Ugovoru o dugoročnom kreditu broj 5010609829.</w:t>
      </w:r>
    </w:p>
    <w:p w:rsidR="00EE2FBC" w:rsidRPr="003E5ED2" w:rsidRDefault="00EE2FBC" w:rsidP="00EE2FBC">
      <w:pPr>
        <w:tabs>
          <w:tab w:val="left" w:pos="284"/>
          <w:tab w:val="left" w:pos="567"/>
          <w:tab w:val="left" w:pos="851"/>
        </w:tabs>
        <w:jc w:val="both"/>
        <w:rPr>
          <w:rFonts w:ascii="Arial" w:hAnsi="Arial" w:cs="Arial"/>
          <w:sz w:val="22"/>
          <w:szCs w:val="22"/>
        </w:rPr>
      </w:pPr>
    </w:p>
    <w:p w:rsidR="00EE2FBC" w:rsidRPr="003E5ED2" w:rsidRDefault="00EE2FBC" w:rsidP="00EE2FBC">
      <w:pPr>
        <w:numPr>
          <w:ilvl w:val="0"/>
          <w:numId w:val="12"/>
        </w:numPr>
        <w:tabs>
          <w:tab w:val="left" w:pos="284"/>
          <w:tab w:val="left" w:pos="567"/>
          <w:tab w:val="left" w:pos="851"/>
        </w:tabs>
        <w:ind w:left="0"/>
        <w:contextualSpacing/>
        <w:jc w:val="both"/>
        <w:rPr>
          <w:rFonts w:ascii="Arial" w:hAnsi="Arial" w:cs="Arial"/>
          <w:sz w:val="22"/>
          <w:szCs w:val="22"/>
        </w:rPr>
      </w:pPr>
      <w:r w:rsidRPr="003E5ED2">
        <w:rPr>
          <w:rFonts w:ascii="Arial" w:hAnsi="Arial" w:cs="Arial"/>
          <w:sz w:val="22"/>
          <w:szCs w:val="22"/>
        </w:rPr>
        <w:t xml:space="preserve">Nekretnina </w:t>
      </w:r>
      <w:proofErr w:type="spellStart"/>
      <w:r w:rsidRPr="003E5ED2">
        <w:rPr>
          <w:rFonts w:ascii="Arial" w:hAnsi="Arial" w:cs="Arial"/>
          <w:sz w:val="22"/>
          <w:szCs w:val="22"/>
        </w:rPr>
        <w:t>k.č</w:t>
      </w:r>
      <w:proofErr w:type="spellEnd"/>
      <w:r w:rsidRPr="003E5ED2">
        <w:rPr>
          <w:rFonts w:ascii="Arial" w:hAnsi="Arial" w:cs="Arial"/>
          <w:sz w:val="22"/>
          <w:szCs w:val="22"/>
        </w:rPr>
        <w:t xml:space="preserve">. 388/562 šuma površine 5123 m2, </w:t>
      </w:r>
      <w:proofErr w:type="spellStart"/>
      <w:r w:rsidRPr="003E5ED2">
        <w:rPr>
          <w:rFonts w:ascii="Arial" w:hAnsi="Arial" w:cs="Arial"/>
          <w:sz w:val="22"/>
          <w:szCs w:val="22"/>
        </w:rPr>
        <w:t>zk.ul</w:t>
      </w:r>
      <w:proofErr w:type="spellEnd"/>
      <w:r w:rsidRPr="003E5ED2">
        <w:rPr>
          <w:rFonts w:ascii="Arial" w:hAnsi="Arial" w:cs="Arial"/>
          <w:sz w:val="22"/>
          <w:szCs w:val="22"/>
        </w:rPr>
        <w:t xml:space="preserve">. 1349 KO </w:t>
      </w:r>
      <w:proofErr w:type="spellStart"/>
      <w:r w:rsidRPr="003E5ED2">
        <w:rPr>
          <w:rFonts w:ascii="Arial" w:hAnsi="Arial" w:cs="Arial"/>
          <w:sz w:val="22"/>
          <w:szCs w:val="22"/>
        </w:rPr>
        <w:t>Hosti</w:t>
      </w:r>
      <w:proofErr w:type="spellEnd"/>
      <w:r w:rsidRPr="003E5ED2">
        <w:rPr>
          <w:rFonts w:ascii="Arial" w:hAnsi="Arial" w:cs="Arial"/>
          <w:sz w:val="22"/>
          <w:szCs w:val="22"/>
        </w:rPr>
        <w:t xml:space="preserve">, vrijednost zemljišta </w:t>
      </w:r>
      <w:r w:rsidR="00D24180" w:rsidRPr="003E5ED2">
        <w:rPr>
          <w:rFonts w:ascii="Arial" w:hAnsi="Arial" w:cs="Arial"/>
          <w:sz w:val="22"/>
          <w:szCs w:val="22"/>
        </w:rPr>
        <w:t>2.254.120,00 k</w:t>
      </w:r>
      <w:r w:rsidR="00AD157A" w:rsidRPr="003E5ED2">
        <w:rPr>
          <w:rFonts w:ascii="Arial" w:hAnsi="Arial" w:cs="Arial"/>
          <w:sz w:val="22"/>
          <w:szCs w:val="22"/>
        </w:rPr>
        <w:t>u</w:t>
      </w:r>
      <w:r w:rsidR="00E1718F" w:rsidRPr="003E5ED2">
        <w:rPr>
          <w:rFonts w:ascii="Arial" w:hAnsi="Arial" w:cs="Arial"/>
          <w:sz w:val="22"/>
          <w:szCs w:val="22"/>
        </w:rPr>
        <w:t>n</w:t>
      </w:r>
      <w:r w:rsidR="00AD157A" w:rsidRPr="003E5ED2">
        <w:rPr>
          <w:rFonts w:ascii="Arial" w:hAnsi="Arial" w:cs="Arial"/>
          <w:sz w:val="22"/>
          <w:szCs w:val="22"/>
        </w:rPr>
        <w:t>a</w:t>
      </w:r>
      <w:r w:rsidRPr="003E5ED2">
        <w:rPr>
          <w:rFonts w:ascii="Arial" w:hAnsi="Arial" w:cs="Arial"/>
          <w:sz w:val="22"/>
          <w:szCs w:val="22"/>
        </w:rPr>
        <w:t>, temeljem Ugovora br. 130926087159 o dugoročnom kreditu na</w:t>
      </w:r>
      <w:r w:rsidR="000E54E3" w:rsidRPr="003E5ED2">
        <w:rPr>
          <w:rFonts w:ascii="Arial" w:hAnsi="Arial" w:cs="Arial"/>
          <w:sz w:val="22"/>
          <w:szCs w:val="22"/>
        </w:rPr>
        <w:t xml:space="preserve"> </w:t>
      </w:r>
      <w:r w:rsidRPr="003E5ED2">
        <w:rPr>
          <w:rFonts w:ascii="Arial" w:hAnsi="Arial" w:cs="Arial"/>
          <w:sz w:val="22"/>
          <w:szCs w:val="22"/>
        </w:rPr>
        <w:t>25.000.000</w:t>
      </w:r>
      <w:r w:rsidR="00000CEB" w:rsidRPr="003E5ED2">
        <w:rPr>
          <w:rFonts w:ascii="Arial" w:hAnsi="Arial" w:cs="Arial"/>
          <w:sz w:val="22"/>
          <w:szCs w:val="22"/>
        </w:rPr>
        <w:t>,00</w:t>
      </w:r>
      <w:r w:rsidRPr="003E5ED2">
        <w:rPr>
          <w:rFonts w:ascii="Arial" w:hAnsi="Arial" w:cs="Arial"/>
          <w:sz w:val="22"/>
          <w:szCs w:val="22"/>
        </w:rPr>
        <w:t xml:space="preserve"> k</w:t>
      </w:r>
      <w:r w:rsidR="00AD157A" w:rsidRPr="003E5ED2">
        <w:rPr>
          <w:rFonts w:ascii="Arial" w:hAnsi="Arial" w:cs="Arial"/>
          <w:sz w:val="22"/>
          <w:szCs w:val="22"/>
        </w:rPr>
        <w:t>u</w:t>
      </w:r>
      <w:r w:rsidRPr="003E5ED2">
        <w:rPr>
          <w:rFonts w:ascii="Arial" w:hAnsi="Arial" w:cs="Arial"/>
          <w:sz w:val="22"/>
          <w:szCs w:val="22"/>
        </w:rPr>
        <w:t>n</w:t>
      </w:r>
      <w:r w:rsidR="00AD157A" w:rsidRPr="003E5ED2">
        <w:rPr>
          <w:rFonts w:ascii="Arial" w:hAnsi="Arial" w:cs="Arial"/>
          <w:sz w:val="22"/>
          <w:szCs w:val="22"/>
        </w:rPr>
        <w:t>a</w:t>
      </w:r>
      <w:r w:rsidR="000E54E3" w:rsidRPr="003E5ED2">
        <w:rPr>
          <w:rFonts w:ascii="Arial" w:hAnsi="Arial" w:cs="Arial"/>
          <w:sz w:val="22"/>
          <w:szCs w:val="22"/>
        </w:rPr>
        <w:t>,</w:t>
      </w:r>
      <w:r w:rsidRPr="003E5ED2">
        <w:rPr>
          <w:rFonts w:ascii="Arial" w:hAnsi="Arial" w:cs="Arial"/>
          <w:sz w:val="22"/>
          <w:szCs w:val="22"/>
        </w:rPr>
        <w:t xml:space="preserve"> </w:t>
      </w:r>
      <w:r w:rsidR="005720A3" w:rsidRPr="003E5ED2">
        <w:rPr>
          <w:rFonts w:ascii="Arial" w:hAnsi="Arial" w:cs="Arial"/>
          <w:sz w:val="22"/>
          <w:szCs w:val="22"/>
        </w:rPr>
        <w:t xml:space="preserve">zaključenog 11. studenog </w:t>
      </w:r>
      <w:r w:rsidRPr="003E5ED2">
        <w:rPr>
          <w:rFonts w:ascii="Arial" w:hAnsi="Arial" w:cs="Arial"/>
          <w:sz w:val="22"/>
          <w:szCs w:val="22"/>
        </w:rPr>
        <w:t>2013. između</w:t>
      </w:r>
      <w:r w:rsidR="00725942" w:rsidRPr="003E5ED2">
        <w:rPr>
          <w:rFonts w:ascii="Arial" w:hAnsi="Arial" w:cs="Arial"/>
          <w:sz w:val="22"/>
          <w:szCs w:val="22"/>
        </w:rPr>
        <w:t xml:space="preserve"> OTP banke, korisnika: Dječji vrtić Rijeka i zalogodavca: Grad Rijeka</w:t>
      </w:r>
      <w:r w:rsidRPr="003E5ED2">
        <w:rPr>
          <w:rFonts w:ascii="Arial" w:hAnsi="Arial" w:cs="Arial"/>
          <w:sz w:val="22"/>
          <w:szCs w:val="22"/>
        </w:rPr>
        <w:t>. Uvjete odobrava i sredstva osigurava: Hrvatska banka za obnovu i razvitak Zagreb</w:t>
      </w:r>
      <w:r w:rsidR="009F06CA" w:rsidRPr="003E5ED2">
        <w:rPr>
          <w:rFonts w:ascii="Arial" w:hAnsi="Arial" w:cs="Arial"/>
          <w:sz w:val="22"/>
          <w:szCs w:val="22"/>
        </w:rPr>
        <w:t>.</w:t>
      </w:r>
    </w:p>
    <w:p w:rsidR="00136936" w:rsidRPr="003E5ED2" w:rsidRDefault="00EE2FBC" w:rsidP="00EE2FBC">
      <w:pPr>
        <w:tabs>
          <w:tab w:val="left" w:pos="567"/>
        </w:tabs>
        <w:spacing w:after="200" w:line="276" w:lineRule="auto"/>
        <w:contextualSpacing/>
        <w:jc w:val="both"/>
        <w:rPr>
          <w:rFonts w:ascii="Arial" w:hAnsi="Arial" w:cs="Arial"/>
          <w:sz w:val="22"/>
          <w:szCs w:val="22"/>
        </w:rPr>
      </w:pPr>
      <w:r w:rsidRPr="003E5ED2">
        <w:rPr>
          <w:rFonts w:ascii="Arial" w:hAnsi="Arial" w:cs="Arial"/>
          <w:sz w:val="22"/>
          <w:szCs w:val="22"/>
        </w:rPr>
        <w:t xml:space="preserve">Namjena: za realizaciju kapitalnog projekta Dječji vrtić </w:t>
      </w:r>
      <w:proofErr w:type="spellStart"/>
      <w:r w:rsidRPr="003E5ED2">
        <w:rPr>
          <w:rFonts w:ascii="Arial" w:hAnsi="Arial" w:cs="Arial"/>
          <w:sz w:val="22"/>
          <w:szCs w:val="22"/>
        </w:rPr>
        <w:t>Pehlin</w:t>
      </w:r>
      <w:proofErr w:type="spellEnd"/>
      <w:r w:rsidRPr="003E5ED2">
        <w:rPr>
          <w:rFonts w:ascii="Arial" w:hAnsi="Arial" w:cs="Arial"/>
          <w:sz w:val="22"/>
          <w:szCs w:val="22"/>
        </w:rPr>
        <w:t>.</w:t>
      </w:r>
      <w:r w:rsidR="00502423" w:rsidRPr="003E5ED2">
        <w:rPr>
          <w:rFonts w:ascii="Arial" w:hAnsi="Arial" w:cs="Arial"/>
          <w:sz w:val="22"/>
          <w:szCs w:val="22"/>
        </w:rPr>
        <w:t xml:space="preserve"> </w:t>
      </w:r>
      <w:r w:rsidRPr="003E5ED2">
        <w:rPr>
          <w:rFonts w:ascii="Arial" w:hAnsi="Arial" w:cs="Arial"/>
          <w:sz w:val="22"/>
          <w:szCs w:val="22"/>
        </w:rPr>
        <w:t>Odluka o dav</w:t>
      </w:r>
      <w:r w:rsidR="009F06CA" w:rsidRPr="003E5ED2">
        <w:rPr>
          <w:rFonts w:ascii="Arial" w:hAnsi="Arial" w:cs="Arial"/>
          <w:sz w:val="22"/>
          <w:szCs w:val="22"/>
        </w:rPr>
        <w:t>anju suglasnosti za zaduženje Dječji vrtić</w:t>
      </w:r>
      <w:r w:rsidRPr="003E5ED2">
        <w:rPr>
          <w:rFonts w:ascii="Arial" w:hAnsi="Arial" w:cs="Arial"/>
          <w:sz w:val="22"/>
          <w:szCs w:val="22"/>
        </w:rPr>
        <w:t xml:space="preserve"> Rijeka donijeta na Gradskom vijeću Grada Rijeke 25. srpnja 2013., objavljena u SN PGŽ 27/13. </w:t>
      </w:r>
    </w:p>
    <w:p w:rsidR="00A41B29" w:rsidRPr="003E5ED2" w:rsidRDefault="00A41B29" w:rsidP="00EE2FBC">
      <w:pPr>
        <w:tabs>
          <w:tab w:val="left" w:pos="567"/>
        </w:tabs>
        <w:spacing w:after="200" w:line="276" w:lineRule="auto"/>
        <w:contextualSpacing/>
        <w:jc w:val="both"/>
        <w:rPr>
          <w:rFonts w:ascii="Arial" w:hAnsi="Arial" w:cs="Arial"/>
          <w:sz w:val="22"/>
          <w:szCs w:val="22"/>
        </w:rPr>
      </w:pPr>
    </w:p>
    <w:p w:rsidR="00A41B29" w:rsidRPr="003E5ED2" w:rsidRDefault="00A41B29" w:rsidP="000014BF">
      <w:pPr>
        <w:tabs>
          <w:tab w:val="left" w:pos="284"/>
          <w:tab w:val="left" w:pos="851"/>
        </w:tabs>
        <w:contextualSpacing/>
        <w:jc w:val="both"/>
        <w:rPr>
          <w:rFonts w:ascii="Arial" w:hAnsi="Arial" w:cs="Arial"/>
          <w:sz w:val="22"/>
          <w:szCs w:val="22"/>
        </w:rPr>
      </w:pPr>
    </w:p>
    <w:p w:rsidR="00A41B29" w:rsidRPr="003E5ED2" w:rsidRDefault="00A41B29" w:rsidP="00803355">
      <w:pPr>
        <w:tabs>
          <w:tab w:val="left" w:pos="567"/>
        </w:tabs>
        <w:spacing w:after="200" w:line="276" w:lineRule="auto"/>
        <w:contextualSpacing/>
        <w:rPr>
          <w:rFonts w:ascii="Arial" w:hAnsi="Arial" w:cs="Arial"/>
          <w:i/>
        </w:rPr>
      </w:pPr>
    </w:p>
    <w:p w:rsidR="00A41B29" w:rsidRPr="003E5ED2" w:rsidRDefault="00A41B29" w:rsidP="00803355">
      <w:pPr>
        <w:tabs>
          <w:tab w:val="left" w:pos="567"/>
        </w:tabs>
        <w:spacing w:after="200" w:line="276" w:lineRule="auto"/>
        <w:contextualSpacing/>
        <w:rPr>
          <w:rFonts w:ascii="Arial" w:hAnsi="Arial" w:cs="Arial"/>
          <w:i/>
        </w:rPr>
      </w:pPr>
    </w:p>
    <w:p w:rsidR="00A41B29" w:rsidRPr="003E5ED2" w:rsidRDefault="00A41B29" w:rsidP="00803355">
      <w:pPr>
        <w:tabs>
          <w:tab w:val="left" w:pos="567"/>
        </w:tabs>
        <w:spacing w:after="200" w:line="276" w:lineRule="auto"/>
        <w:contextualSpacing/>
        <w:rPr>
          <w:rFonts w:ascii="Arial" w:hAnsi="Arial" w:cs="Arial"/>
          <w:i/>
        </w:rPr>
      </w:pPr>
    </w:p>
    <w:p w:rsidR="00A41B29" w:rsidRPr="003E5ED2" w:rsidRDefault="00A41B29" w:rsidP="00803355">
      <w:pPr>
        <w:tabs>
          <w:tab w:val="left" w:pos="567"/>
        </w:tabs>
        <w:spacing w:after="200" w:line="276" w:lineRule="auto"/>
        <w:contextualSpacing/>
        <w:rPr>
          <w:rFonts w:ascii="Arial" w:hAnsi="Arial" w:cs="Arial"/>
          <w:i/>
        </w:rPr>
      </w:pPr>
    </w:p>
    <w:p w:rsidR="00A41B29" w:rsidRPr="003E5ED2" w:rsidRDefault="00A41B29" w:rsidP="00803355">
      <w:pPr>
        <w:tabs>
          <w:tab w:val="left" w:pos="567"/>
        </w:tabs>
        <w:spacing w:after="200" w:line="276" w:lineRule="auto"/>
        <w:contextualSpacing/>
        <w:rPr>
          <w:rFonts w:ascii="Arial" w:hAnsi="Arial" w:cs="Arial"/>
          <w:i/>
        </w:rPr>
      </w:pPr>
    </w:p>
    <w:p w:rsidR="00A41B29" w:rsidRPr="003E5ED2" w:rsidRDefault="00A41B29" w:rsidP="00803355">
      <w:pPr>
        <w:tabs>
          <w:tab w:val="left" w:pos="567"/>
        </w:tabs>
        <w:spacing w:after="200" w:line="276" w:lineRule="auto"/>
        <w:contextualSpacing/>
        <w:rPr>
          <w:rFonts w:ascii="Arial" w:hAnsi="Arial" w:cs="Arial"/>
          <w:i/>
        </w:rPr>
      </w:pPr>
    </w:p>
    <w:p w:rsidR="00A41B29" w:rsidRPr="003E5ED2" w:rsidRDefault="00A41B29" w:rsidP="00803355">
      <w:pPr>
        <w:tabs>
          <w:tab w:val="left" w:pos="567"/>
        </w:tabs>
        <w:spacing w:after="200" w:line="276" w:lineRule="auto"/>
        <w:contextualSpacing/>
        <w:rPr>
          <w:rFonts w:ascii="Arial" w:hAnsi="Arial" w:cs="Arial"/>
          <w:i/>
        </w:rPr>
      </w:pPr>
    </w:p>
    <w:p w:rsidR="00A41B29" w:rsidRPr="003E5ED2" w:rsidRDefault="00A41B29" w:rsidP="00803355">
      <w:pPr>
        <w:tabs>
          <w:tab w:val="left" w:pos="567"/>
        </w:tabs>
        <w:spacing w:after="200" w:line="276" w:lineRule="auto"/>
        <w:contextualSpacing/>
        <w:rPr>
          <w:rFonts w:ascii="Arial" w:hAnsi="Arial" w:cs="Arial"/>
          <w:i/>
        </w:rPr>
      </w:pPr>
    </w:p>
    <w:p w:rsidR="00A41B29" w:rsidRPr="003E5ED2" w:rsidRDefault="00A41B29" w:rsidP="00803355">
      <w:pPr>
        <w:tabs>
          <w:tab w:val="left" w:pos="567"/>
        </w:tabs>
        <w:spacing w:after="200" w:line="276" w:lineRule="auto"/>
        <w:contextualSpacing/>
        <w:rPr>
          <w:rFonts w:ascii="Arial" w:hAnsi="Arial" w:cs="Arial"/>
          <w:i/>
        </w:rPr>
      </w:pPr>
    </w:p>
    <w:p w:rsidR="00A41B29" w:rsidRPr="003E5ED2" w:rsidRDefault="00A41B29" w:rsidP="00803355">
      <w:pPr>
        <w:tabs>
          <w:tab w:val="left" w:pos="567"/>
        </w:tabs>
        <w:spacing w:after="200" w:line="276" w:lineRule="auto"/>
        <w:contextualSpacing/>
        <w:rPr>
          <w:rFonts w:ascii="Arial" w:hAnsi="Arial" w:cs="Arial"/>
          <w:i/>
        </w:rPr>
      </w:pPr>
    </w:p>
    <w:p w:rsidR="00A41B29" w:rsidRDefault="00A41B29"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Default="004F3ECD" w:rsidP="00803355">
      <w:pPr>
        <w:tabs>
          <w:tab w:val="left" w:pos="567"/>
        </w:tabs>
        <w:spacing w:after="200" w:line="276" w:lineRule="auto"/>
        <w:contextualSpacing/>
        <w:rPr>
          <w:rFonts w:ascii="Arial" w:hAnsi="Arial" w:cs="Arial"/>
          <w:i/>
        </w:rPr>
      </w:pPr>
    </w:p>
    <w:p w:rsidR="004F3ECD" w:rsidRPr="003E5ED2" w:rsidRDefault="004F3ECD" w:rsidP="00803355">
      <w:pPr>
        <w:tabs>
          <w:tab w:val="left" w:pos="567"/>
        </w:tabs>
        <w:spacing w:after="200" w:line="276" w:lineRule="auto"/>
        <w:contextualSpacing/>
        <w:rPr>
          <w:rFonts w:ascii="Arial" w:hAnsi="Arial" w:cs="Arial"/>
          <w:i/>
        </w:rPr>
      </w:pPr>
    </w:p>
    <w:p w:rsidR="00A41B29" w:rsidRPr="003E5ED2" w:rsidRDefault="00A41B29" w:rsidP="00803355">
      <w:pPr>
        <w:tabs>
          <w:tab w:val="left" w:pos="567"/>
        </w:tabs>
        <w:spacing w:after="200" w:line="276" w:lineRule="auto"/>
        <w:contextualSpacing/>
        <w:rPr>
          <w:rFonts w:ascii="Arial" w:hAnsi="Arial" w:cs="Arial"/>
          <w:i/>
        </w:rPr>
      </w:pPr>
    </w:p>
    <w:p w:rsidR="0083159D" w:rsidRPr="003E5ED2" w:rsidRDefault="0083159D" w:rsidP="00803355">
      <w:pPr>
        <w:tabs>
          <w:tab w:val="left" w:pos="567"/>
        </w:tabs>
        <w:spacing w:after="200" w:line="276" w:lineRule="auto"/>
        <w:contextualSpacing/>
        <w:rPr>
          <w:rFonts w:ascii="Arial" w:hAnsi="Arial" w:cs="Arial"/>
          <w:i/>
        </w:rPr>
      </w:pPr>
    </w:p>
    <w:p w:rsidR="002F7C2B" w:rsidRPr="003E5ED2" w:rsidRDefault="000E69DA" w:rsidP="00351B91">
      <w:pPr>
        <w:keepNext/>
        <w:numPr>
          <w:ilvl w:val="0"/>
          <w:numId w:val="2"/>
        </w:numPr>
        <w:tabs>
          <w:tab w:val="num" w:pos="426"/>
        </w:tabs>
        <w:ind w:hanging="720"/>
        <w:jc w:val="both"/>
        <w:outlineLvl w:val="0"/>
        <w:rPr>
          <w:rFonts w:ascii="Arial" w:hAnsi="Arial"/>
          <w:b/>
          <w:color w:val="1F3864" w:themeColor="accent5" w:themeShade="80"/>
          <w:sz w:val="24"/>
          <w:szCs w:val="24"/>
        </w:rPr>
      </w:pPr>
      <w:r w:rsidRPr="003E5ED2">
        <w:rPr>
          <w:rFonts w:ascii="Arial" w:hAnsi="Arial"/>
          <w:b/>
          <w:color w:val="1F3864" w:themeColor="accent5" w:themeShade="80"/>
          <w:sz w:val="24"/>
          <w:szCs w:val="24"/>
        </w:rPr>
        <w:t>IZVJEŠTAJ O PRIHODIMA I RASHODIMA, PRIMICIMA I IZDACIMA</w:t>
      </w:r>
      <w:r w:rsidR="00D268E1" w:rsidRPr="003E5ED2">
        <w:rPr>
          <w:rFonts w:ascii="Arial" w:hAnsi="Arial"/>
          <w:b/>
          <w:color w:val="FF0000"/>
          <w:sz w:val="24"/>
          <w:szCs w:val="24"/>
        </w:rPr>
        <w:t xml:space="preserve"> </w:t>
      </w:r>
    </w:p>
    <w:p w:rsidR="00DB538E" w:rsidRPr="003E5ED2" w:rsidRDefault="00DB538E" w:rsidP="00DB538E">
      <w:pPr>
        <w:keepNext/>
        <w:ind w:left="720"/>
        <w:jc w:val="both"/>
        <w:outlineLvl w:val="0"/>
        <w:rPr>
          <w:rFonts w:ascii="Arial" w:hAnsi="Arial"/>
          <w:b/>
          <w:color w:val="1F3864" w:themeColor="accent5" w:themeShade="80"/>
          <w:sz w:val="24"/>
          <w:szCs w:val="24"/>
        </w:rPr>
      </w:pPr>
    </w:p>
    <w:p w:rsidR="004240AA" w:rsidRPr="003E5ED2" w:rsidRDefault="000E69DA" w:rsidP="005E6799">
      <w:pPr>
        <w:jc w:val="both"/>
        <w:rPr>
          <w:rFonts w:ascii="Arial" w:hAnsi="Arial"/>
          <w:sz w:val="22"/>
          <w:szCs w:val="22"/>
        </w:rPr>
      </w:pPr>
      <w:r w:rsidRPr="003E5ED2">
        <w:rPr>
          <w:rFonts w:ascii="Arial" w:hAnsi="Arial"/>
          <w:b/>
          <w:sz w:val="22"/>
          <w:szCs w:val="22"/>
        </w:rPr>
        <w:t>U</w:t>
      </w:r>
      <w:r w:rsidR="00DD7D01" w:rsidRPr="003E5ED2">
        <w:rPr>
          <w:rFonts w:ascii="Arial" w:hAnsi="Arial"/>
          <w:b/>
          <w:sz w:val="22"/>
          <w:szCs w:val="22"/>
        </w:rPr>
        <w:t>kupni prihodi i primici (X678</w:t>
      </w:r>
      <w:r w:rsidRPr="003E5ED2">
        <w:rPr>
          <w:rFonts w:ascii="Arial" w:hAnsi="Arial"/>
          <w:b/>
          <w:sz w:val="22"/>
          <w:szCs w:val="22"/>
        </w:rPr>
        <w:t>)</w:t>
      </w:r>
      <w:r w:rsidRPr="003E5ED2">
        <w:rPr>
          <w:rFonts w:ascii="Arial" w:hAnsi="Arial"/>
          <w:sz w:val="22"/>
          <w:szCs w:val="22"/>
        </w:rPr>
        <w:t xml:space="preserve"> ostvareni su u izvještajnom razdoblju u iznosu od </w:t>
      </w:r>
      <w:r w:rsidR="0043314B" w:rsidRPr="003E5ED2">
        <w:rPr>
          <w:rFonts w:ascii="Arial" w:hAnsi="Arial"/>
          <w:sz w:val="22"/>
          <w:szCs w:val="22"/>
        </w:rPr>
        <w:t>143.526.855,32</w:t>
      </w:r>
      <w:r w:rsidR="00E76E2A" w:rsidRPr="003E5ED2">
        <w:rPr>
          <w:rFonts w:ascii="Arial" w:hAnsi="Arial"/>
          <w:sz w:val="22"/>
          <w:szCs w:val="22"/>
        </w:rPr>
        <w:t xml:space="preserve"> </w:t>
      </w:r>
      <w:r w:rsidR="001A622B" w:rsidRPr="003E5ED2">
        <w:rPr>
          <w:rFonts w:ascii="Arial" w:hAnsi="Arial"/>
          <w:sz w:val="22"/>
          <w:szCs w:val="22"/>
        </w:rPr>
        <w:t>eura</w:t>
      </w:r>
      <w:r w:rsidR="00692D03" w:rsidRPr="003E5ED2">
        <w:rPr>
          <w:rFonts w:ascii="Arial" w:hAnsi="Arial"/>
          <w:sz w:val="22"/>
          <w:szCs w:val="22"/>
        </w:rPr>
        <w:t>,</w:t>
      </w:r>
      <w:r w:rsidR="001A622B" w:rsidRPr="003E5ED2">
        <w:rPr>
          <w:rFonts w:ascii="Arial" w:hAnsi="Arial"/>
          <w:sz w:val="22"/>
          <w:szCs w:val="22"/>
        </w:rPr>
        <w:t xml:space="preserve"> </w:t>
      </w:r>
      <w:r w:rsidR="0043314B" w:rsidRPr="003E5ED2">
        <w:rPr>
          <w:rFonts w:ascii="Arial" w:hAnsi="Arial"/>
          <w:sz w:val="22"/>
          <w:szCs w:val="22"/>
        </w:rPr>
        <w:t>6,1</w:t>
      </w:r>
      <w:r w:rsidR="00E76E2A" w:rsidRPr="003E5ED2">
        <w:rPr>
          <w:rFonts w:ascii="Arial" w:hAnsi="Arial"/>
          <w:sz w:val="22"/>
          <w:szCs w:val="22"/>
        </w:rPr>
        <w:t xml:space="preserve">% </w:t>
      </w:r>
      <w:r w:rsidR="00692D03" w:rsidRPr="003E5ED2">
        <w:rPr>
          <w:rFonts w:ascii="Arial" w:hAnsi="Arial"/>
          <w:sz w:val="22"/>
          <w:szCs w:val="22"/>
        </w:rPr>
        <w:t xml:space="preserve">ili apsolutno iskazano, </w:t>
      </w:r>
      <w:r w:rsidR="0043314B" w:rsidRPr="003E5ED2">
        <w:rPr>
          <w:rFonts w:ascii="Arial" w:hAnsi="Arial"/>
          <w:sz w:val="22"/>
          <w:szCs w:val="22"/>
        </w:rPr>
        <w:t>8.201.696,65</w:t>
      </w:r>
      <w:r w:rsidR="00692D03" w:rsidRPr="003E5ED2">
        <w:rPr>
          <w:rFonts w:ascii="Arial" w:hAnsi="Arial"/>
          <w:sz w:val="22"/>
          <w:szCs w:val="22"/>
        </w:rPr>
        <w:t xml:space="preserve"> </w:t>
      </w:r>
      <w:r w:rsidR="001A622B" w:rsidRPr="003E5ED2">
        <w:rPr>
          <w:rFonts w:ascii="Arial" w:hAnsi="Arial"/>
          <w:sz w:val="22"/>
          <w:szCs w:val="22"/>
        </w:rPr>
        <w:t>eura</w:t>
      </w:r>
      <w:r w:rsidR="00692D03" w:rsidRPr="003E5ED2">
        <w:rPr>
          <w:rFonts w:ascii="Arial" w:hAnsi="Arial"/>
          <w:sz w:val="22"/>
          <w:szCs w:val="22"/>
        </w:rPr>
        <w:t xml:space="preserve"> </w:t>
      </w:r>
      <w:r w:rsidR="00DD7D01" w:rsidRPr="003E5ED2">
        <w:rPr>
          <w:rFonts w:ascii="Arial" w:hAnsi="Arial"/>
          <w:sz w:val="22"/>
          <w:szCs w:val="22"/>
        </w:rPr>
        <w:t>više</w:t>
      </w:r>
      <w:r w:rsidRPr="003E5ED2">
        <w:rPr>
          <w:rFonts w:ascii="Arial" w:hAnsi="Arial"/>
          <w:sz w:val="22"/>
          <w:szCs w:val="22"/>
        </w:rPr>
        <w:t xml:space="preserve"> u odnosu na ostvarenje u is</w:t>
      </w:r>
      <w:r w:rsidR="00692D03" w:rsidRPr="003E5ED2">
        <w:rPr>
          <w:rFonts w:ascii="Arial" w:hAnsi="Arial"/>
          <w:sz w:val="22"/>
          <w:szCs w:val="22"/>
        </w:rPr>
        <w:t>tom razdoblju prethodne godine.</w:t>
      </w:r>
      <w:r w:rsidRPr="003E5ED2">
        <w:rPr>
          <w:rFonts w:ascii="Arial" w:hAnsi="Arial"/>
          <w:sz w:val="22"/>
          <w:szCs w:val="22"/>
        </w:rPr>
        <w:t xml:space="preserve"> </w:t>
      </w:r>
      <w:r w:rsidR="00911EC4" w:rsidRPr="003E5ED2">
        <w:rPr>
          <w:rFonts w:ascii="Arial" w:hAnsi="Arial"/>
          <w:sz w:val="22"/>
          <w:szCs w:val="22"/>
        </w:rPr>
        <w:t xml:space="preserve">Prihodi poslovanja bilježe rast od </w:t>
      </w:r>
      <w:r w:rsidR="0043314B" w:rsidRPr="003E5ED2">
        <w:rPr>
          <w:rFonts w:ascii="Arial" w:hAnsi="Arial"/>
          <w:sz w:val="22"/>
          <w:szCs w:val="22"/>
        </w:rPr>
        <w:t>12,6</w:t>
      </w:r>
      <w:r w:rsidR="00911EC4" w:rsidRPr="003E5ED2">
        <w:rPr>
          <w:rFonts w:ascii="Arial" w:hAnsi="Arial"/>
          <w:sz w:val="22"/>
          <w:szCs w:val="22"/>
        </w:rPr>
        <w:t xml:space="preserve">%, </w:t>
      </w:r>
      <w:r w:rsidR="00EA2C08" w:rsidRPr="003E5ED2">
        <w:rPr>
          <w:rFonts w:ascii="Arial" w:hAnsi="Arial"/>
          <w:sz w:val="22"/>
          <w:szCs w:val="22"/>
        </w:rPr>
        <w:t>prihodi od prodaje nefinancijske imovine</w:t>
      </w:r>
      <w:r w:rsidR="001441C4" w:rsidRPr="003E5ED2">
        <w:rPr>
          <w:rFonts w:ascii="Arial" w:hAnsi="Arial"/>
          <w:sz w:val="22"/>
          <w:szCs w:val="22"/>
        </w:rPr>
        <w:t xml:space="preserve"> rast</w:t>
      </w:r>
      <w:r w:rsidR="002321E9" w:rsidRPr="003E5ED2">
        <w:rPr>
          <w:rFonts w:ascii="Arial" w:hAnsi="Arial"/>
          <w:sz w:val="22"/>
          <w:szCs w:val="22"/>
        </w:rPr>
        <w:t xml:space="preserve"> od </w:t>
      </w:r>
      <w:r w:rsidR="0043314B" w:rsidRPr="003E5ED2">
        <w:rPr>
          <w:rFonts w:ascii="Arial" w:hAnsi="Arial"/>
          <w:sz w:val="22"/>
          <w:szCs w:val="22"/>
        </w:rPr>
        <w:t>22,8</w:t>
      </w:r>
      <w:r w:rsidR="001441C4" w:rsidRPr="003E5ED2">
        <w:rPr>
          <w:rFonts w:ascii="Arial" w:hAnsi="Arial"/>
          <w:sz w:val="22"/>
          <w:szCs w:val="22"/>
        </w:rPr>
        <w:t>%</w:t>
      </w:r>
      <w:r w:rsidR="00EA2C08" w:rsidRPr="003E5ED2">
        <w:rPr>
          <w:rFonts w:ascii="Arial" w:hAnsi="Arial"/>
          <w:sz w:val="22"/>
          <w:szCs w:val="22"/>
        </w:rPr>
        <w:t xml:space="preserve">, </w:t>
      </w:r>
      <w:r w:rsidR="001441C4" w:rsidRPr="003E5ED2">
        <w:rPr>
          <w:rFonts w:ascii="Arial" w:hAnsi="Arial"/>
          <w:sz w:val="22"/>
          <w:szCs w:val="22"/>
        </w:rPr>
        <w:t xml:space="preserve">dok </w:t>
      </w:r>
      <w:r w:rsidR="00EA2C08" w:rsidRPr="003E5ED2">
        <w:rPr>
          <w:rFonts w:ascii="Arial" w:hAnsi="Arial"/>
          <w:sz w:val="22"/>
          <w:szCs w:val="22"/>
        </w:rPr>
        <w:t xml:space="preserve">primici od financijske imovine i zaduživanja </w:t>
      </w:r>
      <w:r w:rsidR="001441C4" w:rsidRPr="003E5ED2">
        <w:rPr>
          <w:rFonts w:ascii="Arial" w:hAnsi="Arial"/>
          <w:sz w:val="22"/>
          <w:szCs w:val="22"/>
        </w:rPr>
        <w:t xml:space="preserve">bilježe </w:t>
      </w:r>
      <w:r w:rsidR="0043314B" w:rsidRPr="003E5ED2">
        <w:rPr>
          <w:rFonts w:ascii="Arial" w:hAnsi="Arial"/>
          <w:sz w:val="22"/>
          <w:szCs w:val="22"/>
        </w:rPr>
        <w:t>96,7</w:t>
      </w:r>
      <w:r w:rsidR="00911EC4" w:rsidRPr="003E5ED2">
        <w:rPr>
          <w:rFonts w:ascii="Arial" w:hAnsi="Arial"/>
          <w:sz w:val="22"/>
          <w:szCs w:val="22"/>
        </w:rPr>
        <w:t xml:space="preserve">% </w:t>
      </w:r>
      <w:r w:rsidR="00EA1BF8" w:rsidRPr="003E5ED2">
        <w:rPr>
          <w:rFonts w:ascii="Arial" w:hAnsi="Arial"/>
          <w:sz w:val="22"/>
          <w:szCs w:val="22"/>
        </w:rPr>
        <w:t xml:space="preserve">manje ostvarenje u </w:t>
      </w:r>
      <w:r w:rsidRPr="003E5ED2">
        <w:rPr>
          <w:rFonts w:ascii="Arial" w:hAnsi="Arial"/>
          <w:sz w:val="22"/>
          <w:szCs w:val="22"/>
        </w:rPr>
        <w:t>odnosu na i</w:t>
      </w:r>
      <w:r w:rsidR="006A7C63" w:rsidRPr="003E5ED2">
        <w:rPr>
          <w:rFonts w:ascii="Arial" w:hAnsi="Arial"/>
          <w:sz w:val="22"/>
          <w:szCs w:val="22"/>
        </w:rPr>
        <w:t>sto razdoblj</w:t>
      </w:r>
      <w:r w:rsidR="00EA1BF8" w:rsidRPr="003E5ED2">
        <w:rPr>
          <w:rFonts w:ascii="Arial" w:hAnsi="Arial"/>
          <w:sz w:val="22"/>
          <w:szCs w:val="22"/>
        </w:rPr>
        <w:t>e</w:t>
      </w:r>
      <w:r w:rsidR="006A7C63" w:rsidRPr="003E5ED2">
        <w:rPr>
          <w:rFonts w:ascii="Arial" w:hAnsi="Arial"/>
          <w:sz w:val="22"/>
          <w:szCs w:val="22"/>
        </w:rPr>
        <w:t xml:space="preserve"> prethodne godine</w:t>
      </w:r>
      <w:r w:rsidR="001441C4" w:rsidRPr="003E5ED2">
        <w:rPr>
          <w:rFonts w:ascii="Arial" w:hAnsi="Arial"/>
          <w:sz w:val="22"/>
          <w:szCs w:val="22"/>
        </w:rPr>
        <w:t>.</w:t>
      </w:r>
      <w:r w:rsidR="001B00D6" w:rsidRPr="003E5ED2">
        <w:rPr>
          <w:rFonts w:ascii="Arial" w:hAnsi="Arial"/>
          <w:sz w:val="22"/>
          <w:szCs w:val="22"/>
        </w:rPr>
        <w:t xml:space="preserve"> </w:t>
      </w:r>
    </w:p>
    <w:p w:rsidR="004240AA" w:rsidRPr="003E5ED2" w:rsidRDefault="004240AA" w:rsidP="004240AA">
      <w:pPr>
        <w:jc w:val="both"/>
        <w:rPr>
          <w:rFonts w:ascii="Arial" w:hAnsi="Arial"/>
          <w:sz w:val="22"/>
          <w:szCs w:val="22"/>
        </w:rPr>
      </w:pPr>
    </w:p>
    <w:p w:rsidR="004240AA" w:rsidRPr="003E5ED2" w:rsidRDefault="00B822D2" w:rsidP="004240AA">
      <w:pPr>
        <w:jc w:val="both"/>
        <w:rPr>
          <w:rFonts w:ascii="Arial" w:hAnsi="Arial"/>
          <w:sz w:val="22"/>
          <w:szCs w:val="22"/>
        </w:rPr>
      </w:pPr>
      <w:r w:rsidRPr="003E5ED2">
        <w:rPr>
          <w:rFonts w:ascii="Arial" w:hAnsi="Arial"/>
          <w:b/>
          <w:sz w:val="22"/>
          <w:szCs w:val="22"/>
        </w:rPr>
        <w:t>Ukupni rashodi i izdaci (Y345</w:t>
      </w:r>
      <w:r w:rsidR="000E69DA" w:rsidRPr="003E5ED2">
        <w:rPr>
          <w:rFonts w:ascii="Arial" w:hAnsi="Arial"/>
          <w:b/>
          <w:sz w:val="22"/>
          <w:szCs w:val="22"/>
        </w:rPr>
        <w:t>)</w:t>
      </w:r>
      <w:r w:rsidR="000E69DA" w:rsidRPr="003E5ED2">
        <w:rPr>
          <w:rFonts w:ascii="Arial" w:hAnsi="Arial"/>
          <w:sz w:val="22"/>
          <w:szCs w:val="22"/>
        </w:rPr>
        <w:t xml:space="preserve"> </w:t>
      </w:r>
      <w:r w:rsidR="00743AE8" w:rsidRPr="003E5ED2">
        <w:rPr>
          <w:rFonts w:ascii="Arial" w:hAnsi="Arial"/>
          <w:sz w:val="22"/>
          <w:szCs w:val="22"/>
        </w:rPr>
        <w:t xml:space="preserve">izvršeni </w:t>
      </w:r>
      <w:r w:rsidR="000E69DA" w:rsidRPr="003E5ED2">
        <w:rPr>
          <w:rFonts w:ascii="Arial" w:hAnsi="Arial"/>
          <w:sz w:val="22"/>
          <w:szCs w:val="22"/>
        </w:rPr>
        <w:t xml:space="preserve">su u razdoblju od </w:t>
      </w:r>
      <w:r w:rsidR="0043314B" w:rsidRPr="003E5ED2">
        <w:rPr>
          <w:rFonts w:ascii="Arial" w:hAnsi="Arial"/>
          <w:sz w:val="22"/>
          <w:szCs w:val="22"/>
        </w:rPr>
        <w:t>1. siječnja do 31. prosinca 2024</w:t>
      </w:r>
      <w:r w:rsidR="000E69DA" w:rsidRPr="003E5ED2">
        <w:rPr>
          <w:rFonts w:ascii="Arial" w:hAnsi="Arial"/>
          <w:sz w:val="22"/>
          <w:szCs w:val="22"/>
        </w:rPr>
        <w:t xml:space="preserve">. godine u iznosu od </w:t>
      </w:r>
      <w:r w:rsidR="00885842" w:rsidRPr="003E5ED2">
        <w:rPr>
          <w:rFonts w:ascii="Arial" w:hAnsi="Arial"/>
          <w:sz w:val="22"/>
          <w:szCs w:val="22"/>
        </w:rPr>
        <w:t>132.123.038,77</w:t>
      </w:r>
      <w:r w:rsidR="00F415FD" w:rsidRPr="003E5ED2">
        <w:rPr>
          <w:rFonts w:ascii="Arial" w:hAnsi="Arial"/>
          <w:sz w:val="22"/>
          <w:szCs w:val="22"/>
        </w:rPr>
        <w:t xml:space="preserve"> eura</w:t>
      </w:r>
      <w:r w:rsidR="002321E9" w:rsidRPr="003E5ED2">
        <w:rPr>
          <w:rFonts w:ascii="Arial" w:hAnsi="Arial"/>
          <w:sz w:val="22"/>
          <w:szCs w:val="22"/>
        </w:rPr>
        <w:t>,</w:t>
      </w:r>
      <w:r w:rsidR="000E69DA" w:rsidRPr="003E5ED2">
        <w:rPr>
          <w:rFonts w:ascii="Arial" w:hAnsi="Arial"/>
          <w:sz w:val="22"/>
          <w:szCs w:val="22"/>
        </w:rPr>
        <w:t xml:space="preserve"> za </w:t>
      </w:r>
      <w:r w:rsidR="00885842" w:rsidRPr="003E5ED2">
        <w:rPr>
          <w:rFonts w:ascii="Arial" w:hAnsi="Arial"/>
          <w:sz w:val="22"/>
          <w:szCs w:val="22"/>
        </w:rPr>
        <w:t>14.890.726,78</w:t>
      </w:r>
      <w:r w:rsidR="00BA0DDD" w:rsidRPr="003E5ED2">
        <w:rPr>
          <w:rFonts w:ascii="Arial" w:hAnsi="Arial"/>
          <w:sz w:val="22"/>
          <w:szCs w:val="22"/>
        </w:rPr>
        <w:t xml:space="preserve"> eura</w:t>
      </w:r>
      <w:r w:rsidRPr="003E5ED2">
        <w:rPr>
          <w:rFonts w:ascii="Arial" w:hAnsi="Arial"/>
          <w:sz w:val="22"/>
          <w:szCs w:val="22"/>
        </w:rPr>
        <w:t xml:space="preserve"> ili </w:t>
      </w:r>
      <w:r w:rsidR="00885842" w:rsidRPr="003E5ED2">
        <w:rPr>
          <w:rFonts w:ascii="Arial" w:hAnsi="Arial"/>
          <w:sz w:val="22"/>
          <w:szCs w:val="22"/>
        </w:rPr>
        <w:t>12,7</w:t>
      </w:r>
      <w:r w:rsidR="000E69DA" w:rsidRPr="003E5ED2">
        <w:rPr>
          <w:rFonts w:ascii="Arial" w:hAnsi="Arial"/>
          <w:sz w:val="22"/>
          <w:szCs w:val="22"/>
        </w:rPr>
        <w:t>%</w:t>
      </w:r>
      <w:r w:rsidR="00943E30" w:rsidRPr="003E5ED2">
        <w:rPr>
          <w:rFonts w:ascii="Arial" w:hAnsi="Arial"/>
          <w:sz w:val="22"/>
          <w:szCs w:val="22"/>
        </w:rPr>
        <w:t xml:space="preserve"> više</w:t>
      </w:r>
      <w:r w:rsidR="000F3EA0" w:rsidRPr="003E5ED2">
        <w:rPr>
          <w:rFonts w:ascii="Arial" w:hAnsi="Arial"/>
          <w:sz w:val="22"/>
          <w:szCs w:val="22"/>
        </w:rPr>
        <w:t xml:space="preserve"> u odnosu na isto razdoblje prethodne godine</w:t>
      </w:r>
      <w:r w:rsidR="000E69DA" w:rsidRPr="003E5ED2">
        <w:rPr>
          <w:rFonts w:ascii="Arial" w:hAnsi="Arial"/>
          <w:sz w:val="22"/>
          <w:szCs w:val="22"/>
        </w:rPr>
        <w:t>. U strukturi ostvarenja ukupnih rasho</w:t>
      </w:r>
      <w:r w:rsidR="00D021C7" w:rsidRPr="003E5ED2">
        <w:rPr>
          <w:rFonts w:ascii="Arial" w:hAnsi="Arial"/>
          <w:sz w:val="22"/>
          <w:szCs w:val="22"/>
        </w:rPr>
        <w:t xml:space="preserve">da i izdataka rast je zabilježen kod </w:t>
      </w:r>
      <w:r w:rsidRPr="003E5ED2">
        <w:rPr>
          <w:rFonts w:ascii="Arial" w:hAnsi="Arial"/>
          <w:sz w:val="22"/>
          <w:szCs w:val="22"/>
        </w:rPr>
        <w:t xml:space="preserve">rashoda poslovanja </w:t>
      </w:r>
      <w:r w:rsidR="00885842" w:rsidRPr="003E5ED2">
        <w:rPr>
          <w:rFonts w:ascii="Arial" w:hAnsi="Arial"/>
          <w:sz w:val="22"/>
          <w:szCs w:val="22"/>
        </w:rPr>
        <w:t>24,1% dok rashodi</w:t>
      </w:r>
      <w:r w:rsidR="001441C4" w:rsidRPr="003E5ED2">
        <w:rPr>
          <w:rFonts w:ascii="Arial" w:hAnsi="Arial"/>
          <w:sz w:val="22"/>
          <w:szCs w:val="22"/>
        </w:rPr>
        <w:t xml:space="preserve"> za nabavu nefinancijske imovine</w:t>
      </w:r>
      <w:r w:rsidR="00885842" w:rsidRPr="003E5ED2">
        <w:rPr>
          <w:rFonts w:ascii="Arial" w:hAnsi="Arial"/>
          <w:sz w:val="22"/>
          <w:szCs w:val="22"/>
        </w:rPr>
        <w:t xml:space="preserve"> bilježe pad 30,4</w:t>
      </w:r>
      <w:r w:rsidR="00BA0DDD" w:rsidRPr="003E5ED2">
        <w:rPr>
          <w:rFonts w:ascii="Arial" w:hAnsi="Arial"/>
          <w:sz w:val="22"/>
          <w:szCs w:val="22"/>
        </w:rPr>
        <w:t>%</w:t>
      </w:r>
      <w:r w:rsidR="000F3EA0" w:rsidRPr="003E5ED2">
        <w:rPr>
          <w:rFonts w:ascii="Arial" w:hAnsi="Arial"/>
          <w:sz w:val="22"/>
          <w:szCs w:val="22"/>
        </w:rPr>
        <w:t xml:space="preserve"> </w:t>
      </w:r>
      <w:r w:rsidR="00885842" w:rsidRPr="003E5ED2">
        <w:rPr>
          <w:rFonts w:ascii="Arial" w:hAnsi="Arial"/>
          <w:sz w:val="22"/>
          <w:szCs w:val="22"/>
        </w:rPr>
        <w:t xml:space="preserve">kao i </w:t>
      </w:r>
      <w:r w:rsidR="000F3EA0" w:rsidRPr="003E5ED2">
        <w:rPr>
          <w:rFonts w:ascii="Arial" w:hAnsi="Arial"/>
          <w:sz w:val="22"/>
          <w:szCs w:val="22"/>
        </w:rPr>
        <w:t>i</w:t>
      </w:r>
      <w:r w:rsidR="00D021C7" w:rsidRPr="003E5ED2">
        <w:rPr>
          <w:rFonts w:ascii="Arial" w:hAnsi="Arial"/>
          <w:sz w:val="22"/>
          <w:szCs w:val="22"/>
        </w:rPr>
        <w:t>zda</w:t>
      </w:r>
      <w:r w:rsidR="00BA0DDD" w:rsidRPr="003E5ED2">
        <w:rPr>
          <w:rFonts w:ascii="Arial" w:hAnsi="Arial"/>
          <w:sz w:val="22"/>
          <w:szCs w:val="22"/>
        </w:rPr>
        <w:t>ci</w:t>
      </w:r>
      <w:r w:rsidRPr="003E5ED2">
        <w:rPr>
          <w:rFonts w:ascii="Arial" w:hAnsi="Arial"/>
          <w:sz w:val="22"/>
          <w:szCs w:val="22"/>
        </w:rPr>
        <w:t xml:space="preserve"> za financijsku imovinu</w:t>
      </w:r>
      <w:r w:rsidR="00AF3DED" w:rsidRPr="003E5ED2">
        <w:rPr>
          <w:rFonts w:ascii="Arial" w:hAnsi="Arial"/>
          <w:sz w:val="22"/>
          <w:szCs w:val="22"/>
        </w:rPr>
        <w:t xml:space="preserve"> i otplate zajmova</w:t>
      </w:r>
      <w:r w:rsidR="000F3EA0" w:rsidRPr="003E5ED2">
        <w:rPr>
          <w:rFonts w:ascii="Arial" w:hAnsi="Arial"/>
          <w:sz w:val="22"/>
          <w:szCs w:val="22"/>
        </w:rPr>
        <w:t xml:space="preserve"> </w:t>
      </w:r>
      <w:r w:rsidR="00885842" w:rsidRPr="003E5ED2">
        <w:rPr>
          <w:rFonts w:ascii="Arial" w:hAnsi="Arial"/>
          <w:sz w:val="22"/>
          <w:szCs w:val="22"/>
        </w:rPr>
        <w:t>24,2%.</w:t>
      </w:r>
    </w:p>
    <w:p w:rsidR="004240AA" w:rsidRPr="003E5ED2" w:rsidRDefault="004240AA" w:rsidP="004240AA">
      <w:pPr>
        <w:jc w:val="both"/>
        <w:rPr>
          <w:rFonts w:ascii="Arial" w:hAnsi="Arial"/>
          <w:sz w:val="22"/>
          <w:szCs w:val="22"/>
        </w:rPr>
      </w:pPr>
    </w:p>
    <w:p w:rsidR="00812C19" w:rsidRPr="003E5ED2" w:rsidRDefault="00E76E2A" w:rsidP="00525A5D">
      <w:pPr>
        <w:jc w:val="both"/>
        <w:rPr>
          <w:rFonts w:ascii="Arial" w:hAnsi="Arial"/>
          <w:sz w:val="22"/>
          <w:szCs w:val="22"/>
        </w:rPr>
      </w:pPr>
      <w:r w:rsidRPr="003E5ED2">
        <w:rPr>
          <w:rFonts w:ascii="Arial" w:hAnsi="Arial"/>
          <w:sz w:val="22"/>
          <w:szCs w:val="22"/>
        </w:rPr>
        <w:t>U nastavku je</w:t>
      </w:r>
      <w:r w:rsidR="000E69DA" w:rsidRPr="003E5ED2">
        <w:rPr>
          <w:rFonts w:ascii="Arial" w:hAnsi="Arial"/>
          <w:sz w:val="22"/>
          <w:szCs w:val="22"/>
        </w:rPr>
        <w:t xml:space="preserve"> tabelarno prikazana usporedba ostvarenja ukupnih prihoda i primitaka te ukupnih rashoda i izdataka Grada Rijeke u razdoblju zadnje dvije izvještajne godine.</w:t>
      </w:r>
    </w:p>
    <w:p w:rsidR="00DB3A80" w:rsidRPr="003E5ED2" w:rsidRDefault="00DB3A80" w:rsidP="00812C19">
      <w:pPr>
        <w:jc w:val="both"/>
        <w:rPr>
          <w:rFonts w:ascii="Arial" w:hAnsi="Arial" w:cs="Arial"/>
          <w:i/>
          <w:noProof/>
        </w:rPr>
      </w:pPr>
    </w:p>
    <w:p w:rsidR="00DB63C5" w:rsidRPr="003E5ED2" w:rsidRDefault="00DB63C5" w:rsidP="00812C19">
      <w:pPr>
        <w:jc w:val="both"/>
        <w:rPr>
          <w:rFonts w:ascii="Arial" w:hAnsi="Arial" w:cs="Arial"/>
          <w:i/>
          <w:noProof/>
        </w:rPr>
      </w:pPr>
    </w:p>
    <w:p w:rsidR="00812C19" w:rsidRPr="003E5ED2" w:rsidRDefault="00812C19" w:rsidP="00812C19">
      <w:pPr>
        <w:jc w:val="both"/>
        <w:rPr>
          <w:rFonts w:ascii="Arial" w:hAnsi="Arial" w:cs="Arial"/>
          <w:i/>
          <w:noProof/>
        </w:rPr>
      </w:pPr>
      <w:r w:rsidRPr="003E5ED2">
        <w:rPr>
          <w:rFonts w:ascii="Arial" w:hAnsi="Arial"/>
        </w:rPr>
        <w:t xml:space="preserve">Tablica 5. Ukupni prihodi </w:t>
      </w:r>
      <w:r w:rsidR="00B41F55" w:rsidRPr="003E5ED2">
        <w:rPr>
          <w:rFonts w:ascii="Arial" w:hAnsi="Arial"/>
        </w:rPr>
        <w:t>i primici, rashodi i izdaci 2023</w:t>
      </w:r>
      <w:r w:rsidRPr="003E5ED2">
        <w:rPr>
          <w:rFonts w:ascii="Arial" w:hAnsi="Arial"/>
        </w:rPr>
        <w:t xml:space="preserve">. i </w:t>
      </w:r>
      <w:r w:rsidR="00B41F55" w:rsidRPr="003E5ED2">
        <w:rPr>
          <w:rFonts w:ascii="Arial" w:hAnsi="Arial"/>
        </w:rPr>
        <w:t>2024</w:t>
      </w:r>
      <w:r w:rsidRPr="003E5ED2">
        <w:rPr>
          <w:rFonts w:ascii="Arial" w:hAnsi="Arial"/>
        </w:rPr>
        <w:t xml:space="preserve">. godine </w:t>
      </w:r>
      <w:r w:rsidRPr="003E5ED2">
        <w:rPr>
          <w:rFonts w:ascii="Arial" w:hAnsi="Arial"/>
        </w:rPr>
        <w:tab/>
      </w:r>
    </w:p>
    <w:p w:rsidR="00812C19" w:rsidRPr="003E5ED2" w:rsidRDefault="00A1141D" w:rsidP="00812C19">
      <w:pPr>
        <w:jc w:val="both"/>
        <w:rPr>
          <w:rFonts w:ascii="Arial" w:hAnsi="Arial" w:cs="Arial"/>
          <w:i/>
          <w:noProof/>
        </w:rPr>
      </w:pPr>
      <w:r w:rsidRPr="003E5ED2">
        <w:rPr>
          <w:rFonts w:ascii="Arial" w:hAnsi="Arial" w:cs="Arial"/>
          <w:i/>
          <w:noProof/>
        </w:rPr>
        <w:t xml:space="preserve">         </w:t>
      </w:r>
      <w:r w:rsidR="00AA070D" w:rsidRPr="003E5ED2">
        <w:rPr>
          <w:rFonts w:ascii="Arial" w:hAnsi="Arial" w:cs="Arial"/>
          <w:i/>
          <w:noProof/>
        </w:rPr>
        <w:t xml:space="preserve">                                                                                                                                                            u </w:t>
      </w:r>
      <w:r w:rsidRPr="003E5ED2">
        <w:rPr>
          <w:rFonts w:ascii="Arial" w:hAnsi="Arial" w:cs="Arial"/>
          <w:i/>
          <w:noProof/>
        </w:rPr>
        <w:t>EUR</w:t>
      </w:r>
    </w:p>
    <w:tbl>
      <w:tblPr>
        <w:tblW w:w="9926" w:type="dxa"/>
        <w:tblInd w:w="11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4A0" w:firstRow="1" w:lastRow="0" w:firstColumn="1" w:lastColumn="0" w:noHBand="0" w:noVBand="1"/>
      </w:tblPr>
      <w:tblGrid>
        <w:gridCol w:w="517"/>
        <w:gridCol w:w="3212"/>
        <w:gridCol w:w="1107"/>
        <w:gridCol w:w="1508"/>
        <w:gridCol w:w="1468"/>
        <w:gridCol w:w="667"/>
        <w:gridCol w:w="1447"/>
      </w:tblGrid>
      <w:tr w:rsidR="00812C19" w:rsidRPr="003E5ED2" w:rsidTr="00C9621E">
        <w:trPr>
          <w:cantSplit/>
          <w:trHeight w:val="1017"/>
        </w:trPr>
        <w:tc>
          <w:tcPr>
            <w:tcW w:w="517" w:type="dxa"/>
            <w:tcBorders>
              <w:top w:val="single" w:sz="12" w:space="0" w:color="auto"/>
              <w:left w:val="single" w:sz="12" w:space="0" w:color="auto"/>
              <w:bottom w:val="single" w:sz="8" w:space="0" w:color="auto"/>
            </w:tcBorders>
            <w:shd w:val="clear" w:color="auto" w:fill="DDD9C3"/>
            <w:textDirection w:val="tbRl"/>
            <w:vAlign w:val="center"/>
            <w:hideMark/>
          </w:tcPr>
          <w:p w:rsidR="00812C19" w:rsidRPr="003E5ED2" w:rsidRDefault="00812C19" w:rsidP="00BC6EB2">
            <w:pPr>
              <w:ind w:left="113" w:right="113"/>
              <w:jc w:val="center"/>
              <w:rPr>
                <w:rFonts w:ascii="Arial" w:hAnsi="Arial" w:cs="Arial"/>
                <w:noProof/>
                <w:sz w:val="18"/>
                <w:szCs w:val="18"/>
              </w:rPr>
            </w:pPr>
            <w:r w:rsidRPr="003E5ED2">
              <w:rPr>
                <w:rFonts w:ascii="Arial" w:hAnsi="Arial" w:cs="Arial"/>
                <w:noProof/>
                <w:sz w:val="18"/>
                <w:szCs w:val="18"/>
              </w:rPr>
              <w:t>Razred</w:t>
            </w:r>
          </w:p>
        </w:tc>
        <w:tc>
          <w:tcPr>
            <w:tcW w:w="3212" w:type="dxa"/>
            <w:tcBorders>
              <w:top w:val="single" w:sz="12" w:space="0" w:color="auto"/>
              <w:bottom w:val="single" w:sz="8" w:space="0" w:color="auto"/>
            </w:tcBorders>
            <w:shd w:val="clear" w:color="auto" w:fill="DDD9C3"/>
            <w:noWrap/>
            <w:vAlign w:val="bottom"/>
            <w:hideMark/>
          </w:tcPr>
          <w:p w:rsidR="00812C19" w:rsidRPr="003E5ED2" w:rsidRDefault="00812C19" w:rsidP="00BC6EB2">
            <w:pPr>
              <w:spacing w:line="480" w:lineRule="auto"/>
              <w:jc w:val="center"/>
              <w:rPr>
                <w:rFonts w:ascii="Arial" w:hAnsi="Arial" w:cs="Arial"/>
                <w:noProof/>
                <w:sz w:val="18"/>
                <w:szCs w:val="18"/>
              </w:rPr>
            </w:pPr>
            <w:r w:rsidRPr="003E5ED2">
              <w:rPr>
                <w:rFonts w:ascii="Arial" w:hAnsi="Arial" w:cs="Arial"/>
                <w:noProof/>
                <w:sz w:val="18"/>
                <w:szCs w:val="18"/>
              </w:rPr>
              <w:t>O  P  I  S</w:t>
            </w:r>
          </w:p>
        </w:tc>
        <w:tc>
          <w:tcPr>
            <w:tcW w:w="1107" w:type="dxa"/>
            <w:tcBorders>
              <w:top w:val="single" w:sz="12" w:space="0" w:color="auto"/>
              <w:bottom w:val="single" w:sz="8" w:space="0" w:color="auto"/>
            </w:tcBorders>
            <w:shd w:val="clear" w:color="auto" w:fill="DDD9C3"/>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Šifra</w:t>
            </w:r>
          </w:p>
        </w:tc>
        <w:tc>
          <w:tcPr>
            <w:tcW w:w="1508" w:type="dxa"/>
            <w:tcBorders>
              <w:top w:val="single" w:sz="12" w:space="0" w:color="auto"/>
              <w:bottom w:val="single" w:sz="8" w:space="0" w:color="auto"/>
            </w:tcBorders>
            <w:shd w:val="clear" w:color="auto" w:fill="DDD9C3"/>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 xml:space="preserve">Ostvareno </w:t>
            </w:r>
          </w:p>
          <w:p w:rsidR="00812C19" w:rsidRPr="003E5ED2" w:rsidRDefault="00856582" w:rsidP="00BC6EB2">
            <w:pPr>
              <w:jc w:val="center"/>
              <w:rPr>
                <w:rFonts w:ascii="Arial" w:hAnsi="Arial" w:cs="Arial"/>
                <w:noProof/>
                <w:sz w:val="18"/>
                <w:szCs w:val="18"/>
              </w:rPr>
            </w:pPr>
            <w:r w:rsidRPr="003E5ED2">
              <w:rPr>
                <w:rFonts w:ascii="Arial" w:hAnsi="Arial" w:cs="Arial"/>
                <w:noProof/>
                <w:sz w:val="18"/>
                <w:szCs w:val="18"/>
              </w:rPr>
              <w:t>I-XII</w:t>
            </w:r>
            <w:r w:rsidR="00B41F55" w:rsidRPr="003E5ED2">
              <w:rPr>
                <w:rFonts w:ascii="Arial" w:hAnsi="Arial" w:cs="Arial"/>
                <w:noProof/>
                <w:sz w:val="18"/>
                <w:szCs w:val="18"/>
              </w:rPr>
              <w:t xml:space="preserve"> 2023</w:t>
            </w:r>
            <w:r w:rsidR="00812C19" w:rsidRPr="003E5ED2">
              <w:rPr>
                <w:rFonts w:ascii="Arial" w:hAnsi="Arial" w:cs="Arial"/>
                <w:noProof/>
                <w:sz w:val="18"/>
                <w:szCs w:val="18"/>
              </w:rPr>
              <w:t xml:space="preserve">. </w:t>
            </w:r>
          </w:p>
        </w:tc>
        <w:tc>
          <w:tcPr>
            <w:tcW w:w="1468" w:type="dxa"/>
            <w:tcBorders>
              <w:top w:val="single" w:sz="12" w:space="0" w:color="auto"/>
              <w:bottom w:val="single" w:sz="8" w:space="0" w:color="auto"/>
            </w:tcBorders>
            <w:shd w:val="clear" w:color="auto" w:fill="DDD9C3"/>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 xml:space="preserve">Ostvareno </w:t>
            </w:r>
          </w:p>
          <w:p w:rsidR="00812C19" w:rsidRPr="003E5ED2" w:rsidRDefault="00856582" w:rsidP="00BC6EB2">
            <w:pPr>
              <w:jc w:val="center"/>
              <w:rPr>
                <w:rFonts w:ascii="Arial" w:hAnsi="Arial" w:cs="Arial"/>
                <w:noProof/>
                <w:sz w:val="18"/>
                <w:szCs w:val="18"/>
              </w:rPr>
            </w:pPr>
            <w:r w:rsidRPr="003E5ED2">
              <w:rPr>
                <w:rFonts w:ascii="Arial" w:hAnsi="Arial" w:cs="Arial"/>
                <w:noProof/>
                <w:sz w:val="18"/>
                <w:szCs w:val="18"/>
              </w:rPr>
              <w:t>I-XII</w:t>
            </w:r>
            <w:r w:rsidR="007D2AD1" w:rsidRPr="003E5ED2">
              <w:rPr>
                <w:rFonts w:ascii="Arial" w:hAnsi="Arial" w:cs="Arial"/>
                <w:noProof/>
                <w:sz w:val="18"/>
                <w:szCs w:val="18"/>
              </w:rPr>
              <w:t xml:space="preserve"> 2024</w:t>
            </w:r>
            <w:r w:rsidR="00812C19" w:rsidRPr="003E5ED2">
              <w:rPr>
                <w:rFonts w:ascii="Arial" w:hAnsi="Arial" w:cs="Arial"/>
                <w:noProof/>
                <w:sz w:val="18"/>
                <w:szCs w:val="18"/>
              </w:rPr>
              <w:t xml:space="preserve">. </w:t>
            </w:r>
          </w:p>
        </w:tc>
        <w:tc>
          <w:tcPr>
            <w:tcW w:w="667" w:type="dxa"/>
            <w:tcBorders>
              <w:top w:val="single" w:sz="12" w:space="0" w:color="auto"/>
              <w:bottom w:val="single" w:sz="8" w:space="0" w:color="auto"/>
            </w:tcBorders>
            <w:shd w:val="clear" w:color="auto" w:fill="DDD9C3"/>
            <w:textDirection w:val="tbRl"/>
            <w:vAlign w:val="center"/>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INDEKS</w:t>
            </w:r>
          </w:p>
        </w:tc>
        <w:tc>
          <w:tcPr>
            <w:tcW w:w="1447" w:type="dxa"/>
            <w:tcBorders>
              <w:top w:val="single" w:sz="12" w:space="0" w:color="auto"/>
              <w:bottom w:val="single" w:sz="8" w:space="0" w:color="auto"/>
              <w:right w:val="single" w:sz="12" w:space="0" w:color="auto"/>
            </w:tcBorders>
            <w:shd w:val="clear" w:color="auto" w:fill="DDD9C3"/>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 xml:space="preserve"> Poveć./ smanj.            (5-4)</w:t>
            </w:r>
          </w:p>
        </w:tc>
      </w:tr>
      <w:tr w:rsidR="00812C19" w:rsidRPr="003E5ED2" w:rsidTr="00C9621E">
        <w:trPr>
          <w:trHeight w:val="197"/>
        </w:trPr>
        <w:tc>
          <w:tcPr>
            <w:tcW w:w="517" w:type="dxa"/>
            <w:tcBorders>
              <w:top w:val="single" w:sz="8" w:space="0" w:color="auto"/>
              <w:left w:val="single" w:sz="12" w:space="0" w:color="auto"/>
              <w:bottom w:val="single" w:sz="8" w:space="0" w:color="auto"/>
            </w:tcBorders>
            <w:shd w:val="clear" w:color="auto" w:fill="DDD9C3"/>
            <w:noWrap/>
            <w:vAlign w:val="bottom"/>
            <w:hideMark/>
          </w:tcPr>
          <w:p w:rsidR="00812C19" w:rsidRPr="003E5ED2" w:rsidRDefault="00812C19" w:rsidP="00BC6EB2">
            <w:pPr>
              <w:jc w:val="center"/>
              <w:rPr>
                <w:rFonts w:ascii="Arial" w:hAnsi="Arial" w:cs="Arial"/>
                <w:i/>
                <w:iCs/>
                <w:noProof/>
                <w:sz w:val="16"/>
                <w:szCs w:val="16"/>
              </w:rPr>
            </w:pPr>
            <w:r w:rsidRPr="003E5ED2">
              <w:rPr>
                <w:rFonts w:ascii="Arial" w:hAnsi="Arial" w:cs="Arial"/>
                <w:i/>
                <w:iCs/>
                <w:noProof/>
                <w:sz w:val="16"/>
                <w:szCs w:val="16"/>
              </w:rPr>
              <w:t>1</w:t>
            </w:r>
          </w:p>
        </w:tc>
        <w:tc>
          <w:tcPr>
            <w:tcW w:w="3212" w:type="dxa"/>
            <w:tcBorders>
              <w:top w:val="single" w:sz="8" w:space="0" w:color="auto"/>
            </w:tcBorders>
            <w:shd w:val="clear" w:color="auto" w:fill="DDD9C3"/>
            <w:noWrap/>
            <w:vAlign w:val="bottom"/>
            <w:hideMark/>
          </w:tcPr>
          <w:p w:rsidR="00812C19" w:rsidRPr="003E5ED2" w:rsidRDefault="00812C19" w:rsidP="00BC6EB2">
            <w:pPr>
              <w:jc w:val="center"/>
              <w:rPr>
                <w:rFonts w:ascii="Arial" w:hAnsi="Arial" w:cs="Arial"/>
                <w:i/>
                <w:iCs/>
                <w:noProof/>
                <w:sz w:val="16"/>
                <w:szCs w:val="16"/>
              </w:rPr>
            </w:pPr>
            <w:r w:rsidRPr="003E5ED2">
              <w:rPr>
                <w:rFonts w:ascii="Arial" w:hAnsi="Arial" w:cs="Arial"/>
                <w:i/>
                <w:iCs/>
                <w:noProof/>
                <w:sz w:val="16"/>
                <w:szCs w:val="16"/>
              </w:rPr>
              <w:t>2</w:t>
            </w:r>
          </w:p>
        </w:tc>
        <w:tc>
          <w:tcPr>
            <w:tcW w:w="1107" w:type="dxa"/>
            <w:tcBorders>
              <w:top w:val="single" w:sz="8" w:space="0" w:color="auto"/>
            </w:tcBorders>
            <w:shd w:val="clear" w:color="auto" w:fill="DDD9C3"/>
            <w:noWrap/>
            <w:vAlign w:val="bottom"/>
            <w:hideMark/>
          </w:tcPr>
          <w:p w:rsidR="00812C19" w:rsidRPr="003E5ED2" w:rsidRDefault="00812C19" w:rsidP="00BC6EB2">
            <w:pPr>
              <w:jc w:val="center"/>
              <w:rPr>
                <w:rFonts w:ascii="Arial" w:hAnsi="Arial" w:cs="Arial"/>
                <w:i/>
                <w:iCs/>
                <w:noProof/>
                <w:sz w:val="16"/>
                <w:szCs w:val="16"/>
              </w:rPr>
            </w:pPr>
            <w:r w:rsidRPr="003E5ED2">
              <w:rPr>
                <w:rFonts w:ascii="Arial" w:hAnsi="Arial" w:cs="Arial"/>
                <w:i/>
                <w:iCs/>
                <w:noProof/>
                <w:sz w:val="16"/>
                <w:szCs w:val="16"/>
              </w:rPr>
              <w:t>3</w:t>
            </w:r>
          </w:p>
        </w:tc>
        <w:tc>
          <w:tcPr>
            <w:tcW w:w="1508" w:type="dxa"/>
            <w:tcBorders>
              <w:top w:val="single" w:sz="8" w:space="0" w:color="auto"/>
            </w:tcBorders>
            <w:shd w:val="clear" w:color="auto" w:fill="DDD9C3"/>
            <w:noWrap/>
            <w:vAlign w:val="bottom"/>
            <w:hideMark/>
          </w:tcPr>
          <w:p w:rsidR="00812C19" w:rsidRPr="003E5ED2" w:rsidRDefault="00812C19" w:rsidP="00BC6EB2">
            <w:pPr>
              <w:jc w:val="center"/>
              <w:rPr>
                <w:rFonts w:ascii="Arial" w:hAnsi="Arial" w:cs="Arial"/>
                <w:i/>
                <w:iCs/>
                <w:noProof/>
                <w:sz w:val="16"/>
                <w:szCs w:val="16"/>
              </w:rPr>
            </w:pPr>
            <w:r w:rsidRPr="003E5ED2">
              <w:rPr>
                <w:rFonts w:ascii="Arial" w:hAnsi="Arial" w:cs="Arial"/>
                <w:i/>
                <w:iCs/>
                <w:noProof/>
                <w:sz w:val="16"/>
                <w:szCs w:val="16"/>
              </w:rPr>
              <w:t>4</w:t>
            </w:r>
          </w:p>
        </w:tc>
        <w:tc>
          <w:tcPr>
            <w:tcW w:w="1468" w:type="dxa"/>
            <w:tcBorders>
              <w:top w:val="single" w:sz="8" w:space="0" w:color="auto"/>
            </w:tcBorders>
            <w:shd w:val="clear" w:color="auto" w:fill="DDD9C3"/>
            <w:noWrap/>
            <w:vAlign w:val="bottom"/>
            <w:hideMark/>
          </w:tcPr>
          <w:p w:rsidR="00812C19" w:rsidRPr="003E5ED2" w:rsidRDefault="00812C19" w:rsidP="00BC6EB2">
            <w:pPr>
              <w:jc w:val="center"/>
              <w:rPr>
                <w:rFonts w:ascii="Arial" w:hAnsi="Arial" w:cs="Arial"/>
                <w:i/>
                <w:iCs/>
                <w:noProof/>
                <w:sz w:val="16"/>
                <w:szCs w:val="16"/>
              </w:rPr>
            </w:pPr>
            <w:r w:rsidRPr="003E5ED2">
              <w:rPr>
                <w:rFonts w:ascii="Arial" w:hAnsi="Arial" w:cs="Arial"/>
                <w:i/>
                <w:iCs/>
                <w:noProof/>
                <w:sz w:val="16"/>
                <w:szCs w:val="16"/>
              </w:rPr>
              <w:t>5</w:t>
            </w:r>
          </w:p>
        </w:tc>
        <w:tc>
          <w:tcPr>
            <w:tcW w:w="667" w:type="dxa"/>
            <w:tcBorders>
              <w:top w:val="single" w:sz="8" w:space="0" w:color="auto"/>
            </w:tcBorders>
            <w:shd w:val="clear" w:color="auto" w:fill="DDD9C3"/>
            <w:noWrap/>
            <w:vAlign w:val="bottom"/>
            <w:hideMark/>
          </w:tcPr>
          <w:p w:rsidR="00812C19" w:rsidRPr="003E5ED2" w:rsidRDefault="00812C19" w:rsidP="00BC6EB2">
            <w:pPr>
              <w:jc w:val="center"/>
              <w:rPr>
                <w:rFonts w:ascii="Arial" w:hAnsi="Arial" w:cs="Arial"/>
                <w:i/>
                <w:iCs/>
                <w:noProof/>
                <w:sz w:val="16"/>
                <w:szCs w:val="16"/>
              </w:rPr>
            </w:pPr>
            <w:r w:rsidRPr="003E5ED2">
              <w:rPr>
                <w:rFonts w:ascii="Arial" w:hAnsi="Arial" w:cs="Arial"/>
                <w:i/>
                <w:iCs/>
                <w:noProof/>
                <w:sz w:val="16"/>
                <w:szCs w:val="16"/>
              </w:rPr>
              <w:t>6</w:t>
            </w:r>
          </w:p>
        </w:tc>
        <w:tc>
          <w:tcPr>
            <w:tcW w:w="1447" w:type="dxa"/>
            <w:tcBorders>
              <w:top w:val="single" w:sz="8" w:space="0" w:color="auto"/>
              <w:bottom w:val="single" w:sz="8" w:space="0" w:color="auto"/>
              <w:right w:val="single" w:sz="12" w:space="0" w:color="auto"/>
            </w:tcBorders>
            <w:shd w:val="clear" w:color="auto" w:fill="DDD9C3"/>
            <w:noWrap/>
            <w:vAlign w:val="bottom"/>
            <w:hideMark/>
          </w:tcPr>
          <w:p w:rsidR="00812C19" w:rsidRPr="003E5ED2" w:rsidRDefault="00812C19" w:rsidP="00BC6EB2">
            <w:pPr>
              <w:jc w:val="center"/>
              <w:rPr>
                <w:rFonts w:ascii="Arial" w:hAnsi="Arial" w:cs="Arial"/>
                <w:i/>
                <w:iCs/>
                <w:noProof/>
                <w:sz w:val="16"/>
                <w:szCs w:val="16"/>
              </w:rPr>
            </w:pPr>
            <w:r w:rsidRPr="003E5ED2">
              <w:rPr>
                <w:rFonts w:ascii="Arial" w:hAnsi="Arial" w:cs="Arial"/>
                <w:i/>
                <w:iCs/>
                <w:noProof/>
                <w:sz w:val="16"/>
                <w:szCs w:val="16"/>
              </w:rPr>
              <w:t>7</w:t>
            </w:r>
          </w:p>
        </w:tc>
      </w:tr>
      <w:tr w:rsidR="00812C19" w:rsidRPr="003E5ED2" w:rsidTr="00C9621E">
        <w:trPr>
          <w:trHeight w:val="470"/>
        </w:trPr>
        <w:tc>
          <w:tcPr>
            <w:tcW w:w="517" w:type="dxa"/>
            <w:tcBorders>
              <w:top w:val="single" w:sz="8" w:space="0" w:color="auto"/>
              <w:left w:val="single" w:sz="12" w:space="0" w:color="auto"/>
              <w:bottom w:val="single" w:sz="8" w:space="0" w:color="auto"/>
            </w:tcBorders>
            <w:shd w:val="clear" w:color="auto" w:fill="auto"/>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6</w:t>
            </w:r>
          </w:p>
        </w:tc>
        <w:tc>
          <w:tcPr>
            <w:tcW w:w="3212" w:type="dxa"/>
            <w:shd w:val="clear" w:color="auto" w:fill="auto"/>
            <w:vAlign w:val="bottom"/>
            <w:hideMark/>
          </w:tcPr>
          <w:p w:rsidR="00812C19" w:rsidRPr="003E5ED2" w:rsidRDefault="00812C19" w:rsidP="00BC6EB2">
            <w:pPr>
              <w:rPr>
                <w:rFonts w:ascii="Arial" w:hAnsi="Arial" w:cs="Arial"/>
                <w:noProof/>
                <w:sz w:val="18"/>
                <w:szCs w:val="18"/>
              </w:rPr>
            </w:pPr>
            <w:r w:rsidRPr="003E5ED2">
              <w:rPr>
                <w:rFonts w:ascii="Arial" w:hAnsi="Arial" w:cs="Arial"/>
                <w:noProof/>
                <w:sz w:val="18"/>
                <w:szCs w:val="18"/>
              </w:rPr>
              <w:t>PRIHODI POSLOVANJA</w:t>
            </w:r>
          </w:p>
        </w:tc>
        <w:tc>
          <w:tcPr>
            <w:tcW w:w="1107" w:type="dxa"/>
            <w:shd w:val="clear" w:color="auto" w:fill="auto"/>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6</w:t>
            </w:r>
          </w:p>
        </w:tc>
        <w:tc>
          <w:tcPr>
            <w:tcW w:w="1508" w:type="dxa"/>
            <w:shd w:val="clear" w:color="auto" w:fill="auto"/>
            <w:noWrap/>
            <w:vAlign w:val="bottom"/>
            <w:hideMark/>
          </w:tcPr>
          <w:p w:rsidR="00812C19" w:rsidRPr="003E5ED2" w:rsidRDefault="00B41F55" w:rsidP="00BC6EB2">
            <w:pPr>
              <w:jc w:val="right"/>
              <w:rPr>
                <w:rFonts w:ascii="Arial" w:hAnsi="Arial" w:cs="Arial"/>
                <w:noProof/>
                <w:sz w:val="18"/>
                <w:szCs w:val="18"/>
              </w:rPr>
            </w:pPr>
            <w:r w:rsidRPr="003E5ED2">
              <w:rPr>
                <w:rFonts w:ascii="Arial" w:hAnsi="Arial" w:cs="Arial"/>
                <w:noProof/>
                <w:sz w:val="18"/>
                <w:szCs w:val="18"/>
              </w:rPr>
              <w:t>122.341.792,26</w:t>
            </w:r>
          </w:p>
        </w:tc>
        <w:tc>
          <w:tcPr>
            <w:tcW w:w="1468" w:type="dxa"/>
            <w:shd w:val="clear" w:color="auto" w:fill="auto"/>
            <w:noWrap/>
            <w:vAlign w:val="bottom"/>
            <w:hideMark/>
          </w:tcPr>
          <w:p w:rsidR="00812C19" w:rsidRPr="003E5ED2" w:rsidRDefault="002034A5" w:rsidP="00BC6EB2">
            <w:pPr>
              <w:jc w:val="right"/>
              <w:rPr>
                <w:rFonts w:ascii="Arial" w:hAnsi="Arial" w:cs="Arial"/>
                <w:noProof/>
                <w:sz w:val="18"/>
                <w:szCs w:val="18"/>
                <w:highlight w:val="yellow"/>
              </w:rPr>
            </w:pPr>
            <w:r w:rsidRPr="003E5ED2">
              <w:rPr>
                <w:rFonts w:ascii="Arial" w:hAnsi="Arial" w:cs="Arial"/>
                <w:noProof/>
                <w:sz w:val="18"/>
                <w:szCs w:val="18"/>
              </w:rPr>
              <w:t>137.754.229,42</w:t>
            </w:r>
          </w:p>
        </w:tc>
        <w:tc>
          <w:tcPr>
            <w:tcW w:w="667" w:type="dxa"/>
            <w:shd w:val="clear" w:color="auto" w:fill="auto"/>
            <w:noWrap/>
            <w:vAlign w:val="bottom"/>
            <w:hideMark/>
          </w:tcPr>
          <w:p w:rsidR="00812C19" w:rsidRPr="003E5ED2" w:rsidRDefault="001E4A1C" w:rsidP="00BC6EB2">
            <w:pPr>
              <w:jc w:val="right"/>
              <w:rPr>
                <w:rFonts w:ascii="Arial" w:hAnsi="Arial" w:cs="Arial"/>
                <w:noProof/>
                <w:sz w:val="18"/>
                <w:szCs w:val="18"/>
              </w:rPr>
            </w:pPr>
            <w:r w:rsidRPr="003E5ED2">
              <w:rPr>
                <w:rFonts w:ascii="Arial" w:hAnsi="Arial" w:cs="Arial"/>
                <w:noProof/>
                <w:sz w:val="18"/>
                <w:szCs w:val="18"/>
              </w:rPr>
              <w:t>112,</w:t>
            </w:r>
            <w:r w:rsidR="007D1098" w:rsidRPr="003E5ED2">
              <w:rPr>
                <w:rFonts w:ascii="Arial" w:hAnsi="Arial" w:cs="Arial"/>
                <w:noProof/>
                <w:sz w:val="18"/>
                <w:szCs w:val="18"/>
              </w:rPr>
              <w:t>6</w:t>
            </w:r>
          </w:p>
        </w:tc>
        <w:tc>
          <w:tcPr>
            <w:tcW w:w="1447" w:type="dxa"/>
            <w:tcBorders>
              <w:top w:val="single" w:sz="8" w:space="0" w:color="auto"/>
              <w:bottom w:val="single" w:sz="8" w:space="0" w:color="auto"/>
              <w:right w:val="single" w:sz="12" w:space="0" w:color="auto"/>
            </w:tcBorders>
            <w:shd w:val="clear" w:color="auto" w:fill="auto"/>
            <w:noWrap/>
            <w:vAlign w:val="bottom"/>
            <w:hideMark/>
          </w:tcPr>
          <w:p w:rsidR="00812C19" w:rsidRPr="003E5ED2" w:rsidRDefault="007D1098" w:rsidP="00210754">
            <w:pPr>
              <w:jc w:val="right"/>
              <w:rPr>
                <w:rFonts w:ascii="Arial" w:hAnsi="Arial" w:cs="Arial"/>
                <w:noProof/>
                <w:sz w:val="18"/>
                <w:szCs w:val="18"/>
              </w:rPr>
            </w:pPr>
            <w:r w:rsidRPr="003E5ED2">
              <w:rPr>
                <w:rFonts w:ascii="Arial" w:hAnsi="Arial" w:cs="Arial"/>
                <w:noProof/>
                <w:sz w:val="18"/>
                <w:szCs w:val="18"/>
              </w:rPr>
              <w:t>15.412.437,16</w:t>
            </w:r>
          </w:p>
        </w:tc>
      </w:tr>
      <w:tr w:rsidR="00812C19" w:rsidRPr="003E5ED2" w:rsidTr="00C9621E">
        <w:trPr>
          <w:trHeight w:val="470"/>
        </w:trPr>
        <w:tc>
          <w:tcPr>
            <w:tcW w:w="517" w:type="dxa"/>
            <w:tcBorders>
              <w:top w:val="single" w:sz="8" w:space="0" w:color="auto"/>
              <w:left w:val="single" w:sz="12" w:space="0" w:color="auto"/>
              <w:bottom w:val="single" w:sz="8" w:space="0" w:color="auto"/>
            </w:tcBorders>
            <w:shd w:val="clear" w:color="auto" w:fill="auto"/>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7</w:t>
            </w:r>
          </w:p>
        </w:tc>
        <w:tc>
          <w:tcPr>
            <w:tcW w:w="3212" w:type="dxa"/>
            <w:shd w:val="clear" w:color="auto" w:fill="auto"/>
            <w:vAlign w:val="bottom"/>
            <w:hideMark/>
          </w:tcPr>
          <w:p w:rsidR="00812C19" w:rsidRPr="003E5ED2" w:rsidRDefault="00812C19" w:rsidP="00BC6EB2">
            <w:pPr>
              <w:rPr>
                <w:rFonts w:ascii="Arial" w:hAnsi="Arial" w:cs="Arial"/>
                <w:noProof/>
                <w:sz w:val="18"/>
                <w:szCs w:val="18"/>
              </w:rPr>
            </w:pPr>
            <w:r w:rsidRPr="003E5ED2">
              <w:rPr>
                <w:rFonts w:ascii="Arial" w:hAnsi="Arial" w:cs="Arial"/>
                <w:noProof/>
                <w:sz w:val="18"/>
                <w:szCs w:val="18"/>
              </w:rPr>
              <w:t>PRIHODI OD PRODAJE NEFINANCIJSKE IMOVINE</w:t>
            </w:r>
          </w:p>
        </w:tc>
        <w:tc>
          <w:tcPr>
            <w:tcW w:w="1107" w:type="dxa"/>
            <w:shd w:val="clear" w:color="auto" w:fill="auto"/>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7</w:t>
            </w:r>
          </w:p>
        </w:tc>
        <w:tc>
          <w:tcPr>
            <w:tcW w:w="1508" w:type="dxa"/>
            <w:shd w:val="clear" w:color="auto" w:fill="auto"/>
            <w:noWrap/>
            <w:vAlign w:val="bottom"/>
            <w:hideMark/>
          </w:tcPr>
          <w:p w:rsidR="00812C19" w:rsidRPr="003E5ED2" w:rsidRDefault="00A5474F" w:rsidP="00BC6EB2">
            <w:pPr>
              <w:jc w:val="right"/>
              <w:rPr>
                <w:rFonts w:ascii="Arial" w:hAnsi="Arial" w:cs="Arial"/>
                <w:noProof/>
                <w:sz w:val="18"/>
                <w:szCs w:val="18"/>
              </w:rPr>
            </w:pPr>
            <w:r w:rsidRPr="003E5ED2">
              <w:rPr>
                <w:rFonts w:ascii="Arial" w:hAnsi="Arial" w:cs="Arial"/>
                <w:noProof/>
                <w:sz w:val="18"/>
                <w:szCs w:val="18"/>
              </w:rPr>
              <w:t>4.471.887,6</w:t>
            </w:r>
            <w:r w:rsidR="00B41F55" w:rsidRPr="003E5ED2">
              <w:rPr>
                <w:rFonts w:ascii="Arial" w:hAnsi="Arial" w:cs="Arial"/>
                <w:noProof/>
                <w:sz w:val="18"/>
                <w:szCs w:val="18"/>
              </w:rPr>
              <w:t>0</w:t>
            </w:r>
          </w:p>
        </w:tc>
        <w:tc>
          <w:tcPr>
            <w:tcW w:w="1468" w:type="dxa"/>
            <w:shd w:val="clear" w:color="auto" w:fill="auto"/>
            <w:noWrap/>
            <w:vAlign w:val="bottom"/>
            <w:hideMark/>
          </w:tcPr>
          <w:p w:rsidR="00812C19" w:rsidRPr="003E5ED2" w:rsidRDefault="002034A5" w:rsidP="00BC6EB2">
            <w:pPr>
              <w:jc w:val="right"/>
              <w:rPr>
                <w:rFonts w:ascii="Arial" w:hAnsi="Arial" w:cs="Arial"/>
                <w:noProof/>
                <w:sz w:val="18"/>
                <w:szCs w:val="18"/>
                <w:highlight w:val="yellow"/>
              </w:rPr>
            </w:pPr>
            <w:r w:rsidRPr="003E5ED2">
              <w:rPr>
                <w:rFonts w:ascii="Arial" w:hAnsi="Arial" w:cs="Arial"/>
                <w:noProof/>
                <w:sz w:val="18"/>
                <w:szCs w:val="18"/>
              </w:rPr>
              <w:t>5.490.679,81</w:t>
            </w:r>
          </w:p>
        </w:tc>
        <w:tc>
          <w:tcPr>
            <w:tcW w:w="667" w:type="dxa"/>
            <w:shd w:val="clear" w:color="auto" w:fill="auto"/>
            <w:noWrap/>
            <w:vAlign w:val="bottom"/>
            <w:hideMark/>
          </w:tcPr>
          <w:p w:rsidR="00812C19" w:rsidRPr="003E5ED2" w:rsidRDefault="007D1098" w:rsidP="00BC6EB2">
            <w:pPr>
              <w:jc w:val="right"/>
              <w:rPr>
                <w:rFonts w:ascii="Arial" w:hAnsi="Arial" w:cs="Arial"/>
                <w:noProof/>
                <w:sz w:val="18"/>
                <w:szCs w:val="18"/>
                <w:highlight w:val="yellow"/>
              </w:rPr>
            </w:pPr>
            <w:r w:rsidRPr="003E5ED2">
              <w:rPr>
                <w:rFonts w:ascii="Arial" w:hAnsi="Arial" w:cs="Arial"/>
                <w:noProof/>
                <w:sz w:val="18"/>
                <w:szCs w:val="18"/>
              </w:rPr>
              <w:t>122,8</w:t>
            </w:r>
          </w:p>
        </w:tc>
        <w:tc>
          <w:tcPr>
            <w:tcW w:w="1447" w:type="dxa"/>
            <w:tcBorders>
              <w:top w:val="single" w:sz="8" w:space="0" w:color="auto"/>
              <w:bottom w:val="single" w:sz="8" w:space="0" w:color="auto"/>
              <w:right w:val="single" w:sz="12" w:space="0" w:color="auto"/>
            </w:tcBorders>
            <w:shd w:val="clear" w:color="auto" w:fill="auto"/>
            <w:noWrap/>
            <w:vAlign w:val="bottom"/>
            <w:hideMark/>
          </w:tcPr>
          <w:p w:rsidR="00812C19" w:rsidRPr="003E5ED2" w:rsidRDefault="00A5474F" w:rsidP="00BC6EB2">
            <w:pPr>
              <w:jc w:val="right"/>
              <w:rPr>
                <w:rFonts w:ascii="Arial" w:hAnsi="Arial" w:cs="Arial"/>
                <w:noProof/>
                <w:sz w:val="18"/>
                <w:szCs w:val="18"/>
                <w:highlight w:val="yellow"/>
              </w:rPr>
            </w:pPr>
            <w:r w:rsidRPr="003E5ED2">
              <w:rPr>
                <w:rFonts w:ascii="Arial" w:hAnsi="Arial" w:cs="Arial"/>
                <w:noProof/>
                <w:sz w:val="18"/>
                <w:szCs w:val="18"/>
              </w:rPr>
              <w:t>1.018.792,2</w:t>
            </w:r>
            <w:r w:rsidR="007D1098" w:rsidRPr="003E5ED2">
              <w:rPr>
                <w:rFonts w:ascii="Arial" w:hAnsi="Arial" w:cs="Arial"/>
                <w:noProof/>
                <w:sz w:val="18"/>
                <w:szCs w:val="18"/>
              </w:rPr>
              <w:t>1</w:t>
            </w:r>
          </w:p>
        </w:tc>
      </w:tr>
      <w:tr w:rsidR="00812C19" w:rsidRPr="003E5ED2" w:rsidTr="00C9621E">
        <w:trPr>
          <w:trHeight w:val="515"/>
        </w:trPr>
        <w:tc>
          <w:tcPr>
            <w:tcW w:w="517" w:type="dxa"/>
            <w:tcBorders>
              <w:top w:val="single" w:sz="8" w:space="0" w:color="auto"/>
              <w:left w:val="single" w:sz="12" w:space="0" w:color="auto"/>
              <w:bottom w:val="single" w:sz="8" w:space="0" w:color="auto"/>
            </w:tcBorders>
            <w:shd w:val="clear" w:color="auto" w:fill="auto"/>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8</w:t>
            </w:r>
          </w:p>
        </w:tc>
        <w:tc>
          <w:tcPr>
            <w:tcW w:w="3212" w:type="dxa"/>
            <w:shd w:val="clear" w:color="auto" w:fill="auto"/>
            <w:vAlign w:val="bottom"/>
            <w:hideMark/>
          </w:tcPr>
          <w:p w:rsidR="00812C19" w:rsidRPr="003E5ED2" w:rsidRDefault="00812C19" w:rsidP="00BC6EB2">
            <w:pPr>
              <w:rPr>
                <w:rFonts w:ascii="Arial" w:hAnsi="Arial" w:cs="Arial"/>
                <w:noProof/>
                <w:sz w:val="18"/>
                <w:szCs w:val="18"/>
              </w:rPr>
            </w:pPr>
            <w:r w:rsidRPr="003E5ED2">
              <w:rPr>
                <w:rFonts w:ascii="Arial" w:hAnsi="Arial" w:cs="Arial"/>
                <w:noProof/>
                <w:sz w:val="18"/>
                <w:szCs w:val="18"/>
              </w:rPr>
              <w:t>PRIMICI OD FINANCIJSKE IMOVINE I ZADUŽIVANJA</w:t>
            </w:r>
          </w:p>
        </w:tc>
        <w:tc>
          <w:tcPr>
            <w:tcW w:w="1107" w:type="dxa"/>
            <w:shd w:val="clear" w:color="auto" w:fill="auto"/>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8</w:t>
            </w:r>
          </w:p>
        </w:tc>
        <w:tc>
          <w:tcPr>
            <w:tcW w:w="1508" w:type="dxa"/>
            <w:shd w:val="clear" w:color="auto" w:fill="auto"/>
            <w:noWrap/>
            <w:vAlign w:val="bottom"/>
            <w:hideMark/>
          </w:tcPr>
          <w:p w:rsidR="00812C19" w:rsidRPr="003E5ED2" w:rsidRDefault="00B41F55" w:rsidP="00BC6EB2">
            <w:pPr>
              <w:jc w:val="right"/>
              <w:rPr>
                <w:rFonts w:ascii="Arial" w:hAnsi="Arial" w:cs="Arial"/>
                <w:noProof/>
                <w:sz w:val="18"/>
                <w:szCs w:val="18"/>
              </w:rPr>
            </w:pPr>
            <w:r w:rsidRPr="003E5ED2">
              <w:rPr>
                <w:rFonts w:ascii="Arial" w:hAnsi="Arial" w:cs="Arial"/>
                <w:noProof/>
                <w:sz w:val="18"/>
                <w:szCs w:val="18"/>
              </w:rPr>
              <w:t>8.511.478,81</w:t>
            </w:r>
          </w:p>
        </w:tc>
        <w:tc>
          <w:tcPr>
            <w:tcW w:w="1468" w:type="dxa"/>
            <w:shd w:val="clear" w:color="auto" w:fill="auto"/>
            <w:noWrap/>
            <w:vAlign w:val="bottom"/>
            <w:hideMark/>
          </w:tcPr>
          <w:p w:rsidR="00812C19" w:rsidRPr="003E5ED2" w:rsidRDefault="002034A5" w:rsidP="00BC6EB2">
            <w:pPr>
              <w:jc w:val="right"/>
              <w:rPr>
                <w:rFonts w:ascii="Arial" w:hAnsi="Arial" w:cs="Arial"/>
                <w:noProof/>
                <w:sz w:val="18"/>
                <w:szCs w:val="18"/>
                <w:highlight w:val="yellow"/>
              </w:rPr>
            </w:pPr>
            <w:r w:rsidRPr="003E5ED2">
              <w:rPr>
                <w:rFonts w:ascii="Arial" w:hAnsi="Arial" w:cs="Arial"/>
                <w:noProof/>
                <w:sz w:val="18"/>
                <w:szCs w:val="18"/>
              </w:rPr>
              <w:t>281.946,09</w:t>
            </w:r>
          </w:p>
        </w:tc>
        <w:tc>
          <w:tcPr>
            <w:tcW w:w="667" w:type="dxa"/>
            <w:shd w:val="clear" w:color="auto" w:fill="auto"/>
            <w:noWrap/>
            <w:vAlign w:val="bottom"/>
            <w:hideMark/>
          </w:tcPr>
          <w:p w:rsidR="00812C19" w:rsidRPr="003E5ED2" w:rsidRDefault="005136DC" w:rsidP="00BC6EB2">
            <w:pPr>
              <w:jc w:val="right"/>
              <w:rPr>
                <w:rFonts w:ascii="Arial" w:hAnsi="Arial" w:cs="Arial"/>
                <w:noProof/>
                <w:sz w:val="18"/>
                <w:szCs w:val="18"/>
                <w:highlight w:val="yellow"/>
              </w:rPr>
            </w:pPr>
            <w:r w:rsidRPr="003E5ED2">
              <w:rPr>
                <w:rFonts w:ascii="Arial" w:hAnsi="Arial" w:cs="Arial"/>
                <w:noProof/>
                <w:sz w:val="18"/>
                <w:szCs w:val="18"/>
              </w:rPr>
              <w:t>3,3</w:t>
            </w:r>
          </w:p>
        </w:tc>
        <w:tc>
          <w:tcPr>
            <w:tcW w:w="1447" w:type="dxa"/>
            <w:tcBorders>
              <w:top w:val="single" w:sz="8" w:space="0" w:color="auto"/>
              <w:bottom w:val="single" w:sz="8" w:space="0" w:color="auto"/>
              <w:right w:val="single" w:sz="12" w:space="0" w:color="auto"/>
            </w:tcBorders>
            <w:shd w:val="clear" w:color="auto" w:fill="auto"/>
            <w:noWrap/>
            <w:vAlign w:val="bottom"/>
          </w:tcPr>
          <w:p w:rsidR="00812C19" w:rsidRPr="003E5ED2" w:rsidRDefault="005136DC" w:rsidP="00BC6EB2">
            <w:pPr>
              <w:jc w:val="right"/>
              <w:rPr>
                <w:rFonts w:ascii="Arial" w:hAnsi="Arial" w:cs="Arial"/>
                <w:noProof/>
                <w:sz w:val="18"/>
                <w:szCs w:val="18"/>
                <w:highlight w:val="yellow"/>
              </w:rPr>
            </w:pPr>
            <w:r w:rsidRPr="003E5ED2">
              <w:rPr>
                <w:rFonts w:ascii="Arial" w:hAnsi="Arial" w:cs="Arial"/>
                <w:noProof/>
                <w:sz w:val="18"/>
                <w:szCs w:val="18"/>
              </w:rPr>
              <w:t>-8.229.532,72</w:t>
            </w:r>
          </w:p>
        </w:tc>
      </w:tr>
      <w:tr w:rsidR="00812C19" w:rsidRPr="003E5ED2" w:rsidTr="00C9621E">
        <w:trPr>
          <w:trHeight w:val="470"/>
        </w:trPr>
        <w:tc>
          <w:tcPr>
            <w:tcW w:w="517" w:type="dxa"/>
            <w:tcBorders>
              <w:top w:val="single" w:sz="8" w:space="0" w:color="auto"/>
              <w:left w:val="single" w:sz="12" w:space="0" w:color="auto"/>
              <w:bottom w:val="single" w:sz="8" w:space="0" w:color="auto"/>
            </w:tcBorders>
            <w:shd w:val="clear" w:color="auto" w:fill="D9D9D9"/>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 </w:t>
            </w:r>
          </w:p>
        </w:tc>
        <w:tc>
          <w:tcPr>
            <w:tcW w:w="3212" w:type="dxa"/>
            <w:shd w:val="clear" w:color="auto" w:fill="D9D9D9"/>
            <w:vAlign w:val="bottom"/>
            <w:hideMark/>
          </w:tcPr>
          <w:p w:rsidR="00812C19" w:rsidRPr="003E5ED2" w:rsidRDefault="00812C19" w:rsidP="00BC6EB2">
            <w:pPr>
              <w:rPr>
                <w:rFonts w:ascii="Arial" w:hAnsi="Arial" w:cs="Arial"/>
                <w:b/>
                <w:noProof/>
                <w:sz w:val="18"/>
                <w:szCs w:val="18"/>
              </w:rPr>
            </w:pPr>
            <w:r w:rsidRPr="003E5ED2">
              <w:rPr>
                <w:rFonts w:ascii="Arial" w:hAnsi="Arial" w:cs="Arial"/>
                <w:b/>
                <w:noProof/>
                <w:sz w:val="18"/>
                <w:szCs w:val="18"/>
              </w:rPr>
              <w:t>UKUPNI PRIHODI I PRIMICI</w:t>
            </w:r>
          </w:p>
        </w:tc>
        <w:tc>
          <w:tcPr>
            <w:tcW w:w="1107" w:type="dxa"/>
            <w:shd w:val="clear" w:color="auto" w:fill="D9D9D9"/>
            <w:noWrap/>
            <w:vAlign w:val="bottom"/>
            <w:hideMark/>
          </w:tcPr>
          <w:p w:rsidR="00812C19" w:rsidRPr="003E5ED2" w:rsidRDefault="00812C19" w:rsidP="00BC6EB2">
            <w:pPr>
              <w:jc w:val="center"/>
              <w:rPr>
                <w:rFonts w:ascii="Arial" w:hAnsi="Arial" w:cs="Arial"/>
                <w:b/>
                <w:noProof/>
                <w:sz w:val="18"/>
                <w:szCs w:val="18"/>
              </w:rPr>
            </w:pPr>
            <w:r w:rsidRPr="003E5ED2">
              <w:rPr>
                <w:rFonts w:ascii="Arial" w:hAnsi="Arial" w:cs="Arial"/>
                <w:b/>
                <w:noProof/>
                <w:sz w:val="18"/>
                <w:szCs w:val="18"/>
              </w:rPr>
              <w:t>X678</w:t>
            </w:r>
          </w:p>
        </w:tc>
        <w:tc>
          <w:tcPr>
            <w:tcW w:w="1508" w:type="dxa"/>
            <w:shd w:val="clear" w:color="auto" w:fill="D9D9D9"/>
            <w:noWrap/>
            <w:vAlign w:val="bottom"/>
            <w:hideMark/>
          </w:tcPr>
          <w:p w:rsidR="00812C19" w:rsidRPr="003E5ED2" w:rsidRDefault="00B41F55" w:rsidP="00BC6EB2">
            <w:pPr>
              <w:jc w:val="right"/>
              <w:rPr>
                <w:rFonts w:ascii="Arial" w:hAnsi="Arial" w:cs="Arial"/>
                <w:b/>
                <w:noProof/>
                <w:sz w:val="18"/>
                <w:szCs w:val="18"/>
              </w:rPr>
            </w:pPr>
            <w:r w:rsidRPr="003E5ED2">
              <w:rPr>
                <w:rFonts w:ascii="Arial" w:hAnsi="Arial" w:cs="Arial"/>
                <w:b/>
                <w:noProof/>
                <w:sz w:val="18"/>
                <w:szCs w:val="18"/>
              </w:rPr>
              <w:t>135.325.158,67</w:t>
            </w:r>
          </w:p>
        </w:tc>
        <w:tc>
          <w:tcPr>
            <w:tcW w:w="1468" w:type="dxa"/>
            <w:shd w:val="clear" w:color="auto" w:fill="D9D9D9"/>
            <w:noWrap/>
            <w:vAlign w:val="bottom"/>
            <w:hideMark/>
          </w:tcPr>
          <w:p w:rsidR="00812C19" w:rsidRPr="003E5ED2" w:rsidRDefault="002034A5" w:rsidP="000E1E11">
            <w:pPr>
              <w:jc w:val="right"/>
              <w:rPr>
                <w:rFonts w:ascii="Arial" w:hAnsi="Arial" w:cs="Arial"/>
                <w:b/>
                <w:noProof/>
                <w:sz w:val="18"/>
                <w:szCs w:val="18"/>
              </w:rPr>
            </w:pPr>
            <w:r w:rsidRPr="003E5ED2">
              <w:rPr>
                <w:rFonts w:ascii="Arial" w:hAnsi="Arial" w:cs="Arial"/>
                <w:b/>
                <w:noProof/>
                <w:sz w:val="18"/>
                <w:szCs w:val="18"/>
              </w:rPr>
              <w:t>143.526.855,32</w:t>
            </w:r>
          </w:p>
        </w:tc>
        <w:tc>
          <w:tcPr>
            <w:tcW w:w="667" w:type="dxa"/>
            <w:shd w:val="clear" w:color="auto" w:fill="D9D9D9"/>
            <w:noWrap/>
            <w:vAlign w:val="bottom"/>
            <w:hideMark/>
          </w:tcPr>
          <w:p w:rsidR="00812C19" w:rsidRPr="003E5ED2" w:rsidRDefault="005136DC" w:rsidP="00BC6EB2">
            <w:pPr>
              <w:jc w:val="right"/>
              <w:rPr>
                <w:rFonts w:ascii="Arial" w:hAnsi="Arial" w:cs="Arial"/>
                <w:b/>
                <w:noProof/>
                <w:sz w:val="18"/>
                <w:szCs w:val="18"/>
                <w:highlight w:val="yellow"/>
              </w:rPr>
            </w:pPr>
            <w:r w:rsidRPr="003E5ED2">
              <w:rPr>
                <w:rFonts w:ascii="Arial" w:hAnsi="Arial" w:cs="Arial"/>
                <w:b/>
                <w:noProof/>
                <w:sz w:val="18"/>
                <w:szCs w:val="18"/>
              </w:rPr>
              <w:t>106,1</w:t>
            </w:r>
          </w:p>
        </w:tc>
        <w:tc>
          <w:tcPr>
            <w:tcW w:w="1447" w:type="dxa"/>
            <w:tcBorders>
              <w:top w:val="single" w:sz="8" w:space="0" w:color="auto"/>
              <w:bottom w:val="single" w:sz="8" w:space="0" w:color="auto"/>
              <w:right w:val="single" w:sz="12" w:space="0" w:color="auto"/>
            </w:tcBorders>
            <w:shd w:val="clear" w:color="auto" w:fill="D9D9D9"/>
            <w:noWrap/>
            <w:vAlign w:val="bottom"/>
            <w:hideMark/>
          </w:tcPr>
          <w:p w:rsidR="00812C19" w:rsidRPr="003E5ED2" w:rsidRDefault="00E05A8C" w:rsidP="000E1E11">
            <w:pPr>
              <w:jc w:val="right"/>
              <w:rPr>
                <w:rFonts w:ascii="Arial" w:hAnsi="Arial" w:cs="Arial"/>
                <w:b/>
                <w:noProof/>
                <w:sz w:val="18"/>
                <w:szCs w:val="18"/>
                <w:highlight w:val="yellow"/>
              </w:rPr>
            </w:pPr>
            <w:r w:rsidRPr="003E5ED2">
              <w:rPr>
                <w:rFonts w:ascii="Arial" w:hAnsi="Arial" w:cs="Arial"/>
                <w:b/>
                <w:noProof/>
                <w:sz w:val="18"/>
                <w:szCs w:val="18"/>
              </w:rPr>
              <w:t>8.201.696,65</w:t>
            </w:r>
          </w:p>
        </w:tc>
      </w:tr>
      <w:tr w:rsidR="00812C19" w:rsidRPr="003E5ED2" w:rsidTr="00C9621E">
        <w:trPr>
          <w:trHeight w:val="470"/>
        </w:trPr>
        <w:tc>
          <w:tcPr>
            <w:tcW w:w="517" w:type="dxa"/>
            <w:tcBorders>
              <w:top w:val="single" w:sz="8" w:space="0" w:color="auto"/>
              <w:left w:val="single" w:sz="12" w:space="0" w:color="auto"/>
              <w:bottom w:val="single" w:sz="8" w:space="0" w:color="auto"/>
            </w:tcBorders>
            <w:shd w:val="clear" w:color="auto" w:fill="auto"/>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3</w:t>
            </w:r>
          </w:p>
        </w:tc>
        <w:tc>
          <w:tcPr>
            <w:tcW w:w="3212" w:type="dxa"/>
            <w:shd w:val="clear" w:color="auto" w:fill="auto"/>
            <w:noWrap/>
            <w:vAlign w:val="bottom"/>
            <w:hideMark/>
          </w:tcPr>
          <w:p w:rsidR="00812C19" w:rsidRPr="003E5ED2" w:rsidRDefault="00812C19" w:rsidP="00BC6EB2">
            <w:pPr>
              <w:rPr>
                <w:rFonts w:ascii="Arial" w:hAnsi="Arial" w:cs="Arial"/>
                <w:noProof/>
                <w:sz w:val="18"/>
                <w:szCs w:val="18"/>
              </w:rPr>
            </w:pPr>
            <w:r w:rsidRPr="003E5ED2">
              <w:rPr>
                <w:rFonts w:ascii="Arial" w:hAnsi="Arial" w:cs="Arial"/>
                <w:noProof/>
                <w:sz w:val="18"/>
                <w:szCs w:val="18"/>
              </w:rPr>
              <w:t>RASHODI POSLOVANJA</w:t>
            </w:r>
          </w:p>
        </w:tc>
        <w:tc>
          <w:tcPr>
            <w:tcW w:w="1107" w:type="dxa"/>
            <w:shd w:val="clear" w:color="auto" w:fill="auto"/>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3</w:t>
            </w:r>
          </w:p>
        </w:tc>
        <w:tc>
          <w:tcPr>
            <w:tcW w:w="1508" w:type="dxa"/>
            <w:shd w:val="clear" w:color="auto" w:fill="auto"/>
            <w:noWrap/>
            <w:vAlign w:val="bottom"/>
            <w:hideMark/>
          </w:tcPr>
          <w:p w:rsidR="00812C19" w:rsidRPr="003E5ED2" w:rsidRDefault="00B41F55" w:rsidP="00BC6EB2">
            <w:pPr>
              <w:jc w:val="right"/>
              <w:rPr>
                <w:rFonts w:ascii="Arial" w:hAnsi="Arial" w:cs="Arial"/>
                <w:noProof/>
                <w:sz w:val="18"/>
                <w:szCs w:val="18"/>
              </w:rPr>
            </w:pPr>
            <w:r w:rsidRPr="003E5ED2">
              <w:rPr>
                <w:rFonts w:ascii="Arial" w:hAnsi="Arial" w:cs="Arial"/>
                <w:noProof/>
                <w:sz w:val="18"/>
                <w:szCs w:val="18"/>
              </w:rPr>
              <w:t>92.</w:t>
            </w:r>
            <w:r w:rsidR="00E05A8C" w:rsidRPr="003E5ED2">
              <w:rPr>
                <w:rFonts w:ascii="Arial" w:hAnsi="Arial" w:cs="Arial"/>
                <w:noProof/>
                <w:sz w:val="18"/>
                <w:szCs w:val="18"/>
              </w:rPr>
              <w:t>1</w:t>
            </w:r>
            <w:r w:rsidRPr="003E5ED2">
              <w:rPr>
                <w:rFonts w:ascii="Arial" w:hAnsi="Arial" w:cs="Arial"/>
                <w:noProof/>
                <w:sz w:val="18"/>
                <w:szCs w:val="18"/>
              </w:rPr>
              <w:t>42.906,80</w:t>
            </w:r>
          </w:p>
        </w:tc>
        <w:tc>
          <w:tcPr>
            <w:tcW w:w="1468" w:type="dxa"/>
            <w:shd w:val="clear" w:color="auto" w:fill="auto"/>
            <w:noWrap/>
            <w:vAlign w:val="bottom"/>
            <w:hideMark/>
          </w:tcPr>
          <w:p w:rsidR="00812C19" w:rsidRPr="003E5ED2" w:rsidRDefault="00E05A8C" w:rsidP="00BC6EB2">
            <w:pPr>
              <w:jc w:val="right"/>
              <w:rPr>
                <w:rFonts w:ascii="Arial" w:hAnsi="Arial" w:cs="Arial"/>
                <w:noProof/>
                <w:sz w:val="18"/>
                <w:szCs w:val="18"/>
                <w:highlight w:val="yellow"/>
              </w:rPr>
            </w:pPr>
            <w:r w:rsidRPr="003E5ED2">
              <w:rPr>
                <w:rFonts w:ascii="Arial" w:hAnsi="Arial" w:cs="Arial"/>
                <w:noProof/>
                <w:sz w:val="18"/>
                <w:szCs w:val="18"/>
              </w:rPr>
              <w:t>114.370.444,83</w:t>
            </w:r>
          </w:p>
        </w:tc>
        <w:tc>
          <w:tcPr>
            <w:tcW w:w="667" w:type="dxa"/>
            <w:shd w:val="clear" w:color="auto" w:fill="auto"/>
            <w:noWrap/>
            <w:vAlign w:val="bottom"/>
            <w:hideMark/>
          </w:tcPr>
          <w:p w:rsidR="00812C19" w:rsidRPr="003E5ED2" w:rsidRDefault="00E05A8C" w:rsidP="00BC6EB2">
            <w:pPr>
              <w:jc w:val="right"/>
              <w:rPr>
                <w:rFonts w:ascii="Arial" w:hAnsi="Arial" w:cs="Arial"/>
                <w:noProof/>
                <w:sz w:val="18"/>
                <w:szCs w:val="18"/>
                <w:highlight w:val="yellow"/>
              </w:rPr>
            </w:pPr>
            <w:r w:rsidRPr="003E5ED2">
              <w:rPr>
                <w:rFonts w:ascii="Arial" w:hAnsi="Arial" w:cs="Arial"/>
                <w:noProof/>
                <w:sz w:val="18"/>
                <w:szCs w:val="18"/>
              </w:rPr>
              <w:t>124,1</w:t>
            </w:r>
          </w:p>
        </w:tc>
        <w:tc>
          <w:tcPr>
            <w:tcW w:w="1447" w:type="dxa"/>
            <w:tcBorders>
              <w:top w:val="single" w:sz="8" w:space="0" w:color="auto"/>
              <w:bottom w:val="single" w:sz="8" w:space="0" w:color="auto"/>
              <w:right w:val="single" w:sz="12" w:space="0" w:color="auto"/>
            </w:tcBorders>
            <w:shd w:val="clear" w:color="auto" w:fill="auto"/>
            <w:noWrap/>
            <w:vAlign w:val="bottom"/>
            <w:hideMark/>
          </w:tcPr>
          <w:p w:rsidR="00812C19" w:rsidRPr="003E5ED2" w:rsidRDefault="00FF27FA" w:rsidP="00BC6EB2">
            <w:pPr>
              <w:jc w:val="right"/>
              <w:rPr>
                <w:rFonts w:ascii="Arial" w:hAnsi="Arial" w:cs="Arial"/>
                <w:noProof/>
                <w:sz w:val="18"/>
                <w:szCs w:val="18"/>
                <w:highlight w:val="yellow"/>
              </w:rPr>
            </w:pPr>
            <w:r w:rsidRPr="003E5ED2">
              <w:rPr>
                <w:rFonts w:ascii="Arial" w:hAnsi="Arial" w:cs="Arial"/>
                <w:noProof/>
                <w:sz w:val="18"/>
                <w:szCs w:val="18"/>
              </w:rPr>
              <w:t>22.227.538,03</w:t>
            </w:r>
          </w:p>
        </w:tc>
      </w:tr>
      <w:tr w:rsidR="00812C19" w:rsidRPr="003E5ED2" w:rsidTr="00C9621E">
        <w:trPr>
          <w:trHeight w:val="531"/>
        </w:trPr>
        <w:tc>
          <w:tcPr>
            <w:tcW w:w="517" w:type="dxa"/>
            <w:tcBorders>
              <w:top w:val="single" w:sz="8" w:space="0" w:color="auto"/>
              <w:left w:val="single" w:sz="12" w:space="0" w:color="auto"/>
              <w:bottom w:val="single" w:sz="8" w:space="0" w:color="auto"/>
            </w:tcBorders>
            <w:shd w:val="clear" w:color="auto" w:fill="auto"/>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4</w:t>
            </w:r>
          </w:p>
        </w:tc>
        <w:tc>
          <w:tcPr>
            <w:tcW w:w="3212" w:type="dxa"/>
            <w:shd w:val="clear" w:color="auto" w:fill="auto"/>
            <w:vAlign w:val="bottom"/>
            <w:hideMark/>
          </w:tcPr>
          <w:p w:rsidR="00812C19" w:rsidRPr="003E5ED2" w:rsidRDefault="00812C19" w:rsidP="00BC6EB2">
            <w:pPr>
              <w:rPr>
                <w:rFonts w:ascii="Arial" w:hAnsi="Arial" w:cs="Arial"/>
                <w:noProof/>
                <w:sz w:val="18"/>
                <w:szCs w:val="18"/>
              </w:rPr>
            </w:pPr>
            <w:r w:rsidRPr="003E5ED2">
              <w:rPr>
                <w:rFonts w:ascii="Arial" w:hAnsi="Arial" w:cs="Arial"/>
                <w:noProof/>
                <w:sz w:val="18"/>
                <w:szCs w:val="18"/>
              </w:rPr>
              <w:t>RASHODI ZA NABAVU NEFINANCIJSKE IMOVINE</w:t>
            </w:r>
          </w:p>
        </w:tc>
        <w:tc>
          <w:tcPr>
            <w:tcW w:w="1107" w:type="dxa"/>
            <w:shd w:val="clear" w:color="auto" w:fill="auto"/>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4</w:t>
            </w:r>
          </w:p>
        </w:tc>
        <w:tc>
          <w:tcPr>
            <w:tcW w:w="1508" w:type="dxa"/>
            <w:shd w:val="clear" w:color="auto" w:fill="auto"/>
            <w:noWrap/>
            <w:vAlign w:val="bottom"/>
            <w:hideMark/>
          </w:tcPr>
          <w:p w:rsidR="00812C19" w:rsidRPr="003E5ED2" w:rsidRDefault="00B41F55" w:rsidP="00BC6EB2">
            <w:pPr>
              <w:jc w:val="right"/>
              <w:rPr>
                <w:rFonts w:ascii="Arial" w:hAnsi="Arial" w:cs="Arial"/>
                <w:noProof/>
                <w:sz w:val="18"/>
                <w:szCs w:val="18"/>
              </w:rPr>
            </w:pPr>
            <w:r w:rsidRPr="003E5ED2">
              <w:rPr>
                <w:rFonts w:ascii="Arial" w:hAnsi="Arial" w:cs="Arial"/>
                <w:noProof/>
                <w:sz w:val="18"/>
                <w:szCs w:val="18"/>
              </w:rPr>
              <w:t>20.335.267,80</w:t>
            </w:r>
          </w:p>
        </w:tc>
        <w:tc>
          <w:tcPr>
            <w:tcW w:w="1468" w:type="dxa"/>
            <w:shd w:val="clear" w:color="auto" w:fill="auto"/>
            <w:noWrap/>
            <w:vAlign w:val="bottom"/>
            <w:hideMark/>
          </w:tcPr>
          <w:p w:rsidR="00812C19" w:rsidRPr="003E5ED2" w:rsidRDefault="00FF27FA" w:rsidP="00BC6EB2">
            <w:pPr>
              <w:jc w:val="right"/>
              <w:rPr>
                <w:rFonts w:ascii="Arial" w:hAnsi="Arial" w:cs="Arial"/>
                <w:noProof/>
                <w:sz w:val="18"/>
                <w:szCs w:val="18"/>
                <w:highlight w:val="yellow"/>
              </w:rPr>
            </w:pPr>
            <w:r w:rsidRPr="003E5ED2">
              <w:rPr>
                <w:rFonts w:ascii="Arial" w:hAnsi="Arial" w:cs="Arial"/>
                <w:noProof/>
                <w:sz w:val="18"/>
                <w:szCs w:val="18"/>
              </w:rPr>
              <w:t>14.148.504,60</w:t>
            </w:r>
          </w:p>
        </w:tc>
        <w:tc>
          <w:tcPr>
            <w:tcW w:w="667" w:type="dxa"/>
            <w:shd w:val="clear" w:color="auto" w:fill="auto"/>
            <w:noWrap/>
            <w:vAlign w:val="bottom"/>
            <w:hideMark/>
          </w:tcPr>
          <w:p w:rsidR="00812C19" w:rsidRPr="003E5ED2" w:rsidRDefault="00812C19" w:rsidP="00FF27FA">
            <w:pPr>
              <w:jc w:val="center"/>
              <w:rPr>
                <w:rFonts w:ascii="Arial" w:hAnsi="Arial" w:cs="Arial"/>
                <w:noProof/>
                <w:sz w:val="18"/>
                <w:szCs w:val="18"/>
                <w:highlight w:val="yellow"/>
              </w:rPr>
            </w:pPr>
            <w:r w:rsidRPr="003E5ED2">
              <w:rPr>
                <w:rFonts w:ascii="Arial" w:hAnsi="Arial" w:cs="Arial"/>
                <w:noProof/>
                <w:sz w:val="18"/>
                <w:szCs w:val="18"/>
              </w:rPr>
              <w:t xml:space="preserve"> </w:t>
            </w:r>
            <w:r w:rsidR="00FF27FA" w:rsidRPr="003E5ED2">
              <w:rPr>
                <w:rFonts w:ascii="Arial" w:hAnsi="Arial" w:cs="Arial"/>
                <w:noProof/>
                <w:sz w:val="18"/>
                <w:szCs w:val="18"/>
              </w:rPr>
              <w:t>69,6</w:t>
            </w:r>
          </w:p>
        </w:tc>
        <w:tc>
          <w:tcPr>
            <w:tcW w:w="1447" w:type="dxa"/>
            <w:tcBorders>
              <w:top w:val="single" w:sz="8" w:space="0" w:color="auto"/>
              <w:bottom w:val="single" w:sz="8" w:space="0" w:color="auto"/>
              <w:right w:val="single" w:sz="12" w:space="0" w:color="auto"/>
            </w:tcBorders>
            <w:shd w:val="clear" w:color="auto" w:fill="auto"/>
            <w:noWrap/>
            <w:vAlign w:val="bottom"/>
            <w:hideMark/>
          </w:tcPr>
          <w:p w:rsidR="00812C19" w:rsidRPr="003E5ED2" w:rsidRDefault="00FF27FA" w:rsidP="00BC6EB2">
            <w:pPr>
              <w:jc w:val="right"/>
              <w:rPr>
                <w:rFonts w:ascii="Arial" w:hAnsi="Arial" w:cs="Arial"/>
                <w:noProof/>
                <w:sz w:val="18"/>
                <w:szCs w:val="18"/>
                <w:highlight w:val="yellow"/>
              </w:rPr>
            </w:pPr>
            <w:r w:rsidRPr="003E5ED2">
              <w:rPr>
                <w:rFonts w:ascii="Arial" w:hAnsi="Arial" w:cs="Arial"/>
                <w:noProof/>
                <w:sz w:val="18"/>
                <w:szCs w:val="18"/>
              </w:rPr>
              <w:t>-6.186.763,20</w:t>
            </w:r>
          </w:p>
        </w:tc>
      </w:tr>
      <w:tr w:rsidR="00812C19" w:rsidRPr="003E5ED2" w:rsidTr="00C9621E">
        <w:trPr>
          <w:trHeight w:val="546"/>
        </w:trPr>
        <w:tc>
          <w:tcPr>
            <w:tcW w:w="517" w:type="dxa"/>
            <w:tcBorders>
              <w:top w:val="single" w:sz="8" w:space="0" w:color="auto"/>
              <w:left w:val="single" w:sz="12" w:space="0" w:color="auto"/>
              <w:bottom w:val="single" w:sz="8" w:space="0" w:color="auto"/>
            </w:tcBorders>
            <w:shd w:val="clear" w:color="auto" w:fill="auto"/>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5</w:t>
            </w:r>
          </w:p>
        </w:tc>
        <w:tc>
          <w:tcPr>
            <w:tcW w:w="3212" w:type="dxa"/>
            <w:shd w:val="clear" w:color="auto" w:fill="auto"/>
            <w:vAlign w:val="bottom"/>
            <w:hideMark/>
          </w:tcPr>
          <w:p w:rsidR="00812C19" w:rsidRPr="003E5ED2" w:rsidRDefault="00812C19" w:rsidP="00BC6EB2">
            <w:pPr>
              <w:rPr>
                <w:rFonts w:ascii="Arial" w:hAnsi="Arial" w:cs="Arial"/>
                <w:noProof/>
                <w:sz w:val="18"/>
                <w:szCs w:val="18"/>
              </w:rPr>
            </w:pPr>
            <w:r w:rsidRPr="003E5ED2">
              <w:rPr>
                <w:rFonts w:ascii="Arial" w:hAnsi="Arial" w:cs="Arial"/>
                <w:noProof/>
                <w:sz w:val="18"/>
                <w:szCs w:val="18"/>
              </w:rPr>
              <w:t>IZDACI ZA FINANCIJSKU IMOVINU I OTPLATE ZAJMOVA</w:t>
            </w:r>
          </w:p>
        </w:tc>
        <w:tc>
          <w:tcPr>
            <w:tcW w:w="1107" w:type="dxa"/>
            <w:shd w:val="clear" w:color="auto" w:fill="auto"/>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5</w:t>
            </w:r>
          </w:p>
        </w:tc>
        <w:tc>
          <w:tcPr>
            <w:tcW w:w="1508" w:type="dxa"/>
            <w:shd w:val="clear" w:color="auto" w:fill="auto"/>
            <w:noWrap/>
            <w:vAlign w:val="bottom"/>
            <w:hideMark/>
          </w:tcPr>
          <w:p w:rsidR="00812C19" w:rsidRPr="003E5ED2" w:rsidRDefault="00B41F55" w:rsidP="00BC6EB2">
            <w:pPr>
              <w:jc w:val="right"/>
              <w:rPr>
                <w:rFonts w:ascii="Arial" w:hAnsi="Arial" w:cs="Arial"/>
                <w:noProof/>
                <w:sz w:val="18"/>
                <w:szCs w:val="18"/>
              </w:rPr>
            </w:pPr>
            <w:r w:rsidRPr="003E5ED2">
              <w:rPr>
                <w:rFonts w:ascii="Arial" w:hAnsi="Arial" w:cs="Arial"/>
                <w:noProof/>
                <w:sz w:val="18"/>
                <w:szCs w:val="18"/>
              </w:rPr>
              <w:t>4.754.137,39</w:t>
            </w:r>
          </w:p>
        </w:tc>
        <w:tc>
          <w:tcPr>
            <w:tcW w:w="1468" w:type="dxa"/>
            <w:shd w:val="clear" w:color="auto" w:fill="auto"/>
            <w:noWrap/>
            <w:vAlign w:val="bottom"/>
            <w:hideMark/>
          </w:tcPr>
          <w:p w:rsidR="00812C19" w:rsidRPr="003E5ED2" w:rsidRDefault="002034A5" w:rsidP="00BC6EB2">
            <w:pPr>
              <w:jc w:val="right"/>
              <w:rPr>
                <w:rFonts w:ascii="Arial" w:hAnsi="Arial" w:cs="Arial"/>
                <w:noProof/>
                <w:sz w:val="18"/>
                <w:szCs w:val="18"/>
                <w:highlight w:val="yellow"/>
              </w:rPr>
            </w:pPr>
            <w:r w:rsidRPr="003E5ED2">
              <w:rPr>
                <w:rFonts w:ascii="Arial" w:hAnsi="Arial" w:cs="Arial"/>
                <w:noProof/>
                <w:sz w:val="18"/>
                <w:szCs w:val="18"/>
              </w:rPr>
              <w:t>3.604.089,34</w:t>
            </w:r>
          </w:p>
        </w:tc>
        <w:tc>
          <w:tcPr>
            <w:tcW w:w="667" w:type="dxa"/>
            <w:shd w:val="clear" w:color="auto" w:fill="auto"/>
            <w:noWrap/>
            <w:vAlign w:val="bottom"/>
            <w:hideMark/>
          </w:tcPr>
          <w:p w:rsidR="00812C19" w:rsidRPr="003E5ED2" w:rsidRDefault="00706F6C" w:rsidP="00BC6EB2">
            <w:pPr>
              <w:jc w:val="right"/>
              <w:rPr>
                <w:rFonts w:ascii="Arial" w:hAnsi="Arial" w:cs="Arial"/>
                <w:noProof/>
                <w:sz w:val="18"/>
                <w:szCs w:val="18"/>
                <w:highlight w:val="yellow"/>
              </w:rPr>
            </w:pPr>
            <w:r w:rsidRPr="003E5ED2">
              <w:rPr>
                <w:rFonts w:ascii="Arial" w:hAnsi="Arial" w:cs="Arial"/>
                <w:noProof/>
                <w:sz w:val="18"/>
                <w:szCs w:val="18"/>
              </w:rPr>
              <w:t>75,8</w:t>
            </w:r>
          </w:p>
        </w:tc>
        <w:tc>
          <w:tcPr>
            <w:tcW w:w="1447" w:type="dxa"/>
            <w:tcBorders>
              <w:top w:val="single" w:sz="8" w:space="0" w:color="auto"/>
              <w:bottom w:val="single" w:sz="8" w:space="0" w:color="auto"/>
              <w:right w:val="single" w:sz="12" w:space="0" w:color="auto"/>
            </w:tcBorders>
            <w:shd w:val="clear" w:color="auto" w:fill="auto"/>
            <w:noWrap/>
            <w:vAlign w:val="bottom"/>
            <w:hideMark/>
          </w:tcPr>
          <w:p w:rsidR="00812C19" w:rsidRPr="003E5ED2" w:rsidRDefault="00706F6C" w:rsidP="00BC6EB2">
            <w:pPr>
              <w:jc w:val="right"/>
              <w:rPr>
                <w:rFonts w:ascii="Arial" w:hAnsi="Arial" w:cs="Arial"/>
                <w:noProof/>
                <w:sz w:val="18"/>
                <w:szCs w:val="18"/>
                <w:highlight w:val="yellow"/>
              </w:rPr>
            </w:pPr>
            <w:r w:rsidRPr="003E5ED2">
              <w:rPr>
                <w:rFonts w:ascii="Arial" w:hAnsi="Arial" w:cs="Arial"/>
                <w:noProof/>
                <w:sz w:val="18"/>
                <w:szCs w:val="18"/>
              </w:rPr>
              <w:t>-1.150.048,0</w:t>
            </w:r>
            <w:r w:rsidR="00A90155" w:rsidRPr="003E5ED2">
              <w:rPr>
                <w:rFonts w:ascii="Arial" w:hAnsi="Arial" w:cs="Arial"/>
                <w:noProof/>
                <w:sz w:val="18"/>
                <w:szCs w:val="18"/>
              </w:rPr>
              <w:t>5</w:t>
            </w:r>
          </w:p>
        </w:tc>
      </w:tr>
      <w:tr w:rsidR="00812C19" w:rsidRPr="003E5ED2" w:rsidTr="00C9621E">
        <w:trPr>
          <w:trHeight w:val="470"/>
        </w:trPr>
        <w:tc>
          <w:tcPr>
            <w:tcW w:w="517" w:type="dxa"/>
            <w:tcBorders>
              <w:top w:val="single" w:sz="8" w:space="0" w:color="auto"/>
              <w:left w:val="single" w:sz="12" w:space="0" w:color="auto"/>
              <w:bottom w:val="single" w:sz="8" w:space="0" w:color="auto"/>
            </w:tcBorders>
            <w:shd w:val="clear" w:color="auto" w:fill="D9D9D9"/>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 </w:t>
            </w:r>
          </w:p>
        </w:tc>
        <w:tc>
          <w:tcPr>
            <w:tcW w:w="3212" w:type="dxa"/>
            <w:shd w:val="clear" w:color="auto" w:fill="D9D9D9"/>
            <w:vAlign w:val="bottom"/>
            <w:hideMark/>
          </w:tcPr>
          <w:p w:rsidR="00812C19" w:rsidRPr="003E5ED2" w:rsidRDefault="00812C19" w:rsidP="00BC6EB2">
            <w:pPr>
              <w:rPr>
                <w:rFonts w:ascii="Arial" w:hAnsi="Arial" w:cs="Arial"/>
                <w:b/>
                <w:noProof/>
                <w:sz w:val="18"/>
                <w:szCs w:val="18"/>
              </w:rPr>
            </w:pPr>
            <w:r w:rsidRPr="003E5ED2">
              <w:rPr>
                <w:rFonts w:ascii="Arial" w:hAnsi="Arial" w:cs="Arial"/>
                <w:b/>
                <w:noProof/>
                <w:sz w:val="18"/>
                <w:szCs w:val="18"/>
              </w:rPr>
              <w:t>UKUPNI RASHODI I IZDACI</w:t>
            </w:r>
          </w:p>
        </w:tc>
        <w:tc>
          <w:tcPr>
            <w:tcW w:w="1107" w:type="dxa"/>
            <w:shd w:val="clear" w:color="auto" w:fill="D9D9D9"/>
            <w:noWrap/>
            <w:vAlign w:val="bottom"/>
            <w:hideMark/>
          </w:tcPr>
          <w:p w:rsidR="00812C19" w:rsidRPr="003E5ED2" w:rsidRDefault="00812C19" w:rsidP="00BC6EB2">
            <w:pPr>
              <w:jc w:val="center"/>
              <w:rPr>
                <w:rFonts w:ascii="Arial" w:hAnsi="Arial" w:cs="Arial"/>
                <w:b/>
                <w:noProof/>
                <w:sz w:val="18"/>
                <w:szCs w:val="18"/>
              </w:rPr>
            </w:pPr>
            <w:r w:rsidRPr="003E5ED2">
              <w:rPr>
                <w:rFonts w:ascii="Arial" w:hAnsi="Arial" w:cs="Arial"/>
                <w:b/>
                <w:noProof/>
                <w:sz w:val="18"/>
                <w:szCs w:val="18"/>
              </w:rPr>
              <w:t>Y345</w:t>
            </w:r>
          </w:p>
        </w:tc>
        <w:tc>
          <w:tcPr>
            <w:tcW w:w="1508" w:type="dxa"/>
            <w:shd w:val="clear" w:color="auto" w:fill="D9D9D9"/>
            <w:noWrap/>
            <w:vAlign w:val="bottom"/>
            <w:hideMark/>
          </w:tcPr>
          <w:p w:rsidR="00812C19" w:rsidRPr="003E5ED2" w:rsidRDefault="00B41F55" w:rsidP="00BC6EB2">
            <w:pPr>
              <w:jc w:val="right"/>
              <w:rPr>
                <w:rFonts w:ascii="Arial" w:hAnsi="Arial" w:cs="Arial"/>
                <w:b/>
                <w:noProof/>
                <w:sz w:val="18"/>
                <w:szCs w:val="18"/>
              </w:rPr>
            </w:pPr>
            <w:r w:rsidRPr="003E5ED2">
              <w:rPr>
                <w:rFonts w:ascii="Arial" w:hAnsi="Arial" w:cs="Arial"/>
                <w:b/>
                <w:noProof/>
                <w:sz w:val="18"/>
                <w:szCs w:val="18"/>
              </w:rPr>
              <w:t>117.232.311,99</w:t>
            </w:r>
          </w:p>
        </w:tc>
        <w:tc>
          <w:tcPr>
            <w:tcW w:w="1468" w:type="dxa"/>
            <w:tcBorders>
              <w:bottom w:val="single" w:sz="8" w:space="0" w:color="auto"/>
            </w:tcBorders>
            <w:shd w:val="clear" w:color="auto" w:fill="D9D9D9"/>
            <w:noWrap/>
            <w:vAlign w:val="bottom"/>
            <w:hideMark/>
          </w:tcPr>
          <w:p w:rsidR="00812C19" w:rsidRPr="003E5ED2" w:rsidRDefault="002034A5" w:rsidP="00BC6EB2">
            <w:pPr>
              <w:jc w:val="right"/>
              <w:rPr>
                <w:rFonts w:ascii="Arial" w:hAnsi="Arial" w:cs="Arial"/>
                <w:b/>
                <w:noProof/>
                <w:sz w:val="18"/>
                <w:szCs w:val="18"/>
                <w:highlight w:val="yellow"/>
              </w:rPr>
            </w:pPr>
            <w:r w:rsidRPr="003E5ED2">
              <w:rPr>
                <w:rFonts w:ascii="Arial" w:hAnsi="Arial" w:cs="Arial"/>
                <w:b/>
                <w:noProof/>
                <w:sz w:val="18"/>
                <w:szCs w:val="18"/>
              </w:rPr>
              <w:t>132.123.038,77</w:t>
            </w:r>
          </w:p>
        </w:tc>
        <w:tc>
          <w:tcPr>
            <w:tcW w:w="667" w:type="dxa"/>
            <w:shd w:val="clear" w:color="auto" w:fill="D9D9D9"/>
            <w:noWrap/>
            <w:vAlign w:val="bottom"/>
            <w:hideMark/>
          </w:tcPr>
          <w:p w:rsidR="00812C19" w:rsidRPr="003E5ED2" w:rsidRDefault="00706F6C" w:rsidP="00BC6EB2">
            <w:pPr>
              <w:jc w:val="right"/>
              <w:rPr>
                <w:rFonts w:ascii="Arial" w:hAnsi="Arial" w:cs="Arial"/>
                <w:b/>
                <w:noProof/>
                <w:sz w:val="18"/>
                <w:szCs w:val="18"/>
                <w:highlight w:val="yellow"/>
              </w:rPr>
            </w:pPr>
            <w:r w:rsidRPr="003E5ED2">
              <w:rPr>
                <w:rFonts w:ascii="Arial" w:hAnsi="Arial" w:cs="Arial"/>
                <w:b/>
                <w:noProof/>
                <w:sz w:val="18"/>
                <w:szCs w:val="18"/>
              </w:rPr>
              <w:t>112,7</w:t>
            </w:r>
          </w:p>
        </w:tc>
        <w:tc>
          <w:tcPr>
            <w:tcW w:w="1447" w:type="dxa"/>
            <w:tcBorders>
              <w:top w:val="single" w:sz="8" w:space="0" w:color="auto"/>
              <w:bottom w:val="single" w:sz="8" w:space="0" w:color="auto"/>
              <w:right w:val="single" w:sz="12" w:space="0" w:color="auto"/>
            </w:tcBorders>
            <w:shd w:val="clear" w:color="auto" w:fill="D9D9D9"/>
            <w:noWrap/>
            <w:vAlign w:val="bottom"/>
            <w:hideMark/>
          </w:tcPr>
          <w:p w:rsidR="00812C19" w:rsidRPr="003E5ED2" w:rsidRDefault="00AE7565" w:rsidP="00BC6EB2">
            <w:pPr>
              <w:jc w:val="right"/>
              <w:rPr>
                <w:rFonts w:ascii="Arial" w:hAnsi="Arial" w:cs="Arial"/>
                <w:b/>
                <w:noProof/>
                <w:sz w:val="18"/>
                <w:szCs w:val="18"/>
                <w:highlight w:val="yellow"/>
              </w:rPr>
            </w:pPr>
            <w:r w:rsidRPr="003E5ED2">
              <w:rPr>
                <w:rFonts w:ascii="Arial" w:hAnsi="Arial" w:cs="Arial"/>
                <w:b/>
                <w:noProof/>
                <w:sz w:val="18"/>
                <w:szCs w:val="18"/>
              </w:rPr>
              <w:t>14.890.726,78</w:t>
            </w:r>
          </w:p>
        </w:tc>
      </w:tr>
      <w:tr w:rsidR="00812C19" w:rsidRPr="003E5ED2" w:rsidTr="00C9621E">
        <w:trPr>
          <w:gridAfter w:val="2"/>
          <w:wAfter w:w="2114" w:type="dxa"/>
          <w:trHeight w:val="470"/>
        </w:trPr>
        <w:tc>
          <w:tcPr>
            <w:tcW w:w="517" w:type="dxa"/>
            <w:tcBorders>
              <w:top w:val="single" w:sz="8" w:space="0" w:color="auto"/>
              <w:left w:val="single" w:sz="12" w:space="0" w:color="auto"/>
              <w:bottom w:val="single" w:sz="8" w:space="0" w:color="auto"/>
            </w:tcBorders>
            <w:shd w:val="clear" w:color="auto" w:fill="auto"/>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922</w:t>
            </w:r>
          </w:p>
        </w:tc>
        <w:tc>
          <w:tcPr>
            <w:tcW w:w="3212" w:type="dxa"/>
            <w:shd w:val="clear" w:color="auto" w:fill="auto"/>
            <w:vAlign w:val="bottom"/>
            <w:hideMark/>
          </w:tcPr>
          <w:p w:rsidR="00812C19" w:rsidRPr="003E5ED2" w:rsidRDefault="00F85290" w:rsidP="00BC6EB2">
            <w:pPr>
              <w:rPr>
                <w:rFonts w:ascii="Arial" w:hAnsi="Arial" w:cs="Arial"/>
                <w:noProof/>
                <w:sz w:val="18"/>
                <w:szCs w:val="18"/>
              </w:rPr>
            </w:pPr>
            <w:r w:rsidRPr="003E5ED2">
              <w:rPr>
                <w:rFonts w:ascii="Arial" w:hAnsi="Arial" w:cs="Arial"/>
                <w:noProof/>
                <w:sz w:val="18"/>
                <w:szCs w:val="18"/>
              </w:rPr>
              <w:t>VIŠ</w:t>
            </w:r>
            <w:r w:rsidR="00812C19" w:rsidRPr="003E5ED2">
              <w:rPr>
                <w:rFonts w:ascii="Arial" w:hAnsi="Arial" w:cs="Arial"/>
                <w:noProof/>
                <w:sz w:val="18"/>
                <w:szCs w:val="18"/>
              </w:rPr>
              <w:t>AK PRIHODA I PRIMITAKA - tekući</w:t>
            </w:r>
          </w:p>
        </w:tc>
        <w:tc>
          <w:tcPr>
            <w:tcW w:w="1107" w:type="dxa"/>
            <w:shd w:val="clear" w:color="auto" w:fill="auto"/>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X005</w:t>
            </w:r>
          </w:p>
        </w:tc>
        <w:tc>
          <w:tcPr>
            <w:tcW w:w="1508" w:type="dxa"/>
            <w:shd w:val="clear" w:color="auto" w:fill="auto"/>
            <w:noWrap/>
            <w:vAlign w:val="bottom"/>
            <w:hideMark/>
          </w:tcPr>
          <w:p w:rsidR="00812C19" w:rsidRPr="003E5ED2" w:rsidRDefault="002034A5" w:rsidP="00BC6EB2">
            <w:pPr>
              <w:jc w:val="right"/>
              <w:rPr>
                <w:rFonts w:ascii="Arial" w:hAnsi="Arial" w:cs="Arial"/>
                <w:noProof/>
                <w:sz w:val="18"/>
                <w:szCs w:val="18"/>
                <w:highlight w:val="yellow"/>
              </w:rPr>
            </w:pPr>
            <w:r w:rsidRPr="003E5ED2">
              <w:rPr>
                <w:rFonts w:ascii="Arial" w:hAnsi="Arial" w:cs="Arial"/>
                <w:noProof/>
                <w:sz w:val="18"/>
                <w:szCs w:val="18"/>
              </w:rPr>
              <w:t>18.092.846,68</w:t>
            </w:r>
          </w:p>
        </w:tc>
        <w:tc>
          <w:tcPr>
            <w:tcW w:w="1468" w:type="dxa"/>
            <w:tcBorders>
              <w:top w:val="single" w:sz="8" w:space="0" w:color="auto"/>
              <w:bottom w:val="single" w:sz="8" w:space="0" w:color="auto"/>
              <w:right w:val="single" w:sz="12" w:space="0" w:color="auto"/>
            </w:tcBorders>
            <w:shd w:val="clear" w:color="auto" w:fill="auto"/>
            <w:noWrap/>
            <w:vAlign w:val="bottom"/>
            <w:hideMark/>
          </w:tcPr>
          <w:p w:rsidR="00812C19" w:rsidRPr="003E5ED2" w:rsidRDefault="00AE7565" w:rsidP="00366FDB">
            <w:pPr>
              <w:jc w:val="right"/>
              <w:rPr>
                <w:rFonts w:ascii="Arial" w:hAnsi="Arial" w:cs="Arial"/>
                <w:noProof/>
                <w:sz w:val="18"/>
                <w:szCs w:val="18"/>
                <w:highlight w:val="yellow"/>
              </w:rPr>
            </w:pPr>
            <w:r w:rsidRPr="003E5ED2">
              <w:rPr>
                <w:rFonts w:ascii="Arial" w:hAnsi="Arial" w:cs="Arial"/>
                <w:noProof/>
                <w:sz w:val="18"/>
                <w:szCs w:val="18"/>
              </w:rPr>
              <w:t>11.403.816,55</w:t>
            </w:r>
          </w:p>
        </w:tc>
      </w:tr>
      <w:tr w:rsidR="00812C19" w:rsidRPr="003E5ED2" w:rsidTr="00C9621E">
        <w:trPr>
          <w:gridAfter w:val="2"/>
          <w:wAfter w:w="2114" w:type="dxa"/>
          <w:trHeight w:val="515"/>
        </w:trPr>
        <w:tc>
          <w:tcPr>
            <w:tcW w:w="517" w:type="dxa"/>
            <w:tcBorders>
              <w:top w:val="single" w:sz="8" w:space="0" w:color="auto"/>
              <w:left w:val="single" w:sz="12" w:space="0" w:color="auto"/>
              <w:bottom w:val="single" w:sz="8" w:space="0" w:color="auto"/>
            </w:tcBorders>
            <w:shd w:val="clear" w:color="auto" w:fill="auto"/>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922</w:t>
            </w:r>
          </w:p>
        </w:tc>
        <w:tc>
          <w:tcPr>
            <w:tcW w:w="3212" w:type="dxa"/>
            <w:tcBorders>
              <w:bottom w:val="single" w:sz="8" w:space="0" w:color="auto"/>
            </w:tcBorders>
            <w:shd w:val="clear" w:color="auto" w:fill="auto"/>
            <w:vAlign w:val="bottom"/>
            <w:hideMark/>
          </w:tcPr>
          <w:p w:rsidR="00812C19" w:rsidRPr="003E5ED2" w:rsidRDefault="0017086F" w:rsidP="00BC6EB2">
            <w:pPr>
              <w:rPr>
                <w:rFonts w:ascii="Arial" w:hAnsi="Arial" w:cs="Arial"/>
                <w:noProof/>
                <w:sz w:val="18"/>
                <w:szCs w:val="18"/>
              </w:rPr>
            </w:pPr>
            <w:r w:rsidRPr="003E5ED2">
              <w:rPr>
                <w:rFonts w:ascii="Arial" w:hAnsi="Arial" w:cs="Arial"/>
                <w:noProof/>
                <w:sz w:val="18"/>
                <w:szCs w:val="18"/>
              </w:rPr>
              <w:t>MANJAK//VIŠAK</w:t>
            </w:r>
            <w:r w:rsidR="00812C19" w:rsidRPr="003E5ED2">
              <w:rPr>
                <w:rFonts w:ascii="Arial" w:hAnsi="Arial" w:cs="Arial"/>
                <w:noProof/>
                <w:sz w:val="18"/>
                <w:szCs w:val="18"/>
              </w:rPr>
              <w:t xml:space="preserve"> PRIHODA I PRIMITAKA - preneseni</w:t>
            </w:r>
          </w:p>
        </w:tc>
        <w:tc>
          <w:tcPr>
            <w:tcW w:w="1107" w:type="dxa"/>
            <w:tcBorders>
              <w:bottom w:val="single" w:sz="8" w:space="0" w:color="auto"/>
            </w:tcBorders>
            <w:shd w:val="clear" w:color="auto" w:fill="auto"/>
            <w:noWrap/>
            <w:vAlign w:val="bottom"/>
            <w:hideMark/>
          </w:tcPr>
          <w:p w:rsidR="00812C19" w:rsidRPr="003E5ED2" w:rsidRDefault="00812C19" w:rsidP="00BC6EB2">
            <w:pPr>
              <w:jc w:val="center"/>
              <w:rPr>
                <w:rFonts w:ascii="Arial" w:hAnsi="Arial" w:cs="Arial"/>
                <w:noProof/>
                <w:sz w:val="18"/>
                <w:szCs w:val="18"/>
              </w:rPr>
            </w:pPr>
            <w:r w:rsidRPr="003E5ED2">
              <w:rPr>
                <w:rFonts w:ascii="Arial" w:hAnsi="Arial" w:cs="Arial"/>
                <w:noProof/>
                <w:sz w:val="18"/>
                <w:szCs w:val="18"/>
              </w:rPr>
              <w:t>9222-9221</w:t>
            </w:r>
          </w:p>
          <w:p w:rsidR="00AE7565" w:rsidRPr="003E5ED2" w:rsidRDefault="00AE7565" w:rsidP="00BC6EB2">
            <w:pPr>
              <w:jc w:val="center"/>
              <w:rPr>
                <w:rFonts w:ascii="Arial" w:hAnsi="Arial" w:cs="Arial"/>
                <w:noProof/>
                <w:sz w:val="18"/>
                <w:szCs w:val="18"/>
              </w:rPr>
            </w:pPr>
            <w:r w:rsidRPr="003E5ED2">
              <w:rPr>
                <w:rFonts w:ascii="Arial" w:hAnsi="Arial" w:cs="Arial"/>
                <w:noProof/>
                <w:sz w:val="18"/>
                <w:szCs w:val="18"/>
              </w:rPr>
              <w:t>9221-9222</w:t>
            </w:r>
          </w:p>
        </w:tc>
        <w:tc>
          <w:tcPr>
            <w:tcW w:w="1508" w:type="dxa"/>
            <w:tcBorders>
              <w:bottom w:val="single" w:sz="8" w:space="0" w:color="auto"/>
            </w:tcBorders>
            <w:shd w:val="clear" w:color="auto" w:fill="auto"/>
            <w:noWrap/>
            <w:vAlign w:val="bottom"/>
            <w:hideMark/>
          </w:tcPr>
          <w:p w:rsidR="00812C19" w:rsidRPr="003E5ED2" w:rsidRDefault="002034A5" w:rsidP="00BC6EB2">
            <w:pPr>
              <w:jc w:val="right"/>
              <w:rPr>
                <w:rFonts w:ascii="Arial" w:hAnsi="Arial" w:cs="Arial"/>
                <w:noProof/>
                <w:sz w:val="18"/>
                <w:szCs w:val="18"/>
                <w:highlight w:val="yellow"/>
              </w:rPr>
            </w:pPr>
            <w:r w:rsidRPr="003E5ED2">
              <w:rPr>
                <w:rFonts w:ascii="Arial" w:hAnsi="Arial" w:cs="Arial"/>
                <w:noProof/>
                <w:sz w:val="18"/>
                <w:szCs w:val="18"/>
              </w:rPr>
              <w:t>-940.353,59</w:t>
            </w:r>
          </w:p>
        </w:tc>
        <w:tc>
          <w:tcPr>
            <w:tcW w:w="1468" w:type="dxa"/>
            <w:tcBorders>
              <w:top w:val="single" w:sz="8" w:space="0" w:color="auto"/>
              <w:bottom w:val="single" w:sz="8" w:space="0" w:color="auto"/>
              <w:right w:val="single" w:sz="12" w:space="0" w:color="auto"/>
            </w:tcBorders>
            <w:shd w:val="clear" w:color="auto" w:fill="auto"/>
            <w:noWrap/>
            <w:vAlign w:val="bottom"/>
            <w:hideMark/>
          </w:tcPr>
          <w:p w:rsidR="00812C19" w:rsidRPr="003E5ED2" w:rsidRDefault="00960DBB" w:rsidP="00BC6EB2">
            <w:pPr>
              <w:jc w:val="right"/>
              <w:rPr>
                <w:rFonts w:ascii="Arial" w:hAnsi="Arial" w:cs="Arial"/>
                <w:noProof/>
                <w:sz w:val="18"/>
                <w:szCs w:val="18"/>
                <w:highlight w:val="yellow"/>
              </w:rPr>
            </w:pPr>
            <w:r w:rsidRPr="003E5ED2">
              <w:rPr>
                <w:rFonts w:ascii="Arial" w:hAnsi="Arial" w:cs="Arial"/>
                <w:noProof/>
                <w:sz w:val="18"/>
                <w:szCs w:val="18"/>
              </w:rPr>
              <w:t>17.167.553,24</w:t>
            </w:r>
            <w:r w:rsidR="0007301A" w:rsidRPr="003E5ED2">
              <w:rPr>
                <w:rFonts w:ascii="Arial" w:hAnsi="Arial" w:cs="Arial"/>
                <w:noProof/>
                <w:sz w:val="18"/>
                <w:szCs w:val="18"/>
              </w:rPr>
              <w:t>*</w:t>
            </w:r>
          </w:p>
        </w:tc>
      </w:tr>
      <w:tr w:rsidR="00812C19" w:rsidRPr="003E5ED2" w:rsidTr="00C9621E">
        <w:trPr>
          <w:gridAfter w:val="2"/>
          <w:wAfter w:w="2114" w:type="dxa"/>
          <w:trHeight w:val="515"/>
        </w:trPr>
        <w:tc>
          <w:tcPr>
            <w:tcW w:w="517" w:type="dxa"/>
            <w:tcBorders>
              <w:top w:val="single" w:sz="8" w:space="0" w:color="auto"/>
              <w:left w:val="single" w:sz="12" w:space="0" w:color="auto"/>
              <w:bottom w:val="single" w:sz="8" w:space="0" w:color="auto"/>
            </w:tcBorders>
            <w:shd w:val="clear" w:color="auto" w:fill="D9D9D9"/>
            <w:noWrap/>
            <w:vAlign w:val="bottom"/>
            <w:hideMark/>
          </w:tcPr>
          <w:p w:rsidR="00812C19" w:rsidRPr="003E5ED2" w:rsidRDefault="00812C19" w:rsidP="00BC6EB2">
            <w:pPr>
              <w:jc w:val="center"/>
              <w:rPr>
                <w:rFonts w:ascii="Arial" w:hAnsi="Arial" w:cs="Arial"/>
                <w:b/>
                <w:noProof/>
                <w:sz w:val="18"/>
                <w:szCs w:val="18"/>
              </w:rPr>
            </w:pPr>
            <w:r w:rsidRPr="003E5ED2">
              <w:rPr>
                <w:rFonts w:ascii="Arial" w:hAnsi="Arial" w:cs="Arial"/>
                <w:b/>
                <w:noProof/>
                <w:sz w:val="18"/>
                <w:szCs w:val="18"/>
              </w:rPr>
              <w:t>922</w:t>
            </w:r>
          </w:p>
        </w:tc>
        <w:tc>
          <w:tcPr>
            <w:tcW w:w="3212" w:type="dxa"/>
            <w:tcBorders>
              <w:top w:val="single" w:sz="8" w:space="0" w:color="auto"/>
              <w:bottom w:val="single" w:sz="8" w:space="0" w:color="auto"/>
            </w:tcBorders>
            <w:shd w:val="clear" w:color="auto" w:fill="D9D9D9"/>
            <w:vAlign w:val="bottom"/>
            <w:hideMark/>
          </w:tcPr>
          <w:p w:rsidR="00812C19" w:rsidRPr="003E5ED2" w:rsidRDefault="00812C19" w:rsidP="00BC6EB2">
            <w:pPr>
              <w:rPr>
                <w:rFonts w:ascii="Arial" w:hAnsi="Arial" w:cs="Arial"/>
                <w:b/>
                <w:noProof/>
                <w:sz w:val="18"/>
                <w:szCs w:val="18"/>
              </w:rPr>
            </w:pPr>
            <w:r w:rsidRPr="003E5ED2">
              <w:rPr>
                <w:rFonts w:ascii="Arial" w:hAnsi="Arial" w:cs="Arial"/>
                <w:b/>
                <w:noProof/>
                <w:sz w:val="18"/>
                <w:szCs w:val="18"/>
              </w:rPr>
              <w:t xml:space="preserve">FINANCIJSKI REZULTAT </w:t>
            </w:r>
          </w:p>
        </w:tc>
        <w:tc>
          <w:tcPr>
            <w:tcW w:w="1107" w:type="dxa"/>
            <w:tcBorders>
              <w:top w:val="single" w:sz="8" w:space="0" w:color="auto"/>
              <w:bottom w:val="single" w:sz="8" w:space="0" w:color="auto"/>
            </w:tcBorders>
            <w:shd w:val="clear" w:color="auto" w:fill="D9D9D9"/>
            <w:noWrap/>
            <w:vAlign w:val="bottom"/>
            <w:hideMark/>
          </w:tcPr>
          <w:p w:rsidR="00812C19" w:rsidRPr="003E5ED2" w:rsidRDefault="00812C19" w:rsidP="00BC6EB2">
            <w:pPr>
              <w:jc w:val="center"/>
              <w:rPr>
                <w:rFonts w:ascii="Arial" w:hAnsi="Arial" w:cs="Arial"/>
                <w:b/>
                <w:noProof/>
                <w:sz w:val="18"/>
                <w:szCs w:val="18"/>
              </w:rPr>
            </w:pPr>
            <w:r w:rsidRPr="003E5ED2">
              <w:rPr>
                <w:rFonts w:ascii="Arial" w:hAnsi="Arial" w:cs="Arial"/>
                <w:b/>
                <w:noProof/>
                <w:sz w:val="18"/>
                <w:szCs w:val="18"/>
              </w:rPr>
              <w:t>X006</w:t>
            </w:r>
          </w:p>
        </w:tc>
        <w:tc>
          <w:tcPr>
            <w:tcW w:w="1508" w:type="dxa"/>
            <w:tcBorders>
              <w:top w:val="single" w:sz="8" w:space="0" w:color="auto"/>
              <w:bottom w:val="single" w:sz="8" w:space="0" w:color="auto"/>
            </w:tcBorders>
            <w:shd w:val="clear" w:color="auto" w:fill="D9D9D9"/>
            <w:noWrap/>
            <w:vAlign w:val="bottom"/>
            <w:hideMark/>
          </w:tcPr>
          <w:p w:rsidR="00812C19" w:rsidRPr="003E5ED2" w:rsidRDefault="002034A5" w:rsidP="00BC6EB2">
            <w:pPr>
              <w:jc w:val="right"/>
              <w:rPr>
                <w:rFonts w:ascii="Arial" w:hAnsi="Arial" w:cs="Arial"/>
                <w:b/>
                <w:noProof/>
                <w:sz w:val="18"/>
                <w:szCs w:val="18"/>
                <w:highlight w:val="yellow"/>
              </w:rPr>
            </w:pPr>
            <w:r w:rsidRPr="003E5ED2">
              <w:rPr>
                <w:rFonts w:ascii="Arial" w:hAnsi="Arial" w:cs="Arial"/>
                <w:b/>
                <w:noProof/>
                <w:sz w:val="18"/>
                <w:szCs w:val="18"/>
              </w:rPr>
              <w:t>17.152.493,09</w:t>
            </w:r>
          </w:p>
        </w:tc>
        <w:tc>
          <w:tcPr>
            <w:tcW w:w="1468" w:type="dxa"/>
            <w:tcBorders>
              <w:top w:val="single" w:sz="8" w:space="0" w:color="auto"/>
              <w:bottom w:val="single" w:sz="8" w:space="0" w:color="auto"/>
              <w:right w:val="single" w:sz="12" w:space="0" w:color="auto"/>
            </w:tcBorders>
            <w:shd w:val="clear" w:color="auto" w:fill="D9D9D9"/>
            <w:noWrap/>
            <w:vAlign w:val="bottom"/>
            <w:hideMark/>
          </w:tcPr>
          <w:p w:rsidR="00812C19" w:rsidRPr="003E5ED2" w:rsidRDefault="00960DBB" w:rsidP="004651E4">
            <w:pPr>
              <w:jc w:val="right"/>
              <w:rPr>
                <w:rFonts w:ascii="Arial" w:hAnsi="Arial" w:cs="Arial"/>
                <w:b/>
                <w:noProof/>
                <w:sz w:val="18"/>
                <w:szCs w:val="18"/>
                <w:highlight w:val="yellow"/>
              </w:rPr>
            </w:pPr>
            <w:r w:rsidRPr="003E5ED2">
              <w:rPr>
                <w:rFonts w:ascii="Arial" w:hAnsi="Arial" w:cs="Arial"/>
                <w:b/>
                <w:noProof/>
                <w:sz w:val="18"/>
                <w:szCs w:val="18"/>
              </w:rPr>
              <w:t>28.571.369,79</w:t>
            </w:r>
          </w:p>
        </w:tc>
      </w:tr>
    </w:tbl>
    <w:p w:rsidR="00C9621E" w:rsidRPr="003E5ED2" w:rsidRDefault="00C9621E" w:rsidP="00915268">
      <w:pPr>
        <w:jc w:val="both"/>
        <w:rPr>
          <w:rFonts w:ascii="Arial" w:hAnsi="Arial" w:cs="Arial"/>
          <w:i/>
          <w:sz w:val="16"/>
          <w:szCs w:val="16"/>
        </w:rPr>
      </w:pPr>
    </w:p>
    <w:p w:rsidR="00233B75" w:rsidRPr="003E5ED2" w:rsidRDefault="00D77A0B" w:rsidP="00915268">
      <w:pPr>
        <w:jc w:val="both"/>
        <w:rPr>
          <w:rFonts w:ascii="Arial" w:hAnsi="Arial" w:cs="Arial"/>
          <w:i/>
          <w:sz w:val="16"/>
          <w:szCs w:val="16"/>
        </w:rPr>
      </w:pPr>
      <w:r w:rsidRPr="003E5ED2">
        <w:rPr>
          <w:rFonts w:ascii="Arial" w:hAnsi="Arial" w:cs="Arial"/>
          <w:i/>
          <w:sz w:val="16"/>
          <w:szCs w:val="16"/>
        </w:rPr>
        <w:t>*</w:t>
      </w:r>
      <w:r w:rsidR="000E69DA" w:rsidRPr="003E5ED2">
        <w:rPr>
          <w:rFonts w:ascii="Arial" w:hAnsi="Arial" w:cs="Arial"/>
          <w:i/>
          <w:sz w:val="16"/>
          <w:szCs w:val="16"/>
        </w:rPr>
        <w:t xml:space="preserve">Napomena: U izvještajnom razdoblju ostvaren je tekući višak u iznosu od </w:t>
      </w:r>
      <w:r w:rsidR="00D608A4" w:rsidRPr="003E5ED2">
        <w:rPr>
          <w:rFonts w:ascii="Arial" w:hAnsi="Arial" w:cs="Arial"/>
          <w:i/>
          <w:sz w:val="16"/>
          <w:szCs w:val="16"/>
        </w:rPr>
        <w:t>11.403.816,55</w:t>
      </w:r>
      <w:r w:rsidR="00E76E2A" w:rsidRPr="003E5ED2">
        <w:rPr>
          <w:rFonts w:ascii="Arial" w:hAnsi="Arial" w:cs="Arial"/>
          <w:i/>
          <w:sz w:val="16"/>
          <w:szCs w:val="16"/>
        </w:rPr>
        <w:t xml:space="preserve"> </w:t>
      </w:r>
      <w:r w:rsidR="00B34E95" w:rsidRPr="003E5ED2">
        <w:rPr>
          <w:rFonts w:ascii="Arial" w:hAnsi="Arial" w:cs="Arial"/>
          <w:i/>
          <w:sz w:val="16"/>
          <w:szCs w:val="16"/>
        </w:rPr>
        <w:t>eura</w:t>
      </w:r>
      <w:r w:rsidR="000E69DA" w:rsidRPr="003E5ED2">
        <w:rPr>
          <w:rFonts w:ascii="Arial" w:hAnsi="Arial" w:cs="Arial"/>
          <w:i/>
          <w:sz w:val="16"/>
          <w:szCs w:val="16"/>
        </w:rPr>
        <w:t xml:space="preserve"> te je na dan </w:t>
      </w:r>
      <w:r w:rsidR="00085FFC" w:rsidRPr="003E5ED2">
        <w:rPr>
          <w:rFonts w:ascii="Arial" w:hAnsi="Arial" w:cs="Arial"/>
          <w:i/>
          <w:sz w:val="16"/>
          <w:szCs w:val="16"/>
        </w:rPr>
        <w:t xml:space="preserve">bilance ukupan </w:t>
      </w:r>
      <w:r w:rsidR="00B34E95" w:rsidRPr="003E5ED2">
        <w:rPr>
          <w:rFonts w:ascii="Arial" w:hAnsi="Arial" w:cs="Arial"/>
          <w:i/>
          <w:sz w:val="16"/>
          <w:szCs w:val="16"/>
        </w:rPr>
        <w:t>višak</w:t>
      </w:r>
      <w:r w:rsidR="00085FFC" w:rsidRPr="003E5ED2">
        <w:rPr>
          <w:rFonts w:ascii="Arial" w:hAnsi="Arial" w:cs="Arial"/>
          <w:i/>
          <w:sz w:val="16"/>
          <w:szCs w:val="16"/>
        </w:rPr>
        <w:t xml:space="preserve"> prihoda i</w:t>
      </w:r>
      <w:r w:rsidR="00915268" w:rsidRPr="003E5ED2">
        <w:rPr>
          <w:rFonts w:ascii="Arial" w:hAnsi="Arial" w:cs="Arial"/>
          <w:i/>
          <w:sz w:val="16"/>
          <w:szCs w:val="16"/>
        </w:rPr>
        <w:t xml:space="preserve"> </w:t>
      </w:r>
      <w:r w:rsidR="000E69DA" w:rsidRPr="003E5ED2">
        <w:rPr>
          <w:rFonts w:ascii="Arial" w:hAnsi="Arial" w:cs="Arial"/>
          <w:i/>
          <w:sz w:val="16"/>
          <w:szCs w:val="16"/>
        </w:rPr>
        <w:t xml:space="preserve">primitaka </w:t>
      </w:r>
      <w:r w:rsidR="00B34E95" w:rsidRPr="003E5ED2">
        <w:rPr>
          <w:rFonts w:ascii="Arial" w:hAnsi="Arial" w:cs="Arial"/>
          <w:i/>
          <w:sz w:val="16"/>
          <w:szCs w:val="16"/>
        </w:rPr>
        <w:t xml:space="preserve">raspoloživ </w:t>
      </w:r>
      <w:r w:rsidR="00233B75" w:rsidRPr="003E5ED2">
        <w:rPr>
          <w:rFonts w:ascii="Arial" w:hAnsi="Arial" w:cs="Arial"/>
          <w:i/>
          <w:sz w:val="16"/>
          <w:szCs w:val="16"/>
        </w:rPr>
        <w:t>u sl</w:t>
      </w:r>
      <w:r w:rsidR="000E69DA" w:rsidRPr="003E5ED2">
        <w:rPr>
          <w:rFonts w:ascii="Arial" w:hAnsi="Arial" w:cs="Arial"/>
          <w:i/>
          <w:sz w:val="16"/>
          <w:szCs w:val="16"/>
        </w:rPr>
        <w:t xml:space="preserve">jedećem razdoblju utvrđen u iznosu </w:t>
      </w:r>
      <w:r w:rsidR="00960DBB" w:rsidRPr="003E5ED2">
        <w:rPr>
          <w:rFonts w:ascii="Arial" w:hAnsi="Arial" w:cs="Arial"/>
          <w:i/>
          <w:sz w:val="16"/>
          <w:szCs w:val="16"/>
        </w:rPr>
        <w:t>28.571.369,79 eura.</w:t>
      </w:r>
      <w:r w:rsidR="000E69DA" w:rsidRPr="003E5ED2">
        <w:rPr>
          <w:rFonts w:ascii="Arial" w:hAnsi="Arial" w:cs="Arial"/>
          <w:i/>
          <w:sz w:val="16"/>
          <w:szCs w:val="16"/>
        </w:rPr>
        <w:t xml:space="preserve"> </w:t>
      </w:r>
      <w:r w:rsidR="00960DBB" w:rsidRPr="003E5ED2">
        <w:rPr>
          <w:rFonts w:ascii="Arial" w:hAnsi="Arial" w:cs="Arial"/>
          <w:i/>
          <w:sz w:val="16"/>
          <w:szCs w:val="16"/>
        </w:rPr>
        <w:t>P</w:t>
      </w:r>
      <w:r w:rsidR="00D608A4" w:rsidRPr="003E5ED2">
        <w:rPr>
          <w:rFonts w:ascii="Arial" w:hAnsi="Arial" w:cs="Arial"/>
          <w:i/>
          <w:sz w:val="16"/>
          <w:szCs w:val="16"/>
        </w:rPr>
        <w:t>reneseni višak</w:t>
      </w:r>
      <w:r w:rsidR="00960DBB" w:rsidRPr="003E5ED2">
        <w:rPr>
          <w:rFonts w:ascii="Arial" w:hAnsi="Arial" w:cs="Arial"/>
          <w:i/>
          <w:sz w:val="16"/>
          <w:szCs w:val="16"/>
        </w:rPr>
        <w:t xml:space="preserve"> iz prethodnih godina iznosio</w:t>
      </w:r>
      <w:r w:rsidR="0009578A" w:rsidRPr="003E5ED2">
        <w:rPr>
          <w:rFonts w:ascii="Arial" w:hAnsi="Arial" w:cs="Arial"/>
          <w:i/>
          <w:sz w:val="16"/>
          <w:szCs w:val="16"/>
        </w:rPr>
        <w:t xml:space="preserve"> je</w:t>
      </w:r>
      <w:r w:rsidR="00375014" w:rsidRPr="003E5ED2">
        <w:rPr>
          <w:rFonts w:ascii="Arial" w:hAnsi="Arial" w:cs="Arial"/>
          <w:i/>
          <w:sz w:val="16"/>
          <w:szCs w:val="16"/>
        </w:rPr>
        <w:t xml:space="preserve"> </w:t>
      </w:r>
      <w:r w:rsidR="00D608A4" w:rsidRPr="003E5ED2">
        <w:rPr>
          <w:rFonts w:ascii="Arial" w:hAnsi="Arial" w:cs="Arial"/>
          <w:i/>
          <w:sz w:val="16"/>
          <w:szCs w:val="16"/>
        </w:rPr>
        <w:t>17.152.493,09</w:t>
      </w:r>
      <w:r w:rsidR="00375014" w:rsidRPr="003E5ED2">
        <w:rPr>
          <w:rFonts w:ascii="Arial" w:hAnsi="Arial" w:cs="Arial"/>
          <w:i/>
          <w:sz w:val="16"/>
          <w:szCs w:val="16"/>
        </w:rPr>
        <w:t xml:space="preserve"> eura</w:t>
      </w:r>
      <w:r w:rsidR="00960DBB" w:rsidRPr="003E5ED2">
        <w:rPr>
          <w:rFonts w:ascii="Arial" w:hAnsi="Arial" w:cs="Arial"/>
          <w:i/>
          <w:sz w:val="16"/>
          <w:szCs w:val="16"/>
        </w:rPr>
        <w:t xml:space="preserve"> </w:t>
      </w:r>
      <w:r w:rsidR="0009578A" w:rsidRPr="003E5ED2">
        <w:rPr>
          <w:rFonts w:ascii="Arial" w:hAnsi="Arial" w:cs="Arial"/>
          <w:i/>
          <w:sz w:val="16"/>
          <w:szCs w:val="16"/>
        </w:rPr>
        <w:t>i uvećan je za 15.060,15 eura zbog proveden</w:t>
      </w:r>
      <w:r w:rsidR="00F37E34" w:rsidRPr="003E5ED2">
        <w:rPr>
          <w:rFonts w:ascii="Arial" w:hAnsi="Arial" w:cs="Arial"/>
          <w:i/>
          <w:sz w:val="16"/>
          <w:szCs w:val="16"/>
        </w:rPr>
        <w:t>e</w:t>
      </w:r>
      <w:r w:rsidR="0009578A" w:rsidRPr="003E5ED2">
        <w:rPr>
          <w:rFonts w:ascii="Arial" w:hAnsi="Arial" w:cs="Arial"/>
          <w:i/>
          <w:sz w:val="16"/>
          <w:szCs w:val="16"/>
        </w:rPr>
        <w:t xml:space="preserve"> </w:t>
      </w:r>
      <w:r w:rsidR="00F37E34" w:rsidRPr="003E5ED2">
        <w:rPr>
          <w:rFonts w:ascii="Arial" w:hAnsi="Arial" w:cs="Arial"/>
          <w:i/>
          <w:sz w:val="16"/>
          <w:szCs w:val="16"/>
        </w:rPr>
        <w:t xml:space="preserve">korekcije rezultata kod </w:t>
      </w:r>
      <w:r w:rsidR="0009578A" w:rsidRPr="003E5ED2">
        <w:rPr>
          <w:rFonts w:ascii="Arial" w:hAnsi="Arial" w:cs="Arial"/>
          <w:i/>
          <w:sz w:val="16"/>
          <w:szCs w:val="16"/>
        </w:rPr>
        <w:t xml:space="preserve">otpisa obveza prethodnih godina te je konačni </w:t>
      </w:r>
      <w:r w:rsidR="00960DBB" w:rsidRPr="003E5ED2">
        <w:rPr>
          <w:rFonts w:ascii="Arial" w:hAnsi="Arial" w:cs="Arial"/>
          <w:i/>
          <w:sz w:val="16"/>
          <w:szCs w:val="16"/>
        </w:rPr>
        <w:t xml:space="preserve">preneseni višak </w:t>
      </w:r>
      <w:r w:rsidR="0009578A" w:rsidRPr="003E5ED2">
        <w:rPr>
          <w:rFonts w:ascii="Arial" w:hAnsi="Arial" w:cs="Arial"/>
          <w:i/>
          <w:sz w:val="16"/>
          <w:szCs w:val="16"/>
        </w:rPr>
        <w:t xml:space="preserve">u obrascima na 31.12.2024. </w:t>
      </w:r>
      <w:r w:rsidR="00960DBB" w:rsidRPr="003E5ED2">
        <w:rPr>
          <w:rFonts w:ascii="Arial" w:hAnsi="Arial" w:cs="Arial"/>
          <w:i/>
          <w:sz w:val="16"/>
          <w:szCs w:val="16"/>
        </w:rPr>
        <w:t xml:space="preserve">iskazan </w:t>
      </w:r>
      <w:r w:rsidR="0009578A" w:rsidRPr="003E5ED2">
        <w:rPr>
          <w:rFonts w:ascii="Arial" w:hAnsi="Arial" w:cs="Arial"/>
          <w:i/>
          <w:sz w:val="16"/>
          <w:szCs w:val="16"/>
        </w:rPr>
        <w:t xml:space="preserve">u iznosu od </w:t>
      </w:r>
      <w:r w:rsidR="00960DBB" w:rsidRPr="003E5ED2">
        <w:rPr>
          <w:rFonts w:ascii="Arial" w:hAnsi="Arial" w:cs="Arial"/>
          <w:i/>
          <w:sz w:val="16"/>
          <w:szCs w:val="16"/>
        </w:rPr>
        <w:t>17.167.553,24 eura.</w:t>
      </w:r>
    </w:p>
    <w:p w:rsidR="000553CC" w:rsidRPr="003E5ED2" w:rsidRDefault="000553CC" w:rsidP="001E2EF1">
      <w:pPr>
        <w:jc w:val="both"/>
        <w:rPr>
          <w:rFonts w:ascii="Arial" w:hAnsi="Arial" w:cs="Arial"/>
          <w:i/>
          <w:sz w:val="16"/>
          <w:szCs w:val="16"/>
        </w:rPr>
      </w:pPr>
    </w:p>
    <w:p w:rsidR="000E69DA" w:rsidRPr="003E5ED2" w:rsidRDefault="000E69DA" w:rsidP="000E69DA">
      <w:pPr>
        <w:tabs>
          <w:tab w:val="left" w:pos="284"/>
          <w:tab w:val="left" w:pos="567"/>
          <w:tab w:val="left" w:pos="851"/>
        </w:tabs>
        <w:jc w:val="both"/>
        <w:rPr>
          <w:b/>
        </w:rPr>
      </w:pPr>
    </w:p>
    <w:p w:rsidR="005E5E34" w:rsidRPr="003E5ED2" w:rsidRDefault="005E5E34" w:rsidP="000E69DA">
      <w:pPr>
        <w:tabs>
          <w:tab w:val="left" w:pos="284"/>
          <w:tab w:val="left" w:pos="567"/>
          <w:tab w:val="left" w:pos="851"/>
        </w:tabs>
        <w:jc w:val="both"/>
        <w:rPr>
          <w:b/>
        </w:rPr>
      </w:pPr>
    </w:p>
    <w:p w:rsidR="0017086F" w:rsidRPr="003E5ED2" w:rsidRDefault="0017086F" w:rsidP="000E69DA">
      <w:pPr>
        <w:tabs>
          <w:tab w:val="left" w:pos="284"/>
          <w:tab w:val="left" w:pos="567"/>
          <w:tab w:val="left" w:pos="851"/>
        </w:tabs>
        <w:jc w:val="both"/>
        <w:rPr>
          <w:b/>
        </w:rPr>
      </w:pPr>
    </w:p>
    <w:p w:rsidR="00885842" w:rsidRPr="003E5ED2" w:rsidRDefault="00885842" w:rsidP="000E69DA">
      <w:pPr>
        <w:tabs>
          <w:tab w:val="left" w:pos="284"/>
          <w:tab w:val="left" w:pos="567"/>
          <w:tab w:val="left" w:pos="851"/>
        </w:tabs>
        <w:jc w:val="both"/>
        <w:rPr>
          <w:b/>
        </w:rPr>
      </w:pPr>
    </w:p>
    <w:p w:rsidR="00C51623" w:rsidRPr="003E5ED2" w:rsidRDefault="00C51623" w:rsidP="000E69DA">
      <w:pPr>
        <w:tabs>
          <w:tab w:val="left" w:pos="284"/>
          <w:tab w:val="left" w:pos="567"/>
          <w:tab w:val="left" w:pos="851"/>
        </w:tabs>
        <w:ind w:left="1440" w:hanging="1440"/>
        <w:jc w:val="both"/>
        <w:rPr>
          <w:rFonts w:ascii="Arial" w:hAnsi="Arial" w:cs="Arial"/>
          <w:b/>
          <w:sz w:val="22"/>
          <w:szCs w:val="22"/>
        </w:rPr>
      </w:pPr>
    </w:p>
    <w:p w:rsidR="000E69DA" w:rsidRPr="003E5ED2" w:rsidRDefault="002E31B3" w:rsidP="000E69DA">
      <w:pPr>
        <w:tabs>
          <w:tab w:val="left" w:pos="284"/>
          <w:tab w:val="left" w:pos="567"/>
          <w:tab w:val="left" w:pos="851"/>
        </w:tabs>
        <w:ind w:left="1440" w:hanging="1440"/>
        <w:jc w:val="both"/>
        <w:rPr>
          <w:rFonts w:ascii="Arial" w:hAnsi="Arial" w:cs="Arial"/>
          <w:sz w:val="22"/>
          <w:szCs w:val="22"/>
        </w:rPr>
      </w:pPr>
      <w:r w:rsidRPr="003E5ED2">
        <w:rPr>
          <w:rFonts w:ascii="Arial" w:hAnsi="Arial" w:cs="Arial"/>
          <w:b/>
          <w:sz w:val="22"/>
          <w:szCs w:val="22"/>
        </w:rPr>
        <w:t>Bilješka broj 12</w:t>
      </w:r>
      <w:r w:rsidR="000E69DA" w:rsidRPr="003E5ED2">
        <w:rPr>
          <w:rFonts w:ascii="Arial" w:hAnsi="Arial" w:cs="Arial"/>
          <w:b/>
          <w:sz w:val="22"/>
          <w:szCs w:val="22"/>
        </w:rPr>
        <w:t xml:space="preserve"> –</w:t>
      </w:r>
      <w:r w:rsidR="00C14104" w:rsidRPr="003E5ED2">
        <w:rPr>
          <w:rFonts w:ascii="Arial" w:hAnsi="Arial" w:cs="Arial"/>
          <w:b/>
          <w:sz w:val="22"/>
          <w:szCs w:val="22"/>
        </w:rPr>
        <w:t xml:space="preserve"> 6</w:t>
      </w:r>
      <w:r w:rsidR="000E69DA" w:rsidRPr="003E5ED2">
        <w:rPr>
          <w:rFonts w:ascii="Arial" w:hAnsi="Arial" w:cs="Arial"/>
          <w:b/>
          <w:sz w:val="22"/>
          <w:szCs w:val="22"/>
        </w:rPr>
        <w:t xml:space="preserve"> </w:t>
      </w:r>
      <w:r w:rsidR="00C31ECC" w:rsidRPr="003E5ED2">
        <w:rPr>
          <w:rFonts w:ascii="Arial" w:hAnsi="Arial" w:cs="Arial"/>
          <w:b/>
          <w:sz w:val="22"/>
          <w:szCs w:val="22"/>
        </w:rPr>
        <w:t xml:space="preserve"> </w:t>
      </w:r>
      <w:r w:rsidR="000E69DA" w:rsidRPr="003E5ED2">
        <w:rPr>
          <w:rFonts w:ascii="Arial" w:hAnsi="Arial" w:cs="Arial"/>
          <w:b/>
          <w:sz w:val="22"/>
          <w:szCs w:val="22"/>
        </w:rPr>
        <w:t>PRIHODI POSLOVANJA</w:t>
      </w:r>
      <w:r w:rsidR="006A6A68" w:rsidRPr="003E5ED2">
        <w:rPr>
          <w:rFonts w:ascii="Arial" w:hAnsi="Arial" w:cs="Arial"/>
          <w:b/>
          <w:sz w:val="22"/>
          <w:szCs w:val="22"/>
        </w:rPr>
        <w:t xml:space="preserve">                                             </w:t>
      </w:r>
    </w:p>
    <w:p w:rsidR="000E69DA" w:rsidRPr="003E5ED2" w:rsidRDefault="000E69DA" w:rsidP="000E69DA">
      <w:pPr>
        <w:rPr>
          <w:rFonts w:ascii="Arial" w:hAnsi="Arial" w:cs="Arial"/>
          <w:sz w:val="22"/>
          <w:szCs w:val="22"/>
        </w:rPr>
      </w:pPr>
    </w:p>
    <w:p w:rsidR="000E69DA" w:rsidRPr="003E5ED2" w:rsidRDefault="000E69DA" w:rsidP="000E69DA">
      <w:pPr>
        <w:jc w:val="both"/>
        <w:rPr>
          <w:rFonts w:ascii="Arial" w:hAnsi="Arial" w:cs="Arial"/>
          <w:sz w:val="22"/>
          <w:szCs w:val="22"/>
        </w:rPr>
      </w:pPr>
      <w:r w:rsidRPr="003E5ED2">
        <w:rPr>
          <w:rFonts w:ascii="Arial" w:hAnsi="Arial" w:cs="Arial"/>
          <w:b/>
          <w:sz w:val="22"/>
          <w:szCs w:val="22"/>
        </w:rPr>
        <w:t>Prihodi poslovanja (</w:t>
      </w:r>
      <w:r w:rsidR="00414D86" w:rsidRPr="003E5ED2">
        <w:rPr>
          <w:rFonts w:ascii="Arial" w:hAnsi="Arial" w:cs="Arial"/>
          <w:b/>
          <w:sz w:val="22"/>
          <w:szCs w:val="22"/>
        </w:rPr>
        <w:t>6</w:t>
      </w:r>
      <w:r w:rsidRPr="003E5ED2">
        <w:rPr>
          <w:rFonts w:ascii="Arial" w:hAnsi="Arial" w:cs="Arial"/>
          <w:b/>
          <w:sz w:val="22"/>
          <w:szCs w:val="22"/>
        </w:rPr>
        <w:t xml:space="preserve">) </w:t>
      </w:r>
      <w:r w:rsidRPr="003E5ED2">
        <w:rPr>
          <w:rFonts w:ascii="Arial" w:hAnsi="Arial" w:cs="Arial"/>
          <w:sz w:val="22"/>
          <w:szCs w:val="22"/>
        </w:rPr>
        <w:t xml:space="preserve">ostvareni su u iznosu </w:t>
      </w:r>
      <w:r w:rsidR="00885842" w:rsidRPr="003E5ED2">
        <w:rPr>
          <w:rFonts w:ascii="Arial" w:hAnsi="Arial" w:cs="Arial"/>
          <w:sz w:val="22"/>
          <w:szCs w:val="22"/>
        </w:rPr>
        <w:t>137.754.229,42</w:t>
      </w:r>
      <w:r w:rsidR="00EF0A6D" w:rsidRPr="003E5ED2">
        <w:rPr>
          <w:rFonts w:ascii="Arial" w:hAnsi="Arial" w:cs="Arial"/>
          <w:sz w:val="22"/>
          <w:szCs w:val="22"/>
        </w:rPr>
        <w:t xml:space="preserve"> eura</w:t>
      </w:r>
      <w:r w:rsidRPr="003E5ED2">
        <w:rPr>
          <w:rFonts w:ascii="Arial" w:hAnsi="Arial" w:cs="Arial"/>
          <w:sz w:val="22"/>
          <w:szCs w:val="22"/>
        </w:rPr>
        <w:t xml:space="preserve">. U odnosu na ostvarenje </w:t>
      </w:r>
      <w:r w:rsidR="004A2C40" w:rsidRPr="003E5ED2">
        <w:rPr>
          <w:rFonts w:ascii="Arial" w:hAnsi="Arial" w:cs="Arial"/>
          <w:sz w:val="22"/>
          <w:szCs w:val="22"/>
        </w:rPr>
        <w:t xml:space="preserve">ovih </w:t>
      </w:r>
      <w:r w:rsidRPr="003E5ED2">
        <w:rPr>
          <w:rFonts w:ascii="Arial" w:hAnsi="Arial" w:cs="Arial"/>
          <w:sz w:val="22"/>
          <w:szCs w:val="22"/>
        </w:rPr>
        <w:t xml:space="preserve">prihoda prethodne godine bilježi se </w:t>
      </w:r>
      <w:r w:rsidR="00022E92" w:rsidRPr="003E5ED2">
        <w:rPr>
          <w:rFonts w:ascii="Arial" w:hAnsi="Arial" w:cs="Arial"/>
          <w:sz w:val="22"/>
          <w:szCs w:val="22"/>
        </w:rPr>
        <w:t>povećanje</w:t>
      </w:r>
      <w:r w:rsidRPr="003E5ED2">
        <w:rPr>
          <w:rFonts w:ascii="Arial" w:hAnsi="Arial" w:cs="Arial"/>
          <w:sz w:val="22"/>
          <w:szCs w:val="22"/>
        </w:rPr>
        <w:t xml:space="preserve"> od </w:t>
      </w:r>
      <w:r w:rsidR="00885842" w:rsidRPr="003E5ED2">
        <w:rPr>
          <w:rFonts w:ascii="Arial" w:hAnsi="Arial" w:cs="Arial"/>
          <w:sz w:val="22"/>
          <w:szCs w:val="22"/>
        </w:rPr>
        <w:t>15.412.437,16</w:t>
      </w:r>
      <w:r w:rsidR="00945A42" w:rsidRPr="003E5ED2">
        <w:rPr>
          <w:rFonts w:ascii="Arial" w:hAnsi="Arial" w:cs="Arial"/>
          <w:sz w:val="22"/>
          <w:szCs w:val="22"/>
        </w:rPr>
        <w:t xml:space="preserve"> </w:t>
      </w:r>
      <w:r w:rsidR="00EF0A6D" w:rsidRPr="003E5ED2">
        <w:rPr>
          <w:rFonts w:ascii="Arial" w:hAnsi="Arial" w:cs="Arial"/>
          <w:sz w:val="22"/>
          <w:szCs w:val="22"/>
        </w:rPr>
        <w:t>eura ili 12</w:t>
      </w:r>
      <w:r w:rsidR="00885842" w:rsidRPr="003E5ED2">
        <w:rPr>
          <w:rFonts w:ascii="Arial" w:hAnsi="Arial" w:cs="Arial"/>
          <w:sz w:val="22"/>
          <w:szCs w:val="22"/>
        </w:rPr>
        <w:t>,6</w:t>
      </w:r>
      <w:r w:rsidRPr="003E5ED2">
        <w:rPr>
          <w:rFonts w:ascii="Arial" w:hAnsi="Arial" w:cs="Arial"/>
          <w:sz w:val="22"/>
          <w:szCs w:val="22"/>
        </w:rPr>
        <w:t>%.</w:t>
      </w:r>
    </w:p>
    <w:p w:rsidR="00FA7EB2" w:rsidRPr="003E5ED2" w:rsidRDefault="000E69DA" w:rsidP="00FA7EB2">
      <w:pPr>
        <w:jc w:val="both"/>
        <w:rPr>
          <w:rFonts w:ascii="Arial" w:hAnsi="Arial" w:cs="Arial"/>
          <w:sz w:val="22"/>
          <w:szCs w:val="22"/>
        </w:rPr>
      </w:pPr>
      <w:r w:rsidRPr="003E5ED2">
        <w:rPr>
          <w:rFonts w:ascii="Arial" w:hAnsi="Arial" w:cs="Arial"/>
          <w:sz w:val="22"/>
          <w:szCs w:val="22"/>
        </w:rPr>
        <w:t>U strukturi ovih prihoda najznačajniju stavku čine po</w:t>
      </w:r>
      <w:r w:rsidR="00E851EA" w:rsidRPr="003E5ED2">
        <w:rPr>
          <w:rFonts w:ascii="Arial" w:hAnsi="Arial" w:cs="Arial"/>
          <w:sz w:val="22"/>
          <w:szCs w:val="22"/>
        </w:rPr>
        <w:t xml:space="preserve">rezni prihodi s udjelom od </w:t>
      </w:r>
      <w:r w:rsidR="00885842" w:rsidRPr="003E5ED2">
        <w:rPr>
          <w:rFonts w:ascii="Arial" w:hAnsi="Arial" w:cs="Arial"/>
          <w:sz w:val="22"/>
          <w:szCs w:val="22"/>
        </w:rPr>
        <w:t>69,</w:t>
      </w:r>
      <w:r w:rsidR="00004BC7" w:rsidRPr="003E5ED2">
        <w:rPr>
          <w:rFonts w:ascii="Arial" w:hAnsi="Arial" w:cs="Arial"/>
          <w:sz w:val="22"/>
          <w:szCs w:val="22"/>
        </w:rPr>
        <w:t>26</w:t>
      </w:r>
      <w:r w:rsidR="00016753" w:rsidRPr="003E5ED2">
        <w:rPr>
          <w:rFonts w:ascii="Arial" w:hAnsi="Arial" w:cs="Arial"/>
          <w:sz w:val="22"/>
          <w:szCs w:val="22"/>
        </w:rPr>
        <w:t>%, slijede</w:t>
      </w:r>
      <w:r w:rsidR="00414D86" w:rsidRPr="003E5ED2">
        <w:rPr>
          <w:rFonts w:ascii="Arial" w:hAnsi="Arial" w:cs="Arial"/>
          <w:sz w:val="22"/>
          <w:szCs w:val="22"/>
        </w:rPr>
        <w:t xml:space="preserve"> </w:t>
      </w:r>
      <w:r w:rsidRPr="003E5ED2">
        <w:rPr>
          <w:rFonts w:ascii="Arial" w:hAnsi="Arial" w:cs="Arial"/>
          <w:sz w:val="22"/>
          <w:szCs w:val="22"/>
        </w:rPr>
        <w:t>prihodi od upravnih i administrativnih pristojbi i po p</w:t>
      </w:r>
      <w:r w:rsidR="00A92B77" w:rsidRPr="003E5ED2">
        <w:rPr>
          <w:rFonts w:ascii="Arial" w:hAnsi="Arial" w:cs="Arial"/>
          <w:sz w:val="22"/>
          <w:szCs w:val="22"/>
        </w:rPr>
        <w:t>o</w:t>
      </w:r>
      <w:r w:rsidR="00022E92" w:rsidRPr="003E5ED2">
        <w:rPr>
          <w:rFonts w:ascii="Arial" w:hAnsi="Arial" w:cs="Arial"/>
          <w:sz w:val="22"/>
          <w:szCs w:val="22"/>
        </w:rPr>
        <w:t xml:space="preserve">sebnim propisima s udjelom </w:t>
      </w:r>
      <w:r w:rsidR="00885842" w:rsidRPr="003E5ED2">
        <w:rPr>
          <w:rFonts w:ascii="Arial" w:hAnsi="Arial" w:cs="Arial"/>
          <w:sz w:val="22"/>
          <w:szCs w:val="22"/>
        </w:rPr>
        <w:t>12,7</w:t>
      </w:r>
      <w:r w:rsidR="00004BC7" w:rsidRPr="003E5ED2">
        <w:rPr>
          <w:rFonts w:ascii="Arial" w:hAnsi="Arial" w:cs="Arial"/>
          <w:sz w:val="22"/>
          <w:szCs w:val="22"/>
        </w:rPr>
        <w:t>1</w:t>
      </w:r>
      <w:r w:rsidRPr="003E5ED2">
        <w:rPr>
          <w:rFonts w:ascii="Arial" w:hAnsi="Arial" w:cs="Arial"/>
          <w:sz w:val="22"/>
          <w:szCs w:val="22"/>
        </w:rPr>
        <w:t xml:space="preserve">%, </w:t>
      </w:r>
      <w:r w:rsidR="00022E92" w:rsidRPr="003E5ED2">
        <w:rPr>
          <w:rFonts w:ascii="Arial" w:hAnsi="Arial" w:cs="Arial"/>
          <w:sz w:val="22"/>
          <w:szCs w:val="22"/>
        </w:rPr>
        <w:t xml:space="preserve">prihodi od imovine s udjelom od </w:t>
      </w:r>
      <w:r w:rsidR="00885842" w:rsidRPr="003E5ED2">
        <w:rPr>
          <w:rFonts w:ascii="Arial" w:hAnsi="Arial" w:cs="Arial"/>
          <w:sz w:val="22"/>
          <w:szCs w:val="22"/>
        </w:rPr>
        <w:t>10,2</w:t>
      </w:r>
      <w:r w:rsidR="00004BC7" w:rsidRPr="003E5ED2">
        <w:rPr>
          <w:rFonts w:ascii="Arial" w:hAnsi="Arial" w:cs="Arial"/>
          <w:sz w:val="22"/>
          <w:szCs w:val="22"/>
        </w:rPr>
        <w:t>0</w:t>
      </w:r>
      <w:r w:rsidR="00022E92" w:rsidRPr="003E5ED2">
        <w:rPr>
          <w:rFonts w:ascii="Arial" w:hAnsi="Arial" w:cs="Arial"/>
          <w:sz w:val="22"/>
          <w:szCs w:val="22"/>
        </w:rPr>
        <w:t xml:space="preserve">%, </w:t>
      </w:r>
      <w:r w:rsidRPr="003E5ED2">
        <w:rPr>
          <w:rFonts w:ascii="Arial" w:hAnsi="Arial" w:cs="Arial"/>
          <w:sz w:val="22"/>
          <w:szCs w:val="22"/>
        </w:rPr>
        <w:t>zatim prihodi od pomoći iz inozemstva i od subjek</w:t>
      </w:r>
      <w:r w:rsidR="00022E92" w:rsidRPr="003E5ED2">
        <w:rPr>
          <w:rFonts w:ascii="Arial" w:hAnsi="Arial" w:cs="Arial"/>
          <w:sz w:val="22"/>
          <w:szCs w:val="22"/>
        </w:rPr>
        <w:t>ata unutar općeg proračuna</w:t>
      </w:r>
      <w:r w:rsidR="00E851EA" w:rsidRPr="003E5ED2">
        <w:rPr>
          <w:rFonts w:ascii="Arial" w:hAnsi="Arial" w:cs="Arial"/>
          <w:sz w:val="22"/>
          <w:szCs w:val="22"/>
        </w:rPr>
        <w:t xml:space="preserve"> s udjelom od</w:t>
      </w:r>
      <w:r w:rsidR="00022E92" w:rsidRPr="003E5ED2">
        <w:rPr>
          <w:rFonts w:ascii="Arial" w:hAnsi="Arial" w:cs="Arial"/>
          <w:sz w:val="22"/>
          <w:szCs w:val="22"/>
        </w:rPr>
        <w:t xml:space="preserve"> </w:t>
      </w:r>
      <w:r w:rsidR="00004BC7" w:rsidRPr="003E5ED2">
        <w:rPr>
          <w:rFonts w:ascii="Arial" w:hAnsi="Arial" w:cs="Arial"/>
          <w:sz w:val="22"/>
          <w:szCs w:val="22"/>
        </w:rPr>
        <w:t>5,79</w:t>
      </w:r>
      <w:r w:rsidR="00E851EA" w:rsidRPr="003E5ED2">
        <w:rPr>
          <w:rFonts w:ascii="Arial" w:hAnsi="Arial" w:cs="Arial"/>
          <w:sz w:val="22"/>
          <w:szCs w:val="22"/>
        </w:rPr>
        <w:t>%.</w:t>
      </w:r>
      <w:r w:rsidR="00FA7EB2" w:rsidRPr="003E5ED2">
        <w:rPr>
          <w:rFonts w:ascii="Arial" w:hAnsi="Arial" w:cs="Arial"/>
          <w:sz w:val="22"/>
          <w:szCs w:val="22"/>
        </w:rPr>
        <w:t xml:space="preserve"> Prihodi od kazni, upravnih mjera i ostali prihodi participiraju u ukupnim prihodima poslovanja s </w:t>
      </w:r>
      <w:r w:rsidR="00004BC7" w:rsidRPr="003E5ED2">
        <w:rPr>
          <w:rFonts w:ascii="Arial" w:hAnsi="Arial" w:cs="Arial"/>
          <w:sz w:val="22"/>
          <w:szCs w:val="22"/>
        </w:rPr>
        <w:t>1,97</w:t>
      </w:r>
      <w:r w:rsidR="00C56DD6" w:rsidRPr="003E5ED2">
        <w:rPr>
          <w:rFonts w:ascii="Arial" w:hAnsi="Arial" w:cs="Arial"/>
          <w:sz w:val="22"/>
          <w:szCs w:val="22"/>
        </w:rPr>
        <w:t xml:space="preserve"> % te</w:t>
      </w:r>
      <w:r w:rsidR="00FA7EB2" w:rsidRPr="003E5ED2">
        <w:rPr>
          <w:rFonts w:ascii="Arial" w:hAnsi="Arial" w:cs="Arial"/>
          <w:sz w:val="22"/>
          <w:szCs w:val="22"/>
        </w:rPr>
        <w:t xml:space="preserve"> </w:t>
      </w:r>
      <w:r w:rsidR="00C56DD6" w:rsidRPr="003E5ED2">
        <w:rPr>
          <w:rFonts w:ascii="Arial" w:hAnsi="Arial" w:cs="Arial"/>
          <w:sz w:val="22"/>
          <w:szCs w:val="22"/>
        </w:rPr>
        <w:t>p</w:t>
      </w:r>
      <w:r w:rsidR="00FA7EB2" w:rsidRPr="003E5ED2">
        <w:rPr>
          <w:rFonts w:ascii="Arial" w:hAnsi="Arial" w:cs="Arial"/>
          <w:sz w:val="22"/>
          <w:szCs w:val="22"/>
        </w:rPr>
        <w:t xml:space="preserve">rihodi od prodaje proizvoda i robe te pruženih usluga i prihodi od donacija s ukupno </w:t>
      </w:r>
      <w:r w:rsidR="00004BC7" w:rsidRPr="003E5ED2">
        <w:rPr>
          <w:rFonts w:ascii="Arial" w:hAnsi="Arial" w:cs="Arial"/>
          <w:sz w:val="22"/>
          <w:szCs w:val="22"/>
        </w:rPr>
        <w:t>0,07</w:t>
      </w:r>
      <w:r w:rsidR="00FA7EB2" w:rsidRPr="003E5ED2">
        <w:rPr>
          <w:rFonts w:ascii="Arial" w:hAnsi="Arial" w:cs="Arial"/>
          <w:sz w:val="22"/>
          <w:szCs w:val="22"/>
        </w:rPr>
        <w:t xml:space="preserve">%. </w:t>
      </w:r>
    </w:p>
    <w:p w:rsidR="00477C0F" w:rsidRPr="003E5ED2" w:rsidRDefault="00477C0F" w:rsidP="000E69DA">
      <w:pPr>
        <w:jc w:val="both"/>
        <w:rPr>
          <w:rFonts w:ascii="Arial" w:hAnsi="Arial" w:cs="Arial"/>
          <w:sz w:val="22"/>
          <w:szCs w:val="22"/>
        </w:rPr>
      </w:pPr>
    </w:p>
    <w:p w:rsidR="000E69DA" w:rsidRPr="003E5ED2" w:rsidRDefault="00C548B8" w:rsidP="000E69DA">
      <w:pPr>
        <w:autoSpaceDE w:val="0"/>
        <w:autoSpaceDN w:val="0"/>
        <w:adjustRightInd w:val="0"/>
        <w:jc w:val="both"/>
        <w:rPr>
          <w:rFonts w:ascii="Arial" w:hAnsi="Arial" w:cs="Arial"/>
          <w:sz w:val="22"/>
          <w:szCs w:val="22"/>
        </w:rPr>
      </w:pPr>
      <w:r w:rsidRPr="003E5ED2">
        <w:rPr>
          <w:rFonts w:ascii="Arial" w:hAnsi="Arial" w:cs="Arial"/>
          <w:b/>
          <w:sz w:val="22"/>
          <w:szCs w:val="22"/>
        </w:rPr>
        <w:t>Prihodi od poreza (61</w:t>
      </w:r>
      <w:r w:rsidR="000E69DA" w:rsidRPr="003E5ED2">
        <w:rPr>
          <w:rFonts w:ascii="Arial" w:hAnsi="Arial" w:cs="Arial"/>
          <w:b/>
          <w:sz w:val="22"/>
          <w:szCs w:val="22"/>
        </w:rPr>
        <w:t>)</w:t>
      </w:r>
      <w:r w:rsidR="000E69DA" w:rsidRPr="003E5ED2">
        <w:rPr>
          <w:rFonts w:ascii="Arial" w:hAnsi="Arial" w:cs="Arial"/>
          <w:sz w:val="22"/>
          <w:szCs w:val="22"/>
        </w:rPr>
        <w:t xml:space="preserve"> ostvareni su u iznosu </w:t>
      </w:r>
      <w:r w:rsidR="00004BC7" w:rsidRPr="003E5ED2">
        <w:rPr>
          <w:rFonts w:ascii="Arial" w:hAnsi="Arial" w:cs="Arial"/>
          <w:sz w:val="22"/>
          <w:szCs w:val="22"/>
        </w:rPr>
        <w:t>95.409.753,12</w:t>
      </w:r>
      <w:r w:rsidR="003720C1" w:rsidRPr="003E5ED2">
        <w:rPr>
          <w:rFonts w:ascii="Arial" w:hAnsi="Arial" w:cs="Arial"/>
          <w:sz w:val="22"/>
          <w:szCs w:val="22"/>
        </w:rPr>
        <w:t xml:space="preserve"> eura</w:t>
      </w:r>
      <w:r w:rsidR="000E69DA" w:rsidRPr="003E5ED2">
        <w:rPr>
          <w:rFonts w:ascii="Arial" w:hAnsi="Arial" w:cs="Arial"/>
          <w:sz w:val="22"/>
          <w:szCs w:val="22"/>
        </w:rPr>
        <w:t xml:space="preserve"> što, u odnosu na ostvarenje prethodne godine, predstavlja </w:t>
      </w:r>
      <w:r w:rsidR="001F0B39" w:rsidRPr="003E5ED2">
        <w:rPr>
          <w:rFonts w:ascii="Arial" w:hAnsi="Arial" w:cs="Arial"/>
          <w:sz w:val="22"/>
          <w:szCs w:val="22"/>
        </w:rPr>
        <w:t xml:space="preserve">povećanje od </w:t>
      </w:r>
      <w:r w:rsidR="00004BC7" w:rsidRPr="003E5ED2">
        <w:rPr>
          <w:rFonts w:ascii="Arial" w:hAnsi="Arial" w:cs="Arial"/>
          <w:sz w:val="22"/>
          <w:szCs w:val="22"/>
        </w:rPr>
        <w:t>21,4</w:t>
      </w:r>
      <w:r w:rsidR="000E69DA" w:rsidRPr="003E5ED2">
        <w:rPr>
          <w:rFonts w:ascii="Arial" w:hAnsi="Arial" w:cs="Arial"/>
          <w:sz w:val="22"/>
          <w:szCs w:val="22"/>
        </w:rPr>
        <w:t>%. Vrijednosno su najznačajniji prihodi proračuna jer u ukupno ostvarenim prihodima i pri</w:t>
      </w:r>
      <w:r w:rsidR="0014086D" w:rsidRPr="003E5ED2">
        <w:rPr>
          <w:rFonts w:ascii="Arial" w:hAnsi="Arial" w:cs="Arial"/>
          <w:sz w:val="22"/>
          <w:szCs w:val="22"/>
        </w:rPr>
        <w:t xml:space="preserve">micima </w:t>
      </w:r>
      <w:r w:rsidR="00A86CE2" w:rsidRPr="003E5ED2">
        <w:rPr>
          <w:rFonts w:ascii="Arial" w:hAnsi="Arial" w:cs="Arial"/>
          <w:sz w:val="22"/>
          <w:szCs w:val="22"/>
        </w:rPr>
        <w:t>sudjeluju sa</w:t>
      </w:r>
      <w:r w:rsidR="001F0B39" w:rsidRPr="003E5ED2">
        <w:rPr>
          <w:rFonts w:ascii="Arial" w:hAnsi="Arial" w:cs="Arial"/>
          <w:sz w:val="22"/>
          <w:szCs w:val="22"/>
        </w:rPr>
        <w:t xml:space="preserve"> </w:t>
      </w:r>
      <w:r w:rsidR="00004BC7" w:rsidRPr="003E5ED2">
        <w:rPr>
          <w:rFonts w:ascii="Arial" w:hAnsi="Arial" w:cs="Arial"/>
          <w:sz w:val="22"/>
          <w:szCs w:val="22"/>
        </w:rPr>
        <w:t>66,48</w:t>
      </w:r>
      <w:r w:rsidR="000E69DA" w:rsidRPr="003E5ED2">
        <w:rPr>
          <w:rFonts w:ascii="Arial" w:hAnsi="Arial" w:cs="Arial"/>
          <w:sz w:val="22"/>
          <w:szCs w:val="22"/>
        </w:rPr>
        <w:t xml:space="preserve">%. </w:t>
      </w:r>
      <w:r w:rsidR="004463E7" w:rsidRPr="003E5ED2">
        <w:rPr>
          <w:rFonts w:ascii="Arial" w:hAnsi="Arial" w:cs="Arial"/>
          <w:sz w:val="22"/>
          <w:szCs w:val="22"/>
        </w:rPr>
        <w:t xml:space="preserve">U ukupnom iznosu ostvarenih poreznih prihoda najveći udjel </w:t>
      </w:r>
      <w:r w:rsidR="00AA70E1" w:rsidRPr="003E5ED2">
        <w:rPr>
          <w:rFonts w:ascii="Arial" w:hAnsi="Arial" w:cs="Arial"/>
          <w:sz w:val="22"/>
          <w:szCs w:val="22"/>
        </w:rPr>
        <w:t>od 91</w:t>
      </w:r>
      <w:r w:rsidR="00900214" w:rsidRPr="003E5ED2">
        <w:rPr>
          <w:rFonts w:ascii="Arial" w:hAnsi="Arial" w:cs="Arial"/>
          <w:sz w:val="22"/>
          <w:szCs w:val="22"/>
        </w:rPr>
        <w:t>,20</w:t>
      </w:r>
      <w:r w:rsidR="00AA70E1" w:rsidRPr="003E5ED2">
        <w:rPr>
          <w:rFonts w:ascii="Arial" w:hAnsi="Arial" w:cs="Arial"/>
          <w:sz w:val="22"/>
          <w:szCs w:val="22"/>
        </w:rPr>
        <w:t xml:space="preserve">% </w:t>
      </w:r>
      <w:r w:rsidR="004463E7" w:rsidRPr="003E5ED2">
        <w:rPr>
          <w:rFonts w:ascii="Arial" w:hAnsi="Arial" w:cs="Arial"/>
          <w:sz w:val="22"/>
          <w:szCs w:val="22"/>
        </w:rPr>
        <w:t>ima prihod od poreza i prireza na dohodak</w:t>
      </w:r>
      <w:r w:rsidR="00AA70E1" w:rsidRPr="003E5ED2">
        <w:rPr>
          <w:rFonts w:ascii="Arial" w:hAnsi="Arial" w:cs="Arial"/>
          <w:sz w:val="22"/>
          <w:szCs w:val="22"/>
        </w:rPr>
        <w:t>.</w:t>
      </w:r>
      <w:r w:rsidR="004463E7" w:rsidRPr="003E5ED2">
        <w:rPr>
          <w:rFonts w:ascii="Arial" w:hAnsi="Arial" w:cs="Arial"/>
          <w:sz w:val="22"/>
          <w:szCs w:val="22"/>
        </w:rPr>
        <w:t xml:space="preserve"> </w:t>
      </w:r>
    </w:p>
    <w:p w:rsidR="000E69DA" w:rsidRPr="003E5ED2" w:rsidRDefault="000E69DA" w:rsidP="000E69DA">
      <w:pPr>
        <w:rPr>
          <w:rFonts w:ascii="Arial" w:hAnsi="Arial" w:cs="Arial"/>
          <w:sz w:val="22"/>
          <w:szCs w:val="22"/>
        </w:rPr>
      </w:pPr>
    </w:p>
    <w:p w:rsidR="000C1CFF" w:rsidRPr="003E5ED2" w:rsidRDefault="000E69DA" w:rsidP="000C1CFF">
      <w:pPr>
        <w:jc w:val="both"/>
        <w:rPr>
          <w:rFonts w:ascii="Arial" w:hAnsi="Arial" w:cs="Arial"/>
          <w:sz w:val="22"/>
          <w:szCs w:val="22"/>
        </w:rPr>
      </w:pPr>
      <w:r w:rsidRPr="003E5ED2">
        <w:rPr>
          <w:rFonts w:ascii="Arial" w:hAnsi="Arial" w:cs="Arial"/>
          <w:i/>
          <w:sz w:val="22"/>
          <w:szCs w:val="22"/>
          <w:u w:val="single"/>
        </w:rPr>
        <w:t>Po</w:t>
      </w:r>
      <w:r w:rsidR="00C43EAA" w:rsidRPr="003E5ED2">
        <w:rPr>
          <w:rFonts w:ascii="Arial" w:hAnsi="Arial" w:cs="Arial"/>
          <w:i/>
          <w:sz w:val="22"/>
          <w:szCs w:val="22"/>
          <w:u w:val="single"/>
        </w:rPr>
        <w:t>rez na dohodak (611)</w:t>
      </w:r>
      <w:r w:rsidRPr="003E5ED2">
        <w:rPr>
          <w:rFonts w:ascii="Arial" w:hAnsi="Arial" w:cs="Arial"/>
          <w:sz w:val="22"/>
          <w:szCs w:val="22"/>
        </w:rPr>
        <w:t xml:space="preserve"> biljež</w:t>
      </w:r>
      <w:r w:rsidR="001949C6" w:rsidRPr="003E5ED2">
        <w:rPr>
          <w:rFonts w:ascii="Arial" w:hAnsi="Arial" w:cs="Arial"/>
          <w:sz w:val="22"/>
          <w:szCs w:val="22"/>
        </w:rPr>
        <w:t>i</w:t>
      </w:r>
      <w:r w:rsidRPr="003E5ED2">
        <w:rPr>
          <w:rFonts w:ascii="Arial" w:hAnsi="Arial" w:cs="Arial"/>
          <w:sz w:val="22"/>
          <w:szCs w:val="22"/>
        </w:rPr>
        <w:t xml:space="preserve"> </w:t>
      </w:r>
      <w:r w:rsidR="001F0B39" w:rsidRPr="003E5ED2">
        <w:rPr>
          <w:rFonts w:ascii="Arial" w:hAnsi="Arial" w:cs="Arial"/>
          <w:sz w:val="22"/>
          <w:szCs w:val="22"/>
        </w:rPr>
        <w:t xml:space="preserve">rast </w:t>
      </w:r>
      <w:r w:rsidRPr="003E5ED2">
        <w:rPr>
          <w:rFonts w:ascii="Arial" w:hAnsi="Arial" w:cs="Arial"/>
          <w:sz w:val="22"/>
          <w:szCs w:val="22"/>
        </w:rPr>
        <w:t xml:space="preserve">u </w:t>
      </w:r>
      <w:r w:rsidR="0014086D" w:rsidRPr="003E5ED2">
        <w:rPr>
          <w:rFonts w:ascii="Arial" w:hAnsi="Arial" w:cs="Arial"/>
          <w:sz w:val="22"/>
          <w:szCs w:val="22"/>
        </w:rPr>
        <w:t>odnosu na prethodnu godinu</w:t>
      </w:r>
      <w:r w:rsidRPr="003E5ED2">
        <w:rPr>
          <w:rFonts w:ascii="Arial" w:hAnsi="Arial" w:cs="Arial"/>
          <w:sz w:val="22"/>
          <w:szCs w:val="22"/>
        </w:rPr>
        <w:t xml:space="preserve"> za </w:t>
      </w:r>
      <w:r w:rsidR="00900214" w:rsidRPr="003E5ED2">
        <w:rPr>
          <w:rFonts w:ascii="Arial" w:hAnsi="Arial" w:cs="Arial"/>
          <w:sz w:val="22"/>
          <w:szCs w:val="22"/>
        </w:rPr>
        <w:t>15.091.374,34</w:t>
      </w:r>
      <w:r w:rsidR="003720C1" w:rsidRPr="003E5ED2">
        <w:rPr>
          <w:rFonts w:ascii="Arial" w:hAnsi="Arial" w:cs="Arial"/>
          <w:sz w:val="22"/>
          <w:szCs w:val="22"/>
        </w:rPr>
        <w:t xml:space="preserve"> eura</w:t>
      </w:r>
      <w:r w:rsidR="004B684A" w:rsidRPr="003E5ED2">
        <w:rPr>
          <w:rFonts w:ascii="Arial" w:hAnsi="Arial" w:cs="Arial"/>
          <w:sz w:val="22"/>
          <w:szCs w:val="22"/>
        </w:rPr>
        <w:t xml:space="preserve"> ili </w:t>
      </w:r>
      <w:r w:rsidR="00900214" w:rsidRPr="003E5ED2">
        <w:rPr>
          <w:rFonts w:ascii="Arial" w:hAnsi="Arial" w:cs="Arial"/>
          <w:sz w:val="22"/>
          <w:szCs w:val="22"/>
        </w:rPr>
        <w:t>21</w:t>
      </w:r>
      <w:r w:rsidRPr="003E5ED2">
        <w:rPr>
          <w:rFonts w:ascii="Arial" w:hAnsi="Arial" w:cs="Arial"/>
          <w:sz w:val="22"/>
          <w:szCs w:val="22"/>
        </w:rPr>
        <w:t xml:space="preserve">%. </w:t>
      </w:r>
      <w:r w:rsidR="000C1CFF" w:rsidRPr="003E5ED2">
        <w:rPr>
          <w:rFonts w:ascii="Arial" w:hAnsi="Arial" w:cs="Arial"/>
          <w:noProof/>
          <w:sz w:val="22"/>
          <w:szCs w:val="22"/>
        </w:rPr>
        <w:t xml:space="preserve">Kod poreza na dohodak važno je spomenuti da je i ove godine, kao i prethodne, isplata povrata poreza </w:t>
      </w:r>
      <w:r w:rsidR="00031B0C" w:rsidRPr="003E5ED2">
        <w:rPr>
          <w:rFonts w:ascii="Arial" w:hAnsi="Arial" w:cs="Arial"/>
          <w:noProof/>
          <w:sz w:val="22"/>
          <w:szCs w:val="22"/>
        </w:rPr>
        <w:t>i</w:t>
      </w:r>
      <w:r w:rsidR="000C1CFF" w:rsidRPr="003E5ED2">
        <w:rPr>
          <w:rFonts w:ascii="Arial" w:hAnsi="Arial" w:cs="Arial"/>
          <w:noProof/>
          <w:sz w:val="22"/>
          <w:szCs w:val="22"/>
        </w:rPr>
        <w:t xml:space="preserve"> prireza na dohodak po godišnjoj prijavi </w:t>
      </w:r>
      <w:r w:rsidR="00031B0C" w:rsidRPr="003E5ED2">
        <w:rPr>
          <w:rFonts w:ascii="Arial" w:hAnsi="Arial" w:cs="Arial"/>
          <w:noProof/>
          <w:sz w:val="22"/>
          <w:szCs w:val="22"/>
        </w:rPr>
        <w:t xml:space="preserve">za 2023. godinu </w:t>
      </w:r>
      <w:r w:rsidR="000C1CFF" w:rsidRPr="003E5ED2">
        <w:rPr>
          <w:rFonts w:ascii="Arial" w:hAnsi="Arial" w:cs="Arial"/>
          <w:noProof/>
          <w:sz w:val="22"/>
          <w:szCs w:val="22"/>
        </w:rPr>
        <w:t>započela u svibnju te je, u nedostatku financijskih sredstava na zajedničkom računu poreza i prireza na dohodak,</w:t>
      </w:r>
      <w:r w:rsidR="005F7451" w:rsidRPr="003E5ED2">
        <w:rPr>
          <w:rFonts w:ascii="Arial" w:hAnsi="Arial" w:cs="Arial"/>
          <w:noProof/>
          <w:sz w:val="22"/>
          <w:szCs w:val="22"/>
        </w:rPr>
        <w:t xml:space="preserve"> (prilikom isplate povrata),</w:t>
      </w:r>
      <w:r w:rsidR="000C1CFF" w:rsidRPr="003E5ED2">
        <w:rPr>
          <w:rFonts w:ascii="Arial" w:hAnsi="Arial" w:cs="Arial"/>
          <w:noProof/>
          <w:sz w:val="22"/>
          <w:szCs w:val="22"/>
        </w:rPr>
        <w:t xml:space="preserve"> Državni proračun Gradu namirio </w:t>
      </w:r>
      <w:r w:rsidR="00900214" w:rsidRPr="003E5ED2">
        <w:rPr>
          <w:rFonts w:ascii="Arial" w:hAnsi="Arial" w:cs="Arial"/>
          <w:noProof/>
          <w:sz w:val="22"/>
          <w:szCs w:val="22"/>
        </w:rPr>
        <w:t>4.494.192,14</w:t>
      </w:r>
      <w:r w:rsidR="003720C1" w:rsidRPr="003E5ED2">
        <w:rPr>
          <w:rFonts w:ascii="Arial" w:hAnsi="Arial" w:cs="Arial"/>
          <w:noProof/>
          <w:sz w:val="22"/>
          <w:szCs w:val="22"/>
        </w:rPr>
        <w:t xml:space="preserve"> eura</w:t>
      </w:r>
      <w:r w:rsidR="000C1CFF" w:rsidRPr="003E5ED2">
        <w:rPr>
          <w:rFonts w:ascii="Arial" w:hAnsi="Arial" w:cs="Arial"/>
          <w:noProof/>
          <w:sz w:val="22"/>
          <w:szCs w:val="22"/>
        </w:rPr>
        <w:t xml:space="preserve"> u tu svrhu. Grad je, po Uputama Ministarstva financija, za navedeni iznos namirenja iskazao obvezu za povrat u Državni proračun</w:t>
      </w:r>
      <w:r w:rsidR="00B778BC" w:rsidRPr="003E5ED2">
        <w:rPr>
          <w:rFonts w:ascii="Arial" w:hAnsi="Arial" w:cs="Arial"/>
          <w:noProof/>
          <w:sz w:val="22"/>
          <w:szCs w:val="22"/>
        </w:rPr>
        <w:t xml:space="preserve"> i u potpu</w:t>
      </w:r>
      <w:r w:rsidR="005F7451" w:rsidRPr="003E5ED2">
        <w:rPr>
          <w:rFonts w:ascii="Arial" w:hAnsi="Arial" w:cs="Arial"/>
          <w:noProof/>
          <w:sz w:val="22"/>
          <w:szCs w:val="22"/>
        </w:rPr>
        <w:t xml:space="preserve">nosti je podmirio </w:t>
      </w:r>
      <w:r w:rsidR="003F3A13" w:rsidRPr="003E5ED2">
        <w:rPr>
          <w:rFonts w:ascii="Arial" w:hAnsi="Arial" w:cs="Arial"/>
          <w:sz w:val="22"/>
          <w:szCs w:val="22"/>
        </w:rPr>
        <w:t>do</w:t>
      </w:r>
      <w:r w:rsidR="005941E6" w:rsidRPr="003E5ED2">
        <w:rPr>
          <w:rFonts w:ascii="Arial" w:hAnsi="Arial" w:cs="Arial"/>
          <w:sz w:val="22"/>
          <w:szCs w:val="22"/>
        </w:rPr>
        <w:t xml:space="preserve"> </w:t>
      </w:r>
      <w:r w:rsidR="00600B86" w:rsidRPr="003E5ED2">
        <w:rPr>
          <w:rFonts w:ascii="Arial" w:hAnsi="Arial" w:cs="Arial"/>
          <w:sz w:val="22"/>
          <w:szCs w:val="22"/>
        </w:rPr>
        <w:t>31. listopada</w:t>
      </w:r>
      <w:r w:rsidR="00900214" w:rsidRPr="003E5ED2">
        <w:rPr>
          <w:rFonts w:ascii="Arial" w:hAnsi="Arial" w:cs="Arial"/>
          <w:sz w:val="22"/>
          <w:szCs w:val="22"/>
        </w:rPr>
        <w:t xml:space="preserve"> 2024</w:t>
      </w:r>
      <w:r w:rsidR="000C1CFF" w:rsidRPr="003E5ED2">
        <w:rPr>
          <w:rFonts w:ascii="Arial" w:hAnsi="Arial" w:cs="Arial"/>
          <w:sz w:val="22"/>
          <w:szCs w:val="22"/>
        </w:rPr>
        <w:t xml:space="preserve">. </w:t>
      </w:r>
      <w:r w:rsidR="005F7451" w:rsidRPr="003E5ED2">
        <w:rPr>
          <w:rFonts w:ascii="Arial" w:hAnsi="Arial" w:cs="Arial"/>
          <w:sz w:val="22"/>
          <w:szCs w:val="22"/>
        </w:rPr>
        <w:t>godine</w:t>
      </w:r>
      <w:r w:rsidR="000C1CFF" w:rsidRPr="003E5ED2">
        <w:rPr>
          <w:rFonts w:ascii="Arial" w:hAnsi="Arial" w:cs="Arial"/>
          <w:sz w:val="22"/>
          <w:szCs w:val="22"/>
        </w:rPr>
        <w:t xml:space="preserve"> (više u Bilješci broj 4 uz Bilancu).</w:t>
      </w:r>
    </w:p>
    <w:p w:rsidR="00622339" w:rsidRPr="003E5ED2" w:rsidRDefault="00622339" w:rsidP="0064467A">
      <w:pPr>
        <w:jc w:val="both"/>
        <w:rPr>
          <w:rFonts w:ascii="Arial" w:hAnsi="Arial" w:cs="Arial"/>
          <w:sz w:val="22"/>
          <w:szCs w:val="22"/>
        </w:rPr>
      </w:pPr>
    </w:p>
    <w:p w:rsidR="00B25489" w:rsidRPr="003E5ED2" w:rsidRDefault="00E134F6" w:rsidP="00E134F6">
      <w:pPr>
        <w:jc w:val="both"/>
        <w:rPr>
          <w:rFonts w:ascii="Arial" w:hAnsi="Arial" w:cs="Arial"/>
          <w:noProof/>
          <w:sz w:val="22"/>
          <w:szCs w:val="22"/>
        </w:rPr>
      </w:pPr>
      <w:r w:rsidRPr="003E5ED2">
        <w:rPr>
          <w:rFonts w:ascii="Arial" w:hAnsi="Arial" w:cs="Arial"/>
          <w:b/>
          <w:noProof/>
          <w:sz w:val="22"/>
          <w:szCs w:val="22"/>
        </w:rPr>
        <w:t>Pomoći iz inozemstva i od subjekata unutar opć</w:t>
      </w:r>
      <w:r w:rsidR="008B6B8F" w:rsidRPr="003E5ED2">
        <w:rPr>
          <w:rFonts w:ascii="Arial" w:hAnsi="Arial" w:cs="Arial"/>
          <w:b/>
          <w:noProof/>
          <w:sz w:val="22"/>
          <w:szCs w:val="22"/>
        </w:rPr>
        <w:t xml:space="preserve">eg proračuna </w:t>
      </w:r>
      <w:r w:rsidRPr="003E5ED2">
        <w:rPr>
          <w:rFonts w:ascii="Arial" w:hAnsi="Arial" w:cs="Arial"/>
          <w:b/>
          <w:noProof/>
          <w:sz w:val="22"/>
          <w:szCs w:val="22"/>
        </w:rPr>
        <w:t>(63)</w:t>
      </w:r>
      <w:r w:rsidRPr="003E5ED2">
        <w:rPr>
          <w:rFonts w:ascii="Arial" w:hAnsi="Arial" w:cs="Arial"/>
          <w:noProof/>
          <w:sz w:val="22"/>
          <w:szCs w:val="22"/>
        </w:rPr>
        <w:t xml:space="preserve"> ostvarene </w:t>
      </w:r>
      <w:r w:rsidR="00551A8B" w:rsidRPr="003E5ED2">
        <w:rPr>
          <w:rFonts w:ascii="Arial" w:hAnsi="Arial" w:cs="Arial"/>
          <w:noProof/>
          <w:sz w:val="22"/>
          <w:szCs w:val="22"/>
        </w:rPr>
        <w:t xml:space="preserve">su </w:t>
      </w:r>
      <w:r w:rsidRPr="003E5ED2">
        <w:rPr>
          <w:rFonts w:ascii="Arial" w:hAnsi="Arial" w:cs="Arial"/>
          <w:noProof/>
          <w:sz w:val="22"/>
          <w:szCs w:val="22"/>
        </w:rPr>
        <w:t xml:space="preserve">u iznosu </w:t>
      </w:r>
      <w:r w:rsidR="00551A8B" w:rsidRPr="003E5ED2">
        <w:rPr>
          <w:rFonts w:ascii="Arial" w:hAnsi="Arial" w:cs="Arial"/>
          <w:noProof/>
          <w:sz w:val="22"/>
          <w:szCs w:val="22"/>
        </w:rPr>
        <w:t xml:space="preserve">od </w:t>
      </w:r>
      <w:r w:rsidR="00900214" w:rsidRPr="003E5ED2">
        <w:rPr>
          <w:rFonts w:ascii="Arial" w:hAnsi="Arial" w:cs="Arial"/>
          <w:noProof/>
          <w:sz w:val="22"/>
          <w:szCs w:val="22"/>
        </w:rPr>
        <w:t>7.975.387,51</w:t>
      </w:r>
      <w:r w:rsidR="003720C1" w:rsidRPr="003E5ED2">
        <w:rPr>
          <w:rFonts w:ascii="Arial" w:hAnsi="Arial" w:cs="Arial"/>
          <w:noProof/>
          <w:sz w:val="22"/>
          <w:szCs w:val="22"/>
        </w:rPr>
        <w:t xml:space="preserve"> eura ili </w:t>
      </w:r>
      <w:r w:rsidR="000B5733" w:rsidRPr="003E5ED2">
        <w:rPr>
          <w:rFonts w:ascii="Arial" w:hAnsi="Arial" w:cs="Arial"/>
          <w:noProof/>
          <w:sz w:val="22"/>
          <w:szCs w:val="22"/>
        </w:rPr>
        <w:t>8,6</w:t>
      </w:r>
      <w:r w:rsidR="003720C1" w:rsidRPr="003E5ED2">
        <w:rPr>
          <w:rFonts w:ascii="Arial" w:hAnsi="Arial" w:cs="Arial"/>
          <w:noProof/>
          <w:sz w:val="22"/>
          <w:szCs w:val="22"/>
        </w:rPr>
        <w:t>%</w:t>
      </w:r>
      <w:r w:rsidR="008E3D0B" w:rsidRPr="003E5ED2">
        <w:rPr>
          <w:rFonts w:ascii="Arial" w:hAnsi="Arial" w:cs="Arial"/>
          <w:noProof/>
          <w:sz w:val="22"/>
          <w:szCs w:val="22"/>
        </w:rPr>
        <w:t xml:space="preserve"> manje u odnosu na prethodnu godinu.</w:t>
      </w:r>
    </w:p>
    <w:p w:rsidR="00285532" w:rsidRPr="003E5ED2" w:rsidRDefault="008E3D0B" w:rsidP="00E134F6">
      <w:pPr>
        <w:jc w:val="both"/>
        <w:rPr>
          <w:rFonts w:ascii="Arial" w:hAnsi="Arial" w:cs="Arial"/>
          <w:noProof/>
          <w:sz w:val="22"/>
          <w:szCs w:val="22"/>
        </w:rPr>
      </w:pPr>
      <w:r w:rsidRPr="003E5ED2">
        <w:rPr>
          <w:rFonts w:ascii="Arial" w:hAnsi="Arial" w:cs="Arial"/>
          <w:noProof/>
          <w:sz w:val="22"/>
          <w:szCs w:val="22"/>
        </w:rPr>
        <w:t>Najveće smanjenje odnosi se na ostvarenje</w:t>
      </w:r>
      <w:r w:rsidR="00EE6C30" w:rsidRPr="003E5ED2">
        <w:rPr>
          <w:rFonts w:ascii="Arial" w:hAnsi="Arial" w:cs="Arial"/>
          <w:noProof/>
          <w:sz w:val="22"/>
          <w:szCs w:val="22"/>
        </w:rPr>
        <w:t xml:space="preserve"> </w:t>
      </w:r>
      <w:r w:rsidR="000B5733" w:rsidRPr="003E5ED2">
        <w:rPr>
          <w:rFonts w:ascii="Arial" w:hAnsi="Arial" w:cs="Arial"/>
          <w:noProof/>
          <w:sz w:val="22"/>
          <w:szCs w:val="22"/>
        </w:rPr>
        <w:t>kapitalnih pomoći inozemnih vlada</w:t>
      </w:r>
      <w:r w:rsidR="00EE6C30" w:rsidRPr="003E5ED2">
        <w:rPr>
          <w:rFonts w:ascii="Arial" w:hAnsi="Arial" w:cs="Arial"/>
          <w:noProof/>
          <w:sz w:val="22"/>
          <w:szCs w:val="22"/>
        </w:rPr>
        <w:t xml:space="preserve"> </w:t>
      </w:r>
      <w:r w:rsidR="000B5733" w:rsidRPr="003E5ED2">
        <w:rPr>
          <w:rFonts w:ascii="Arial" w:hAnsi="Arial" w:cs="Arial"/>
          <w:noProof/>
          <w:sz w:val="22"/>
          <w:szCs w:val="22"/>
        </w:rPr>
        <w:t>(6312)</w:t>
      </w:r>
      <w:r w:rsidR="00EE6C30" w:rsidRPr="003E5ED2">
        <w:rPr>
          <w:rFonts w:ascii="Arial" w:hAnsi="Arial" w:cs="Arial"/>
          <w:noProof/>
          <w:sz w:val="22"/>
          <w:szCs w:val="22"/>
        </w:rPr>
        <w:t>,</w:t>
      </w:r>
      <w:r w:rsidR="005D3BB4" w:rsidRPr="003E5ED2">
        <w:rPr>
          <w:rFonts w:ascii="Arial" w:hAnsi="Arial" w:cs="Arial"/>
          <w:noProof/>
          <w:sz w:val="22"/>
          <w:szCs w:val="22"/>
        </w:rPr>
        <w:t xml:space="preserve"> </w:t>
      </w:r>
      <w:r w:rsidR="00EE6C30" w:rsidRPr="003E5ED2">
        <w:rPr>
          <w:rFonts w:ascii="Arial" w:hAnsi="Arial" w:cs="Arial"/>
          <w:noProof/>
          <w:sz w:val="22"/>
          <w:szCs w:val="22"/>
        </w:rPr>
        <w:t>tekućih pom</w:t>
      </w:r>
      <w:r w:rsidR="00BD75FF" w:rsidRPr="003E5ED2">
        <w:rPr>
          <w:rFonts w:ascii="Arial" w:hAnsi="Arial" w:cs="Arial"/>
          <w:noProof/>
          <w:sz w:val="22"/>
          <w:szCs w:val="22"/>
        </w:rPr>
        <w:t xml:space="preserve">oći od institucija i tijela EU </w:t>
      </w:r>
      <w:r w:rsidR="00EE6C30" w:rsidRPr="003E5ED2">
        <w:rPr>
          <w:rFonts w:ascii="Arial" w:hAnsi="Arial" w:cs="Arial"/>
          <w:noProof/>
          <w:sz w:val="22"/>
          <w:szCs w:val="22"/>
        </w:rPr>
        <w:t>(6323),</w:t>
      </w:r>
      <w:r w:rsidRPr="003E5ED2">
        <w:rPr>
          <w:rFonts w:ascii="Arial" w:hAnsi="Arial" w:cs="Arial"/>
          <w:noProof/>
          <w:sz w:val="22"/>
          <w:szCs w:val="22"/>
        </w:rPr>
        <w:t xml:space="preserve"> pomoći proračunu od izvanproračunskih korisnika (6342)</w:t>
      </w:r>
      <w:r w:rsidR="00285532" w:rsidRPr="003E5ED2">
        <w:rPr>
          <w:rFonts w:ascii="Arial" w:hAnsi="Arial" w:cs="Arial"/>
          <w:noProof/>
          <w:sz w:val="22"/>
          <w:szCs w:val="22"/>
        </w:rPr>
        <w:t xml:space="preserve">, </w:t>
      </w:r>
      <w:r w:rsidR="00AF65A7" w:rsidRPr="003E5ED2">
        <w:rPr>
          <w:rFonts w:ascii="Arial" w:hAnsi="Arial" w:cs="Arial"/>
          <w:noProof/>
          <w:sz w:val="22"/>
          <w:szCs w:val="22"/>
        </w:rPr>
        <w:t>tekućih (6351),</w:t>
      </w:r>
      <w:r w:rsidR="00EE6C30" w:rsidRPr="003E5ED2">
        <w:rPr>
          <w:rFonts w:ascii="Arial" w:hAnsi="Arial" w:cs="Arial"/>
          <w:noProof/>
          <w:sz w:val="22"/>
          <w:szCs w:val="22"/>
        </w:rPr>
        <w:t xml:space="preserve"> kapitalnih pomoći izravnanja za de</w:t>
      </w:r>
      <w:r w:rsidR="00AF65A7" w:rsidRPr="003E5ED2">
        <w:rPr>
          <w:rFonts w:ascii="Arial" w:hAnsi="Arial" w:cs="Arial"/>
          <w:noProof/>
          <w:sz w:val="22"/>
          <w:szCs w:val="22"/>
        </w:rPr>
        <w:t>centralizirane funkcije (6352) i</w:t>
      </w:r>
      <w:r w:rsidR="00EE6C30" w:rsidRPr="003E5ED2">
        <w:rPr>
          <w:rFonts w:ascii="Arial" w:hAnsi="Arial" w:cs="Arial"/>
          <w:noProof/>
          <w:sz w:val="22"/>
          <w:szCs w:val="22"/>
        </w:rPr>
        <w:t xml:space="preserve"> </w:t>
      </w:r>
      <w:r w:rsidR="00285532" w:rsidRPr="003E5ED2">
        <w:rPr>
          <w:rFonts w:ascii="Arial" w:hAnsi="Arial" w:cs="Arial"/>
          <w:noProof/>
          <w:sz w:val="22"/>
          <w:szCs w:val="22"/>
        </w:rPr>
        <w:t>kapitalne pomoći temelje</w:t>
      </w:r>
      <w:r w:rsidR="00DF554E" w:rsidRPr="003E5ED2">
        <w:rPr>
          <w:rFonts w:ascii="Arial" w:hAnsi="Arial" w:cs="Arial"/>
          <w:noProof/>
          <w:sz w:val="22"/>
          <w:szCs w:val="22"/>
        </w:rPr>
        <w:t>m prijenosa EU sredstava (6382)</w:t>
      </w:r>
      <w:r w:rsidR="00377A82" w:rsidRPr="003E5ED2">
        <w:rPr>
          <w:rFonts w:ascii="Arial" w:hAnsi="Arial" w:cs="Arial"/>
          <w:noProof/>
          <w:sz w:val="22"/>
          <w:szCs w:val="22"/>
        </w:rPr>
        <w:t>.</w:t>
      </w:r>
    </w:p>
    <w:p w:rsidR="00377A82" w:rsidRPr="003E5ED2" w:rsidRDefault="00377A82" w:rsidP="00E134F6">
      <w:pPr>
        <w:jc w:val="both"/>
        <w:rPr>
          <w:rFonts w:ascii="Arial" w:hAnsi="Arial" w:cs="Arial"/>
          <w:noProof/>
          <w:sz w:val="22"/>
          <w:szCs w:val="22"/>
        </w:rPr>
      </w:pPr>
      <w:r w:rsidRPr="003E5ED2">
        <w:rPr>
          <w:rFonts w:ascii="Arial" w:hAnsi="Arial" w:cs="Arial"/>
          <w:noProof/>
          <w:sz w:val="22"/>
          <w:szCs w:val="22"/>
        </w:rPr>
        <w:t>Značajno povećanj</w:t>
      </w:r>
      <w:r w:rsidR="00DF554E" w:rsidRPr="003E5ED2">
        <w:rPr>
          <w:rFonts w:ascii="Arial" w:hAnsi="Arial" w:cs="Arial"/>
          <w:noProof/>
          <w:sz w:val="22"/>
          <w:szCs w:val="22"/>
        </w:rPr>
        <w:t>e zabilježeno je kod primljenih</w:t>
      </w:r>
      <w:r w:rsidR="006C4442" w:rsidRPr="003E5ED2">
        <w:rPr>
          <w:rFonts w:ascii="Arial" w:hAnsi="Arial" w:cs="Arial"/>
          <w:noProof/>
          <w:sz w:val="22"/>
          <w:szCs w:val="22"/>
        </w:rPr>
        <w:t xml:space="preserve"> tekućih pomoći proračunu iz drugih proračuna i izvanproračunskim korisnicima (6331)</w:t>
      </w:r>
      <w:r w:rsidR="004B0968" w:rsidRPr="003E5ED2">
        <w:rPr>
          <w:rFonts w:ascii="Arial" w:hAnsi="Arial" w:cs="Arial"/>
          <w:noProof/>
          <w:sz w:val="22"/>
          <w:szCs w:val="22"/>
        </w:rPr>
        <w:t xml:space="preserve">, za doznačena </w:t>
      </w:r>
      <w:r w:rsidR="006F2FD5" w:rsidRPr="003E5ED2">
        <w:rPr>
          <w:rFonts w:ascii="Arial" w:hAnsi="Arial" w:cs="Arial"/>
          <w:noProof/>
          <w:sz w:val="22"/>
          <w:szCs w:val="22"/>
        </w:rPr>
        <w:t>sredstava u iznosu od 808.440,00 eura od strane Ministarstva znanosti i obrazovanja temeljem Uredbe o kriterijima i mjerilima za utvrđivanje iznosa sredstava za fiskalnu održivost dječjih vrtića, Klasa: 022-03/23-03/37, Urbroj:50301-04/25-23-7 od 21. rujna 2023.godine</w:t>
      </w:r>
      <w:r w:rsidR="004B0968" w:rsidRPr="003E5ED2">
        <w:rPr>
          <w:rFonts w:ascii="Arial" w:hAnsi="Arial" w:cs="Arial"/>
          <w:noProof/>
          <w:sz w:val="22"/>
          <w:szCs w:val="22"/>
        </w:rPr>
        <w:t xml:space="preserve">, zatim za doznačena sredstva u iznosu od </w:t>
      </w:r>
      <w:r w:rsidR="004B0968" w:rsidRPr="003E5ED2">
        <w:rPr>
          <w:rFonts w:ascii="Arial" w:hAnsi="Arial" w:cs="Arial"/>
          <w:sz w:val="22"/>
          <w:szCs w:val="22"/>
        </w:rPr>
        <w:t xml:space="preserve">66.361,40 eura </w:t>
      </w:r>
      <w:r w:rsidR="006F2FD5" w:rsidRPr="003E5ED2">
        <w:rPr>
          <w:rFonts w:ascii="Arial" w:hAnsi="Arial" w:cs="Arial"/>
          <w:noProof/>
          <w:sz w:val="22"/>
          <w:szCs w:val="22"/>
        </w:rPr>
        <w:t xml:space="preserve">temeljem </w:t>
      </w:r>
      <w:r w:rsidRPr="003E5ED2">
        <w:rPr>
          <w:rFonts w:ascii="Arial" w:hAnsi="Arial" w:cs="Arial"/>
          <w:noProof/>
          <w:sz w:val="22"/>
          <w:szCs w:val="22"/>
        </w:rPr>
        <w:t xml:space="preserve">Odluke </w:t>
      </w:r>
      <w:r w:rsidR="006F2FD5" w:rsidRPr="003E5ED2">
        <w:rPr>
          <w:rFonts w:ascii="Arial" w:hAnsi="Arial" w:cs="Arial"/>
          <w:noProof/>
          <w:sz w:val="22"/>
          <w:szCs w:val="22"/>
        </w:rPr>
        <w:t xml:space="preserve">Ministarstva financija </w:t>
      </w:r>
      <w:r w:rsidRPr="003E5ED2">
        <w:rPr>
          <w:rFonts w:ascii="Arial" w:hAnsi="Arial" w:cs="Arial"/>
          <w:noProof/>
          <w:sz w:val="22"/>
          <w:szCs w:val="22"/>
        </w:rPr>
        <w:t xml:space="preserve">o dodjeli pomoći na ime poticaja za dobrovoljno funkcionalno spajanje </w:t>
      </w:r>
      <w:r w:rsidR="00027851" w:rsidRPr="003E5ED2">
        <w:rPr>
          <w:rFonts w:ascii="Arial" w:hAnsi="Arial" w:cs="Arial"/>
          <w:noProof/>
          <w:sz w:val="22"/>
          <w:szCs w:val="22"/>
        </w:rPr>
        <w:t xml:space="preserve">jedinica lokalne samouprave </w:t>
      </w:r>
      <w:r w:rsidRPr="003E5ED2">
        <w:rPr>
          <w:rFonts w:ascii="Arial" w:hAnsi="Arial" w:cs="Arial"/>
          <w:noProof/>
          <w:sz w:val="22"/>
          <w:szCs w:val="22"/>
        </w:rPr>
        <w:t>Model A</w:t>
      </w:r>
      <w:r w:rsidR="005D3BB4" w:rsidRPr="003E5ED2">
        <w:rPr>
          <w:rFonts w:ascii="Arial" w:hAnsi="Arial" w:cs="Arial"/>
          <w:noProof/>
          <w:sz w:val="22"/>
          <w:szCs w:val="22"/>
        </w:rPr>
        <w:t xml:space="preserve"> </w:t>
      </w:r>
      <w:r w:rsidRPr="003E5ED2">
        <w:rPr>
          <w:rFonts w:ascii="Arial" w:hAnsi="Arial" w:cs="Arial"/>
          <w:noProof/>
          <w:sz w:val="22"/>
          <w:szCs w:val="22"/>
        </w:rPr>
        <w:t>-</w:t>
      </w:r>
      <w:r w:rsidR="005D3BB4" w:rsidRPr="003E5ED2">
        <w:rPr>
          <w:rFonts w:ascii="Arial" w:hAnsi="Arial" w:cs="Arial"/>
          <w:noProof/>
          <w:sz w:val="22"/>
          <w:szCs w:val="22"/>
        </w:rPr>
        <w:t xml:space="preserve"> </w:t>
      </w:r>
      <w:r w:rsidRPr="003E5ED2">
        <w:rPr>
          <w:rFonts w:ascii="Arial" w:hAnsi="Arial" w:cs="Arial"/>
          <w:noProof/>
          <w:sz w:val="22"/>
          <w:szCs w:val="22"/>
        </w:rPr>
        <w:t>zajedničko trgovačko društvo</w:t>
      </w:r>
      <w:r w:rsidR="008E3484" w:rsidRPr="003E5ED2">
        <w:rPr>
          <w:rFonts w:ascii="Arial" w:hAnsi="Arial" w:cs="Arial"/>
          <w:noProof/>
          <w:sz w:val="22"/>
          <w:szCs w:val="22"/>
        </w:rPr>
        <w:t xml:space="preserve"> </w:t>
      </w:r>
      <w:r w:rsidRPr="003E5ED2">
        <w:rPr>
          <w:rFonts w:ascii="Arial" w:hAnsi="Arial" w:cs="Arial"/>
          <w:noProof/>
          <w:sz w:val="22"/>
          <w:szCs w:val="22"/>
        </w:rPr>
        <w:t>-</w:t>
      </w:r>
      <w:r w:rsidR="008E3484" w:rsidRPr="003E5ED2">
        <w:rPr>
          <w:rFonts w:ascii="Arial" w:hAnsi="Arial" w:cs="Arial"/>
          <w:noProof/>
          <w:sz w:val="22"/>
          <w:szCs w:val="22"/>
        </w:rPr>
        <w:t xml:space="preserve"> </w:t>
      </w:r>
      <w:r w:rsidRPr="003E5ED2">
        <w:rPr>
          <w:rFonts w:ascii="Arial" w:hAnsi="Arial" w:cs="Arial"/>
          <w:noProof/>
          <w:sz w:val="22"/>
          <w:szCs w:val="22"/>
        </w:rPr>
        <w:t>KD A</w:t>
      </w:r>
      <w:r w:rsidR="006C4442" w:rsidRPr="003E5ED2">
        <w:rPr>
          <w:rFonts w:ascii="Arial" w:hAnsi="Arial" w:cs="Arial"/>
          <w:noProof/>
          <w:sz w:val="22"/>
          <w:szCs w:val="22"/>
        </w:rPr>
        <w:t>utotrolej d.o.o.</w:t>
      </w:r>
      <w:r w:rsidR="00170999" w:rsidRPr="003E5ED2">
        <w:rPr>
          <w:rFonts w:ascii="Arial" w:hAnsi="Arial" w:cs="Arial"/>
          <w:noProof/>
          <w:sz w:val="22"/>
          <w:szCs w:val="22"/>
        </w:rPr>
        <w:t xml:space="preserve"> </w:t>
      </w:r>
      <w:r w:rsidR="004B0968" w:rsidRPr="003E5ED2">
        <w:rPr>
          <w:rFonts w:ascii="Arial" w:hAnsi="Arial" w:cs="Arial"/>
          <w:noProof/>
          <w:sz w:val="22"/>
          <w:szCs w:val="22"/>
        </w:rPr>
        <w:t xml:space="preserve">i </w:t>
      </w:r>
      <w:r w:rsidR="0016753D" w:rsidRPr="003E5ED2">
        <w:rPr>
          <w:rFonts w:ascii="Arial" w:hAnsi="Arial" w:cs="Arial"/>
          <w:noProof/>
          <w:sz w:val="22"/>
          <w:szCs w:val="22"/>
        </w:rPr>
        <w:t>Odluke o dodjeli na ime poticaja za dobrovoljno funkcionalno spajanje jedinica lokalne samouprave Model A</w:t>
      </w:r>
      <w:r w:rsidR="00170999" w:rsidRPr="003E5ED2">
        <w:rPr>
          <w:rFonts w:ascii="Arial" w:hAnsi="Arial" w:cs="Arial"/>
          <w:noProof/>
          <w:sz w:val="22"/>
          <w:szCs w:val="22"/>
        </w:rPr>
        <w:t xml:space="preserve"> </w:t>
      </w:r>
      <w:r w:rsidR="0016753D" w:rsidRPr="003E5ED2">
        <w:rPr>
          <w:rFonts w:ascii="Arial" w:hAnsi="Arial" w:cs="Arial"/>
          <w:noProof/>
          <w:sz w:val="22"/>
          <w:szCs w:val="22"/>
        </w:rPr>
        <w:t>-</w:t>
      </w:r>
      <w:r w:rsidR="00170999" w:rsidRPr="003E5ED2">
        <w:rPr>
          <w:rFonts w:ascii="Arial" w:hAnsi="Arial" w:cs="Arial"/>
          <w:noProof/>
          <w:sz w:val="22"/>
          <w:szCs w:val="22"/>
        </w:rPr>
        <w:t xml:space="preserve"> z</w:t>
      </w:r>
      <w:r w:rsidR="0016753D" w:rsidRPr="003E5ED2">
        <w:rPr>
          <w:rFonts w:ascii="Arial" w:hAnsi="Arial" w:cs="Arial"/>
          <w:noProof/>
          <w:sz w:val="22"/>
          <w:szCs w:val="22"/>
        </w:rPr>
        <w:t>ajednička ustanova Gradska knjižnica Rijeka</w:t>
      </w:r>
      <w:r w:rsidR="004B0968" w:rsidRPr="003E5ED2">
        <w:rPr>
          <w:rFonts w:ascii="Arial" w:hAnsi="Arial" w:cs="Arial"/>
          <w:noProof/>
          <w:sz w:val="22"/>
          <w:szCs w:val="22"/>
        </w:rPr>
        <w:t xml:space="preserve">, </w:t>
      </w:r>
      <w:r w:rsidR="00CA397A" w:rsidRPr="003E5ED2">
        <w:rPr>
          <w:rFonts w:ascii="Arial" w:hAnsi="Arial" w:cs="Arial"/>
          <w:noProof/>
          <w:sz w:val="22"/>
          <w:szCs w:val="22"/>
        </w:rPr>
        <w:t xml:space="preserve">za doznaku </w:t>
      </w:r>
      <w:r w:rsidR="004B0968" w:rsidRPr="003E5ED2">
        <w:rPr>
          <w:rFonts w:ascii="Arial" w:hAnsi="Arial" w:cs="Arial"/>
          <w:noProof/>
          <w:sz w:val="22"/>
          <w:szCs w:val="22"/>
        </w:rPr>
        <w:t>u istom iznosu.</w:t>
      </w:r>
    </w:p>
    <w:p w:rsidR="00AF3086" w:rsidRPr="003E5ED2" w:rsidRDefault="00AF3086" w:rsidP="00E134F6">
      <w:pPr>
        <w:jc w:val="both"/>
        <w:rPr>
          <w:rFonts w:ascii="Arial" w:hAnsi="Arial" w:cs="Arial"/>
          <w:noProof/>
          <w:sz w:val="22"/>
          <w:szCs w:val="22"/>
        </w:rPr>
      </w:pPr>
    </w:p>
    <w:p w:rsidR="00B25489" w:rsidRPr="003E5ED2" w:rsidRDefault="00110A70" w:rsidP="00E134F6">
      <w:pPr>
        <w:jc w:val="both"/>
        <w:rPr>
          <w:rFonts w:ascii="Arial" w:hAnsi="Arial" w:cs="Arial"/>
          <w:noProof/>
          <w:sz w:val="22"/>
          <w:szCs w:val="22"/>
        </w:rPr>
      </w:pPr>
      <w:r w:rsidRPr="003E5ED2">
        <w:rPr>
          <w:rFonts w:ascii="Arial" w:hAnsi="Arial" w:cs="Arial"/>
          <w:noProof/>
          <w:sz w:val="22"/>
          <w:szCs w:val="22"/>
        </w:rPr>
        <w:t>Kapitalne pomoći proračunu iz drugih proračuna i izvanproračunskim korisnic</w:t>
      </w:r>
      <w:r w:rsidR="00B778BC" w:rsidRPr="003E5ED2">
        <w:rPr>
          <w:rFonts w:ascii="Arial" w:hAnsi="Arial" w:cs="Arial"/>
          <w:noProof/>
          <w:sz w:val="22"/>
          <w:szCs w:val="22"/>
        </w:rPr>
        <w:t>ima (6332) također bilježe rast i ostvarene su u iznosu 1.345.216,48</w:t>
      </w:r>
      <w:r w:rsidR="00B0195D" w:rsidRPr="003E5ED2">
        <w:rPr>
          <w:rFonts w:ascii="Arial" w:hAnsi="Arial" w:cs="Arial"/>
          <w:noProof/>
          <w:sz w:val="22"/>
          <w:szCs w:val="22"/>
        </w:rPr>
        <w:t xml:space="preserve"> eura</w:t>
      </w:r>
      <w:r w:rsidR="00B778BC" w:rsidRPr="003E5ED2">
        <w:rPr>
          <w:rFonts w:ascii="Arial" w:hAnsi="Arial" w:cs="Arial"/>
          <w:noProof/>
          <w:sz w:val="22"/>
          <w:szCs w:val="22"/>
        </w:rPr>
        <w:t xml:space="preserve">, </w:t>
      </w:r>
      <w:r w:rsidRPr="003E5ED2">
        <w:rPr>
          <w:rFonts w:ascii="Arial" w:hAnsi="Arial" w:cs="Arial"/>
          <w:noProof/>
          <w:sz w:val="22"/>
          <w:szCs w:val="22"/>
        </w:rPr>
        <w:t>a odnose se na projekte</w:t>
      </w:r>
      <w:r w:rsidR="00E1162B" w:rsidRPr="003E5ED2">
        <w:rPr>
          <w:rFonts w:ascii="Arial" w:hAnsi="Arial" w:cs="Arial"/>
          <w:noProof/>
          <w:sz w:val="22"/>
          <w:szCs w:val="22"/>
        </w:rPr>
        <w:t xml:space="preserve"> Povežimo se baštinom (324.534,66 eura), Revitalizacija kompleksa Benčić</w:t>
      </w:r>
      <w:r w:rsidR="006528EB" w:rsidRPr="003E5ED2">
        <w:rPr>
          <w:rFonts w:ascii="Arial" w:hAnsi="Arial" w:cs="Arial"/>
          <w:noProof/>
          <w:sz w:val="22"/>
          <w:szCs w:val="22"/>
        </w:rPr>
        <w:t xml:space="preserve"> </w:t>
      </w:r>
      <w:r w:rsidR="00E1162B" w:rsidRPr="003E5ED2">
        <w:rPr>
          <w:rFonts w:ascii="Arial" w:hAnsi="Arial" w:cs="Arial"/>
          <w:noProof/>
          <w:sz w:val="22"/>
          <w:szCs w:val="22"/>
        </w:rPr>
        <w:t>-</w:t>
      </w:r>
      <w:r w:rsidR="006528EB" w:rsidRPr="003E5ED2">
        <w:rPr>
          <w:rFonts w:ascii="Arial" w:hAnsi="Arial" w:cs="Arial"/>
          <w:noProof/>
          <w:sz w:val="22"/>
          <w:szCs w:val="22"/>
        </w:rPr>
        <w:t xml:space="preserve"> Cigleni i T-</w:t>
      </w:r>
      <w:r w:rsidR="00DB25E6" w:rsidRPr="003E5ED2">
        <w:rPr>
          <w:rFonts w:ascii="Arial" w:hAnsi="Arial" w:cs="Arial"/>
          <w:noProof/>
          <w:sz w:val="22"/>
          <w:szCs w:val="22"/>
        </w:rPr>
        <w:t xml:space="preserve"> </w:t>
      </w:r>
      <w:r w:rsidR="00E1162B" w:rsidRPr="003E5ED2">
        <w:rPr>
          <w:rFonts w:ascii="Arial" w:hAnsi="Arial" w:cs="Arial"/>
          <w:noProof/>
          <w:sz w:val="22"/>
          <w:szCs w:val="22"/>
        </w:rPr>
        <w:t>objekt (265.445,61 eura), Turistička valorizacija reprezentativnih spomenika riječke industrijske baštine (27.845,44 eura</w:t>
      </w:r>
      <w:r w:rsidR="006528EB" w:rsidRPr="003E5ED2">
        <w:rPr>
          <w:rFonts w:ascii="Arial" w:hAnsi="Arial" w:cs="Arial"/>
          <w:noProof/>
          <w:sz w:val="22"/>
          <w:szCs w:val="22"/>
        </w:rPr>
        <w:t>)</w:t>
      </w:r>
      <w:r w:rsidR="00D427CD" w:rsidRPr="003E5ED2">
        <w:rPr>
          <w:rFonts w:ascii="Arial" w:hAnsi="Arial" w:cs="Arial"/>
          <w:noProof/>
          <w:sz w:val="22"/>
          <w:szCs w:val="22"/>
        </w:rPr>
        <w:t xml:space="preserve"> i </w:t>
      </w:r>
      <w:r w:rsidR="008E47F5" w:rsidRPr="003E5ED2">
        <w:rPr>
          <w:rFonts w:ascii="Arial" w:hAnsi="Arial" w:cs="Arial"/>
          <w:noProof/>
          <w:sz w:val="22"/>
          <w:szCs w:val="22"/>
        </w:rPr>
        <w:t>Energan</w:t>
      </w:r>
      <w:r w:rsidR="00D51825" w:rsidRPr="003E5ED2">
        <w:rPr>
          <w:rFonts w:ascii="Arial" w:hAnsi="Arial" w:cs="Arial"/>
          <w:noProof/>
          <w:sz w:val="22"/>
          <w:szCs w:val="22"/>
        </w:rPr>
        <w:t>a</w:t>
      </w:r>
      <w:r w:rsidR="008E47F5" w:rsidRPr="003E5ED2">
        <w:rPr>
          <w:rFonts w:ascii="Arial" w:hAnsi="Arial" w:cs="Arial"/>
          <w:noProof/>
          <w:sz w:val="22"/>
          <w:szCs w:val="22"/>
        </w:rPr>
        <w:t xml:space="preserve"> –Start up inkubator</w:t>
      </w:r>
      <w:r w:rsidR="00E1162B" w:rsidRPr="003E5ED2">
        <w:rPr>
          <w:rFonts w:ascii="Arial" w:hAnsi="Arial" w:cs="Arial"/>
          <w:noProof/>
          <w:sz w:val="22"/>
          <w:szCs w:val="22"/>
        </w:rPr>
        <w:t xml:space="preserve"> za kreativne </w:t>
      </w:r>
      <w:r w:rsidR="008E47F5" w:rsidRPr="003E5ED2">
        <w:rPr>
          <w:rFonts w:ascii="Arial" w:hAnsi="Arial" w:cs="Arial"/>
          <w:noProof/>
          <w:sz w:val="22"/>
          <w:szCs w:val="22"/>
        </w:rPr>
        <w:t>tehnologije i IT industriju (</w:t>
      </w:r>
      <w:r w:rsidR="00E1162B" w:rsidRPr="003E5ED2">
        <w:rPr>
          <w:rFonts w:ascii="Arial" w:hAnsi="Arial" w:cs="Arial"/>
          <w:noProof/>
          <w:sz w:val="22"/>
          <w:szCs w:val="22"/>
        </w:rPr>
        <w:t>168.799,91 eura).</w:t>
      </w:r>
      <w:r w:rsidR="00DB25E6" w:rsidRPr="003E5ED2">
        <w:rPr>
          <w:rFonts w:ascii="Arial" w:hAnsi="Arial" w:cs="Arial"/>
          <w:noProof/>
          <w:sz w:val="22"/>
          <w:szCs w:val="22"/>
        </w:rPr>
        <w:t xml:space="preserve"> Doznačena su i </w:t>
      </w:r>
      <w:r w:rsidR="00E1162B" w:rsidRPr="003E5ED2">
        <w:rPr>
          <w:rFonts w:ascii="Arial" w:hAnsi="Arial" w:cs="Arial"/>
          <w:noProof/>
          <w:sz w:val="22"/>
          <w:szCs w:val="22"/>
        </w:rPr>
        <w:t>sredstva Primorsko goranske županije za</w:t>
      </w:r>
      <w:r w:rsidR="0064185A" w:rsidRPr="003E5ED2">
        <w:rPr>
          <w:rFonts w:ascii="Arial" w:hAnsi="Arial" w:cs="Arial"/>
          <w:noProof/>
          <w:sz w:val="22"/>
          <w:szCs w:val="22"/>
        </w:rPr>
        <w:t xml:space="preserve"> sufinanciranje zamjene</w:t>
      </w:r>
      <w:r w:rsidR="00E1162B" w:rsidRPr="003E5ED2">
        <w:rPr>
          <w:rFonts w:ascii="Arial" w:hAnsi="Arial" w:cs="Arial"/>
          <w:noProof/>
          <w:sz w:val="22"/>
          <w:szCs w:val="22"/>
        </w:rPr>
        <w:t xml:space="preserve"> umjetnog travnjaka na pomoćnom </w:t>
      </w:r>
      <w:r w:rsidR="0064185A" w:rsidRPr="003E5ED2">
        <w:rPr>
          <w:rFonts w:ascii="Arial" w:hAnsi="Arial" w:cs="Arial"/>
          <w:noProof/>
          <w:sz w:val="22"/>
          <w:szCs w:val="22"/>
        </w:rPr>
        <w:t xml:space="preserve">igralištu Stadiona </w:t>
      </w:r>
      <w:r w:rsidR="00E1162B" w:rsidRPr="003E5ED2">
        <w:rPr>
          <w:rFonts w:ascii="Arial" w:hAnsi="Arial" w:cs="Arial"/>
          <w:noProof/>
          <w:sz w:val="22"/>
          <w:szCs w:val="22"/>
        </w:rPr>
        <w:t>Kantrida (132.</w:t>
      </w:r>
      <w:r w:rsidR="008E47F5" w:rsidRPr="003E5ED2">
        <w:rPr>
          <w:rFonts w:ascii="Arial" w:hAnsi="Arial" w:cs="Arial"/>
          <w:noProof/>
          <w:sz w:val="22"/>
          <w:szCs w:val="22"/>
        </w:rPr>
        <w:t>700,</w:t>
      </w:r>
      <w:r w:rsidR="00E1162B" w:rsidRPr="003E5ED2">
        <w:rPr>
          <w:rFonts w:ascii="Arial" w:hAnsi="Arial" w:cs="Arial"/>
          <w:noProof/>
          <w:sz w:val="22"/>
          <w:szCs w:val="22"/>
        </w:rPr>
        <w:t>00 eura), za</w:t>
      </w:r>
      <w:r w:rsidR="0064185A" w:rsidRPr="003E5ED2">
        <w:rPr>
          <w:rFonts w:ascii="Arial" w:hAnsi="Arial" w:cs="Arial"/>
          <w:noProof/>
          <w:sz w:val="22"/>
          <w:szCs w:val="22"/>
        </w:rPr>
        <w:t xml:space="preserve"> sufinanciranje projekta Rekonstrukcije </w:t>
      </w:r>
      <w:r w:rsidR="00E1162B" w:rsidRPr="003E5ED2">
        <w:rPr>
          <w:rFonts w:ascii="Arial" w:hAnsi="Arial" w:cs="Arial"/>
          <w:noProof/>
          <w:sz w:val="22"/>
          <w:szCs w:val="22"/>
        </w:rPr>
        <w:t>Opatijske ceste (300.000,00 eura</w:t>
      </w:r>
      <w:r w:rsidR="00C458F8" w:rsidRPr="003E5ED2">
        <w:rPr>
          <w:rFonts w:ascii="Arial" w:hAnsi="Arial" w:cs="Arial"/>
          <w:noProof/>
          <w:sz w:val="22"/>
          <w:szCs w:val="22"/>
        </w:rPr>
        <w:t>)</w:t>
      </w:r>
      <w:r w:rsidR="00E1162B" w:rsidRPr="003E5ED2">
        <w:rPr>
          <w:rFonts w:ascii="Arial" w:hAnsi="Arial" w:cs="Arial"/>
          <w:noProof/>
          <w:sz w:val="22"/>
          <w:szCs w:val="22"/>
        </w:rPr>
        <w:t>, za</w:t>
      </w:r>
      <w:r w:rsidR="000D6950" w:rsidRPr="003E5ED2">
        <w:rPr>
          <w:rFonts w:ascii="Arial" w:hAnsi="Arial" w:cs="Arial"/>
          <w:noProof/>
          <w:sz w:val="22"/>
          <w:szCs w:val="22"/>
        </w:rPr>
        <w:t xml:space="preserve"> sufinanciranje pilot projekta Nabav</w:t>
      </w:r>
      <w:r w:rsidR="00B0195D" w:rsidRPr="003E5ED2">
        <w:rPr>
          <w:rFonts w:ascii="Arial" w:hAnsi="Arial" w:cs="Arial"/>
          <w:noProof/>
          <w:sz w:val="22"/>
          <w:szCs w:val="22"/>
        </w:rPr>
        <w:t>e</w:t>
      </w:r>
      <w:r w:rsidR="000D6950" w:rsidRPr="003E5ED2">
        <w:rPr>
          <w:rFonts w:ascii="Arial" w:hAnsi="Arial" w:cs="Arial"/>
          <w:noProof/>
          <w:sz w:val="22"/>
          <w:szCs w:val="22"/>
        </w:rPr>
        <w:t xml:space="preserve"> kućnih kompostera u iznosu od 18.500,00 eura kao i </w:t>
      </w:r>
      <w:r w:rsidR="000B17DB" w:rsidRPr="003E5ED2">
        <w:rPr>
          <w:rFonts w:ascii="Arial" w:hAnsi="Arial" w:cs="Arial"/>
          <w:noProof/>
          <w:sz w:val="22"/>
          <w:szCs w:val="22"/>
        </w:rPr>
        <w:t xml:space="preserve">za </w:t>
      </w:r>
      <w:r w:rsidR="000D6950" w:rsidRPr="003E5ED2">
        <w:rPr>
          <w:rFonts w:ascii="Arial" w:hAnsi="Arial" w:cs="Arial"/>
          <w:noProof/>
          <w:sz w:val="22"/>
          <w:szCs w:val="22"/>
        </w:rPr>
        <w:t>sufinanciranje izrade stručne podloge u svrhu analize optimalnih lokacija za izgradnju kompostane u iznosu od 32.375,00 eura</w:t>
      </w:r>
      <w:r w:rsidR="00E1162B" w:rsidRPr="003E5ED2">
        <w:rPr>
          <w:rFonts w:ascii="Arial" w:hAnsi="Arial" w:cs="Arial"/>
          <w:noProof/>
          <w:sz w:val="22"/>
          <w:szCs w:val="22"/>
        </w:rPr>
        <w:t xml:space="preserve"> </w:t>
      </w:r>
      <w:r w:rsidR="000B17DB" w:rsidRPr="003E5ED2">
        <w:rPr>
          <w:rFonts w:ascii="Arial" w:hAnsi="Arial" w:cs="Arial"/>
          <w:noProof/>
          <w:sz w:val="22"/>
          <w:szCs w:val="22"/>
        </w:rPr>
        <w:t>te</w:t>
      </w:r>
      <w:r w:rsidR="00E1162B" w:rsidRPr="003E5ED2">
        <w:rPr>
          <w:rFonts w:ascii="Arial" w:hAnsi="Arial" w:cs="Arial"/>
          <w:noProof/>
          <w:sz w:val="22"/>
          <w:szCs w:val="22"/>
        </w:rPr>
        <w:t xml:space="preserve"> za</w:t>
      </w:r>
      <w:r w:rsidR="0064185A" w:rsidRPr="003E5ED2">
        <w:rPr>
          <w:rFonts w:ascii="Arial" w:hAnsi="Arial" w:cs="Arial"/>
          <w:noProof/>
          <w:sz w:val="22"/>
          <w:szCs w:val="22"/>
        </w:rPr>
        <w:t xml:space="preserve"> obnovu stolarije</w:t>
      </w:r>
      <w:r w:rsidR="00E1162B" w:rsidRPr="003E5ED2">
        <w:rPr>
          <w:rFonts w:ascii="Arial" w:hAnsi="Arial" w:cs="Arial"/>
          <w:noProof/>
          <w:sz w:val="22"/>
          <w:szCs w:val="22"/>
        </w:rPr>
        <w:t xml:space="preserve"> HNK I.</w:t>
      </w:r>
      <w:r w:rsidR="00841904" w:rsidRPr="003E5ED2">
        <w:rPr>
          <w:rFonts w:ascii="Arial" w:hAnsi="Arial" w:cs="Arial"/>
          <w:noProof/>
          <w:sz w:val="22"/>
          <w:szCs w:val="22"/>
        </w:rPr>
        <w:t xml:space="preserve"> </w:t>
      </w:r>
      <w:r w:rsidR="00E1162B" w:rsidRPr="003E5ED2">
        <w:rPr>
          <w:rFonts w:ascii="Arial" w:hAnsi="Arial" w:cs="Arial"/>
          <w:noProof/>
          <w:sz w:val="22"/>
          <w:szCs w:val="22"/>
        </w:rPr>
        <w:t>pl.</w:t>
      </w:r>
      <w:r w:rsidR="00841904" w:rsidRPr="003E5ED2">
        <w:rPr>
          <w:rFonts w:ascii="Arial" w:hAnsi="Arial" w:cs="Arial"/>
          <w:noProof/>
          <w:sz w:val="22"/>
          <w:szCs w:val="22"/>
        </w:rPr>
        <w:t xml:space="preserve"> </w:t>
      </w:r>
      <w:r w:rsidR="00E1162B" w:rsidRPr="003E5ED2">
        <w:rPr>
          <w:rFonts w:ascii="Arial" w:hAnsi="Arial" w:cs="Arial"/>
          <w:noProof/>
          <w:sz w:val="22"/>
          <w:szCs w:val="22"/>
        </w:rPr>
        <w:t xml:space="preserve">Zajca (69.015,86 eura). </w:t>
      </w:r>
      <w:r w:rsidR="008C282B" w:rsidRPr="003E5ED2">
        <w:rPr>
          <w:rFonts w:ascii="Arial" w:hAnsi="Arial" w:cs="Arial"/>
          <w:noProof/>
          <w:sz w:val="22"/>
          <w:szCs w:val="22"/>
        </w:rPr>
        <w:t>Ministarstvo</w:t>
      </w:r>
      <w:r w:rsidR="00E1162B" w:rsidRPr="003E5ED2">
        <w:rPr>
          <w:rFonts w:ascii="Arial" w:hAnsi="Arial" w:cs="Arial"/>
          <w:noProof/>
          <w:sz w:val="22"/>
          <w:szCs w:val="22"/>
        </w:rPr>
        <w:t xml:space="preserve"> kulture Republike Hrvatske </w:t>
      </w:r>
      <w:r w:rsidR="000B17DB" w:rsidRPr="003E5ED2">
        <w:rPr>
          <w:rFonts w:ascii="Arial" w:hAnsi="Arial" w:cs="Arial"/>
          <w:noProof/>
          <w:sz w:val="22"/>
          <w:szCs w:val="22"/>
        </w:rPr>
        <w:t>doznač</w:t>
      </w:r>
      <w:r w:rsidR="008C282B" w:rsidRPr="003E5ED2">
        <w:rPr>
          <w:rFonts w:ascii="Arial" w:hAnsi="Arial" w:cs="Arial"/>
          <w:noProof/>
          <w:sz w:val="22"/>
          <w:szCs w:val="22"/>
        </w:rPr>
        <w:t>ilo je kapitalnu pomoć</w:t>
      </w:r>
      <w:r w:rsidR="00E1162B" w:rsidRPr="003E5ED2">
        <w:rPr>
          <w:rFonts w:ascii="Arial" w:hAnsi="Arial" w:cs="Arial"/>
          <w:noProof/>
          <w:sz w:val="22"/>
          <w:szCs w:val="22"/>
        </w:rPr>
        <w:t xml:space="preserve"> za Groblje Kozala –</w:t>
      </w:r>
      <w:r w:rsidR="008C282B" w:rsidRPr="003E5ED2">
        <w:rPr>
          <w:rFonts w:ascii="Arial" w:hAnsi="Arial" w:cs="Arial"/>
          <w:noProof/>
          <w:sz w:val="22"/>
          <w:szCs w:val="22"/>
        </w:rPr>
        <w:t xml:space="preserve"> </w:t>
      </w:r>
      <w:r w:rsidR="00E1162B" w:rsidRPr="003E5ED2">
        <w:rPr>
          <w:rFonts w:ascii="Arial" w:hAnsi="Arial" w:cs="Arial"/>
          <w:noProof/>
          <w:sz w:val="22"/>
          <w:szCs w:val="22"/>
        </w:rPr>
        <w:t>Mauzolej Kopa</w:t>
      </w:r>
      <w:r w:rsidR="00C458F8" w:rsidRPr="003E5ED2">
        <w:rPr>
          <w:rFonts w:ascii="Arial" w:hAnsi="Arial" w:cs="Arial"/>
          <w:noProof/>
          <w:sz w:val="22"/>
          <w:szCs w:val="22"/>
        </w:rPr>
        <w:t>itić-Battaglia</w:t>
      </w:r>
      <w:r w:rsidR="002A77BE" w:rsidRPr="003E5ED2">
        <w:rPr>
          <w:rFonts w:ascii="Arial" w:hAnsi="Arial" w:cs="Arial"/>
          <w:noProof/>
          <w:sz w:val="22"/>
          <w:szCs w:val="22"/>
        </w:rPr>
        <w:t>ri</w:t>
      </w:r>
      <w:r w:rsidR="0009306D" w:rsidRPr="003E5ED2">
        <w:rPr>
          <w:rFonts w:ascii="Arial" w:hAnsi="Arial" w:cs="Arial"/>
          <w:noProof/>
          <w:sz w:val="22"/>
          <w:szCs w:val="22"/>
        </w:rPr>
        <w:t xml:space="preserve">ni </w:t>
      </w:r>
      <w:r w:rsidR="00C458F8" w:rsidRPr="003E5ED2">
        <w:rPr>
          <w:rFonts w:ascii="Arial" w:hAnsi="Arial" w:cs="Arial"/>
          <w:noProof/>
          <w:sz w:val="22"/>
          <w:szCs w:val="22"/>
        </w:rPr>
        <w:t xml:space="preserve">(6.000,00 eura). </w:t>
      </w:r>
    </w:p>
    <w:p w:rsidR="002A77BE" w:rsidRPr="003E5ED2" w:rsidRDefault="002A77BE" w:rsidP="00E134F6">
      <w:pPr>
        <w:jc w:val="both"/>
        <w:rPr>
          <w:rFonts w:ascii="Arial" w:hAnsi="Arial" w:cs="Arial"/>
          <w:noProof/>
          <w:sz w:val="22"/>
          <w:szCs w:val="22"/>
        </w:rPr>
      </w:pPr>
    </w:p>
    <w:p w:rsidR="00B25489" w:rsidRPr="003E5ED2" w:rsidRDefault="00B25489" w:rsidP="00E134F6">
      <w:pPr>
        <w:jc w:val="both"/>
        <w:rPr>
          <w:rFonts w:ascii="Arial" w:hAnsi="Arial" w:cs="Arial"/>
          <w:noProof/>
          <w:sz w:val="22"/>
          <w:szCs w:val="22"/>
        </w:rPr>
      </w:pPr>
      <w:r w:rsidRPr="003E5ED2">
        <w:rPr>
          <w:rFonts w:ascii="Arial" w:hAnsi="Arial" w:cs="Arial"/>
          <w:i/>
          <w:noProof/>
          <w:sz w:val="22"/>
          <w:szCs w:val="22"/>
          <w:u w:val="single"/>
        </w:rPr>
        <w:t xml:space="preserve">Pomoći izravnanja za decentralizirane funkcije </w:t>
      </w:r>
      <w:r w:rsidR="00AB2645" w:rsidRPr="003E5ED2">
        <w:rPr>
          <w:rFonts w:ascii="Arial" w:hAnsi="Arial" w:cs="Arial"/>
          <w:i/>
          <w:noProof/>
          <w:sz w:val="22"/>
          <w:szCs w:val="22"/>
          <w:u w:val="single"/>
        </w:rPr>
        <w:t>(635)</w:t>
      </w:r>
      <w:r w:rsidR="00AB2645" w:rsidRPr="003E5ED2">
        <w:rPr>
          <w:rFonts w:ascii="Arial" w:hAnsi="Arial" w:cs="Arial"/>
          <w:noProof/>
          <w:sz w:val="22"/>
          <w:szCs w:val="22"/>
        </w:rPr>
        <w:t xml:space="preserve"> </w:t>
      </w:r>
      <w:r w:rsidRPr="003E5ED2">
        <w:rPr>
          <w:rFonts w:ascii="Arial" w:hAnsi="Arial" w:cs="Arial"/>
          <w:noProof/>
          <w:sz w:val="22"/>
          <w:szCs w:val="22"/>
        </w:rPr>
        <w:t xml:space="preserve">osnovnog školstva i vatrogastva su sredstva koja uplaćuje državni proračun kako bi se namirila razlika između ostvarenog prihoda od poreza na dohodak za decentralizirane funkcije i minimalnih standarda za te funkcije koji su utvrđeni Uredbom o načinu financiranja decentraliziranih funkcija JLP(R)S i Odlukama o minimalnim financijskim standardima za decentralizirane funkcije osnovnog školstva i vatrogastva. U izvještajnom razdoblju doznačena su sredstva </w:t>
      </w:r>
      <w:r w:rsidR="0059284F" w:rsidRPr="003E5ED2">
        <w:rPr>
          <w:rFonts w:ascii="Arial" w:hAnsi="Arial" w:cs="Arial"/>
          <w:noProof/>
          <w:sz w:val="22"/>
          <w:szCs w:val="22"/>
        </w:rPr>
        <w:t xml:space="preserve">iz državnog proračuna </w:t>
      </w:r>
      <w:r w:rsidRPr="003E5ED2">
        <w:rPr>
          <w:rFonts w:ascii="Arial" w:hAnsi="Arial" w:cs="Arial"/>
          <w:noProof/>
          <w:sz w:val="22"/>
          <w:szCs w:val="22"/>
        </w:rPr>
        <w:t xml:space="preserve">u ukupnom iznosu od </w:t>
      </w:r>
      <w:r w:rsidR="00C458F8" w:rsidRPr="003E5ED2">
        <w:rPr>
          <w:rFonts w:ascii="Arial" w:hAnsi="Arial" w:cs="Arial"/>
          <w:noProof/>
          <w:sz w:val="22"/>
          <w:szCs w:val="22"/>
        </w:rPr>
        <w:t>1.518.998,17</w:t>
      </w:r>
      <w:r w:rsidR="00594996" w:rsidRPr="003E5ED2">
        <w:rPr>
          <w:rFonts w:ascii="Arial" w:hAnsi="Arial" w:cs="Arial"/>
          <w:noProof/>
          <w:sz w:val="22"/>
          <w:szCs w:val="22"/>
        </w:rPr>
        <w:t xml:space="preserve"> eura </w:t>
      </w:r>
      <w:r w:rsidRPr="003E5ED2">
        <w:rPr>
          <w:rFonts w:ascii="Arial" w:hAnsi="Arial" w:cs="Arial"/>
          <w:noProof/>
          <w:sz w:val="22"/>
          <w:szCs w:val="22"/>
        </w:rPr>
        <w:t xml:space="preserve">i to: </w:t>
      </w:r>
      <w:r w:rsidR="00E47203" w:rsidRPr="003E5ED2">
        <w:rPr>
          <w:rFonts w:ascii="Arial" w:hAnsi="Arial" w:cs="Arial"/>
          <w:noProof/>
          <w:sz w:val="22"/>
          <w:szCs w:val="22"/>
        </w:rPr>
        <w:t>z</w:t>
      </w:r>
      <w:r w:rsidRPr="003E5ED2">
        <w:rPr>
          <w:rFonts w:ascii="Arial" w:hAnsi="Arial" w:cs="Arial"/>
          <w:noProof/>
          <w:sz w:val="22"/>
          <w:szCs w:val="22"/>
        </w:rPr>
        <w:t xml:space="preserve">a tekuće rashode iznos od </w:t>
      </w:r>
      <w:r w:rsidR="00C458F8" w:rsidRPr="003E5ED2">
        <w:rPr>
          <w:rFonts w:ascii="Arial" w:hAnsi="Arial" w:cs="Arial"/>
          <w:noProof/>
          <w:sz w:val="22"/>
          <w:szCs w:val="22"/>
        </w:rPr>
        <w:t>1.497.140,17</w:t>
      </w:r>
      <w:r w:rsidR="00594996" w:rsidRPr="003E5ED2">
        <w:rPr>
          <w:rFonts w:ascii="Arial" w:hAnsi="Arial" w:cs="Arial"/>
          <w:noProof/>
          <w:sz w:val="22"/>
          <w:szCs w:val="22"/>
        </w:rPr>
        <w:t xml:space="preserve"> eura</w:t>
      </w:r>
      <w:r w:rsidR="0059284F" w:rsidRPr="003E5ED2">
        <w:rPr>
          <w:rFonts w:ascii="Arial" w:hAnsi="Arial" w:cs="Arial"/>
          <w:noProof/>
          <w:sz w:val="22"/>
          <w:szCs w:val="22"/>
        </w:rPr>
        <w:t xml:space="preserve"> i</w:t>
      </w:r>
      <w:r w:rsidRPr="003E5ED2">
        <w:rPr>
          <w:rFonts w:ascii="Arial" w:hAnsi="Arial" w:cs="Arial"/>
          <w:noProof/>
          <w:sz w:val="22"/>
          <w:szCs w:val="22"/>
        </w:rPr>
        <w:t xml:space="preserve"> za kapitalne rashode </w:t>
      </w:r>
      <w:r w:rsidR="00C458F8" w:rsidRPr="003E5ED2">
        <w:rPr>
          <w:rFonts w:ascii="Arial" w:hAnsi="Arial" w:cs="Arial"/>
          <w:noProof/>
          <w:sz w:val="22"/>
          <w:szCs w:val="22"/>
        </w:rPr>
        <w:t>21.858,00</w:t>
      </w:r>
      <w:r w:rsidR="00594996" w:rsidRPr="003E5ED2">
        <w:rPr>
          <w:rFonts w:ascii="Arial" w:hAnsi="Arial" w:cs="Arial"/>
          <w:noProof/>
          <w:sz w:val="22"/>
          <w:szCs w:val="22"/>
        </w:rPr>
        <w:t xml:space="preserve"> eura</w:t>
      </w:r>
      <w:r w:rsidRPr="003E5ED2">
        <w:rPr>
          <w:rFonts w:ascii="Arial" w:hAnsi="Arial" w:cs="Arial"/>
          <w:noProof/>
          <w:sz w:val="22"/>
          <w:szCs w:val="22"/>
        </w:rPr>
        <w:t xml:space="preserve">. </w:t>
      </w:r>
      <w:r w:rsidR="00AB2645" w:rsidRPr="003E5ED2">
        <w:rPr>
          <w:rFonts w:ascii="Arial" w:hAnsi="Arial" w:cs="Arial"/>
          <w:noProof/>
          <w:sz w:val="22"/>
          <w:szCs w:val="22"/>
        </w:rPr>
        <w:t>Pomoći izravnanja za decentralizirane funkcije o</w:t>
      </w:r>
      <w:r w:rsidRPr="003E5ED2">
        <w:rPr>
          <w:rFonts w:ascii="Arial" w:hAnsi="Arial" w:cs="Arial"/>
          <w:noProof/>
          <w:sz w:val="22"/>
          <w:szCs w:val="22"/>
        </w:rPr>
        <w:t>stvaren</w:t>
      </w:r>
      <w:r w:rsidR="00BB3F44" w:rsidRPr="003E5ED2">
        <w:rPr>
          <w:rFonts w:ascii="Arial" w:hAnsi="Arial" w:cs="Arial"/>
          <w:noProof/>
          <w:sz w:val="22"/>
          <w:szCs w:val="22"/>
        </w:rPr>
        <w:t>e</w:t>
      </w:r>
      <w:r w:rsidRPr="003E5ED2">
        <w:rPr>
          <w:rFonts w:ascii="Arial" w:hAnsi="Arial" w:cs="Arial"/>
          <w:noProof/>
          <w:sz w:val="22"/>
          <w:szCs w:val="22"/>
        </w:rPr>
        <w:t xml:space="preserve"> </w:t>
      </w:r>
      <w:r w:rsidR="00BB3F44" w:rsidRPr="003E5ED2">
        <w:rPr>
          <w:rFonts w:ascii="Arial" w:hAnsi="Arial" w:cs="Arial"/>
          <w:noProof/>
          <w:sz w:val="22"/>
          <w:szCs w:val="22"/>
        </w:rPr>
        <w:t>su</w:t>
      </w:r>
      <w:r w:rsidRPr="003E5ED2">
        <w:rPr>
          <w:rFonts w:ascii="Arial" w:hAnsi="Arial" w:cs="Arial"/>
          <w:noProof/>
          <w:sz w:val="22"/>
          <w:szCs w:val="22"/>
        </w:rPr>
        <w:t xml:space="preserve"> </w:t>
      </w:r>
      <w:r w:rsidR="00C458F8" w:rsidRPr="003E5ED2">
        <w:rPr>
          <w:rFonts w:ascii="Arial" w:hAnsi="Arial" w:cs="Arial"/>
          <w:noProof/>
          <w:sz w:val="22"/>
          <w:szCs w:val="22"/>
        </w:rPr>
        <w:t>34,50</w:t>
      </w:r>
      <w:r w:rsidR="00AB2645" w:rsidRPr="003E5ED2">
        <w:rPr>
          <w:rFonts w:ascii="Arial" w:hAnsi="Arial" w:cs="Arial"/>
          <w:noProof/>
          <w:sz w:val="22"/>
          <w:szCs w:val="22"/>
        </w:rPr>
        <w:t xml:space="preserve">% manje u odnosu na prethodnu godinu. </w:t>
      </w:r>
    </w:p>
    <w:p w:rsidR="007169D6" w:rsidRPr="003E5ED2" w:rsidRDefault="00E134F6" w:rsidP="000E69DA">
      <w:pPr>
        <w:jc w:val="both"/>
        <w:rPr>
          <w:rFonts w:ascii="Arial" w:hAnsi="Arial" w:cs="Arial"/>
          <w:noProof/>
          <w:sz w:val="22"/>
          <w:szCs w:val="22"/>
        </w:rPr>
      </w:pPr>
      <w:r w:rsidRPr="003E5ED2">
        <w:rPr>
          <w:rFonts w:ascii="Arial" w:hAnsi="Arial" w:cs="Arial"/>
          <w:noProof/>
          <w:sz w:val="22"/>
          <w:szCs w:val="22"/>
        </w:rPr>
        <w:t xml:space="preserve"> </w:t>
      </w:r>
    </w:p>
    <w:p w:rsidR="00D828A2" w:rsidRPr="003E5ED2" w:rsidRDefault="000E69DA" w:rsidP="00D828A2">
      <w:pPr>
        <w:jc w:val="both"/>
        <w:rPr>
          <w:rFonts w:ascii="Arial" w:hAnsi="Arial" w:cs="Arial"/>
          <w:sz w:val="22"/>
          <w:szCs w:val="22"/>
        </w:rPr>
      </w:pPr>
      <w:r w:rsidRPr="003E5ED2">
        <w:rPr>
          <w:rFonts w:ascii="Arial" w:hAnsi="Arial" w:cs="Arial"/>
          <w:i/>
          <w:sz w:val="22"/>
          <w:szCs w:val="22"/>
          <w:u w:val="single"/>
        </w:rPr>
        <w:t>Pomoći teme</w:t>
      </w:r>
      <w:r w:rsidR="00EC075B" w:rsidRPr="003E5ED2">
        <w:rPr>
          <w:rFonts w:ascii="Arial" w:hAnsi="Arial" w:cs="Arial"/>
          <w:i/>
          <w:sz w:val="22"/>
          <w:szCs w:val="22"/>
          <w:u w:val="single"/>
        </w:rPr>
        <w:t>ljem prijenosa EU sredstava (638</w:t>
      </w:r>
      <w:r w:rsidRPr="003E5ED2">
        <w:rPr>
          <w:rFonts w:ascii="Arial" w:hAnsi="Arial" w:cs="Arial"/>
          <w:i/>
          <w:sz w:val="22"/>
          <w:szCs w:val="22"/>
          <w:u w:val="single"/>
        </w:rPr>
        <w:t>)</w:t>
      </w:r>
      <w:r w:rsidRPr="003E5ED2">
        <w:rPr>
          <w:rFonts w:ascii="Arial" w:hAnsi="Arial" w:cs="Arial"/>
          <w:sz w:val="22"/>
          <w:szCs w:val="22"/>
        </w:rPr>
        <w:t xml:space="preserve"> ukupno </w:t>
      </w:r>
      <w:r w:rsidR="00BB51BB" w:rsidRPr="003E5ED2">
        <w:rPr>
          <w:rFonts w:ascii="Arial" w:hAnsi="Arial" w:cs="Arial"/>
          <w:sz w:val="22"/>
          <w:szCs w:val="22"/>
        </w:rPr>
        <w:t xml:space="preserve">su ostvarene u iznosu od </w:t>
      </w:r>
      <w:r w:rsidRPr="003E5ED2">
        <w:rPr>
          <w:rFonts w:ascii="Arial" w:hAnsi="Arial" w:cs="Arial"/>
          <w:sz w:val="22"/>
          <w:szCs w:val="22"/>
        </w:rPr>
        <w:t xml:space="preserve"> </w:t>
      </w:r>
      <w:r w:rsidR="00C458F8" w:rsidRPr="003E5ED2">
        <w:rPr>
          <w:rFonts w:ascii="Arial" w:hAnsi="Arial" w:cs="Arial"/>
          <w:sz w:val="22"/>
          <w:szCs w:val="22"/>
        </w:rPr>
        <w:t>3.008.410,26</w:t>
      </w:r>
      <w:r w:rsidR="00594996" w:rsidRPr="003E5ED2">
        <w:rPr>
          <w:rFonts w:ascii="Arial" w:hAnsi="Arial" w:cs="Arial"/>
          <w:sz w:val="22"/>
          <w:szCs w:val="22"/>
        </w:rPr>
        <w:t xml:space="preserve"> eura</w:t>
      </w:r>
      <w:r w:rsidR="00BB51BB" w:rsidRPr="003E5ED2">
        <w:rPr>
          <w:rFonts w:ascii="Arial" w:hAnsi="Arial" w:cs="Arial"/>
          <w:sz w:val="22"/>
          <w:szCs w:val="22"/>
        </w:rPr>
        <w:t xml:space="preserve">, </w:t>
      </w:r>
      <w:r w:rsidR="00C458F8" w:rsidRPr="003E5ED2">
        <w:rPr>
          <w:rFonts w:ascii="Arial" w:hAnsi="Arial" w:cs="Arial"/>
          <w:sz w:val="22"/>
          <w:szCs w:val="22"/>
        </w:rPr>
        <w:t>21,3</w:t>
      </w:r>
      <w:r w:rsidR="00551A8B" w:rsidRPr="003E5ED2">
        <w:rPr>
          <w:rFonts w:ascii="Arial" w:hAnsi="Arial" w:cs="Arial"/>
          <w:sz w:val="22"/>
          <w:szCs w:val="22"/>
        </w:rPr>
        <w:t xml:space="preserve">% </w:t>
      </w:r>
      <w:r w:rsidR="00594996" w:rsidRPr="003E5ED2">
        <w:rPr>
          <w:rFonts w:ascii="Arial" w:hAnsi="Arial" w:cs="Arial"/>
          <w:sz w:val="22"/>
          <w:szCs w:val="22"/>
        </w:rPr>
        <w:t>manje</w:t>
      </w:r>
      <w:r w:rsidR="00014E56" w:rsidRPr="003E5ED2">
        <w:rPr>
          <w:rFonts w:ascii="Arial" w:hAnsi="Arial" w:cs="Arial"/>
          <w:sz w:val="22"/>
          <w:szCs w:val="22"/>
        </w:rPr>
        <w:t xml:space="preserve"> </w:t>
      </w:r>
      <w:r w:rsidR="00C458F8" w:rsidRPr="003E5ED2">
        <w:rPr>
          <w:rFonts w:ascii="Arial" w:hAnsi="Arial" w:cs="Arial"/>
          <w:sz w:val="22"/>
          <w:szCs w:val="22"/>
        </w:rPr>
        <w:t>u odnosu na 2023</w:t>
      </w:r>
      <w:r w:rsidR="00014E56" w:rsidRPr="003E5ED2">
        <w:rPr>
          <w:rFonts w:ascii="Arial" w:hAnsi="Arial" w:cs="Arial"/>
          <w:sz w:val="22"/>
          <w:szCs w:val="22"/>
        </w:rPr>
        <w:t xml:space="preserve">. godinu. </w:t>
      </w:r>
    </w:p>
    <w:p w:rsidR="00C458F8" w:rsidRPr="003E5ED2" w:rsidRDefault="00C458F8" w:rsidP="00D828A2">
      <w:pPr>
        <w:jc w:val="both"/>
        <w:rPr>
          <w:rFonts w:ascii="Arial" w:hAnsi="Arial" w:cs="Arial"/>
          <w:noProof/>
          <w:sz w:val="22"/>
          <w:szCs w:val="22"/>
        </w:rPr>
      </w:pPr>
    </w:p>
    <w:p w:rsidR="00120E47" w:rsidRPr="003E5ED2" w:rsidRDefault="00EC075B" w:rsidP="000E69DA">
      <w:pPr>
        <w:jc w:val="both"/>
        <w:rPr>
          <w:rFonts w:ascii="Arial" w:hAnsi="Arial" w:cs="Arial"/>
          <w:sz w:val="22"/>
          <w:szCs w:val="22"/>
        </w:rPr>
      </w:pPr>
      <w:r w:rsidRPr="003E5ED2">
        <w:rPr>
          <w:rFonts w:ascii="Arial" w:hAnsi="Arial" w:cs="Arial"/>
          <w:sz w:val="22"/>
          <w:szCs w:val="22"/>
        </w:rPr>
        <w:t xml:space="preserve">Kapitalne pomoći temeljem prijenosa EU sredstava </w:t>
      </w:r>
      <w:r w:rsidR="00C458F8" w:rsidRPr="003E5ED2">
        <w:rPr>
          <w:rFonts w:ascii="Arial" w:hAnsi="Arial" w:cs="Arial"/>
          <w:sz w:val="22"/>
          <w:szCs w:val="22"/>
        </w:rPr>
        <w:t xml:space="preserve">(6382) </w:t>
      </w:r>
      <w:r w:rsidRPr="003E5ED2">
        <w:rPr>
          <w:rFonts w:ascii="Arial" w:hAnsi="Arial" w:cs="Arial"/>
          <w:sz w:val="22"/>
          <w:szCs w:val="22"/>
        </w:rPr>
        <w:t xml:space="preserve">doznačene su u ukupnom iznosu od </w:t>
      </w:r>
      <w:r w:rsidR="00C458F8" w:rsidRPr="003E5ED2">
        <w:rPr>
          <w:rFonts w:ascii="Arial" w:hAnsi="Arial" w:cs="Arial"/>
          <w:sz w:val="22"/>
          <w:szCs w:val="22"/>
        </w:rPr>
        <w:t>2.773.614,56</w:t>
      </w:r>
      <w:r w:rsidR="00594996" w:rsidRPr="003E5ED2">
        <w:rPr>
          <w:rFonts w:ascii="Arial" w:hAnsi="Arial" w:cs="Arial"/>
          <w:sz w:val="22"/>
          <w:szCs w:val="22"/>
        </w:rPr>
        <w:t xml:space="preserve"> eura</w:t>
      </w:r>
      <w:r w:rsidRPr="003E5ED2">
        <w:rPr>
          <w:rFonts w:ascii="Arial" w:hAnsi="Arial" w:cs="Arial"/>
          <w:sz w:val="22"/>
          <w:szCs w:val="22"/>
        </w:rPr>
        <w:t xml:space="preserve"> za financiranje s</w:t>
      </w:r>
      <w:r w:rsidR="000C5DB6" w:rsidRPr="003E5ED2">
        <w:rPr>
          <w:rFonts w:ascii="Arial" w:hAnsi="Arial" w:cs="Arial"/>
          <w:sz w:val="22"/>
          <w:szCs w:val="22"/>
        </w:rPr>
        <w:t>l</w:t>
      </w:r>
      <w:r w:rsidR="00996A04" w:rsidRPr="003E5ED2">
        <w:rPr>
          <w:rFonts w:ascii="Arial" w:hAnsi="Arial" w:cs="Arial"/>
          <w:sz w:val="22"/>
          <w:szCs w:val="22"/>
        </w:rPr>
        <w:t>jedećih EU projekata</w:t>
      </w:r>
      <w:r w:rsidR="000C5DB6" w:rsidRPr="003E5ED2">
        <w:rPr>
          <w:rFonts w:ascii="Arial" w:hAnsi="Arial" w:cs="Arial"/>
          <w:sz w:val="22"/>
          <w:szCs w:val="22"/>
        </w:rPr>
        <w:t xml:space="preserve">: </w:t>
      </w:r>
      <w:r w:rsidR="001C479F" w:rsidRPr="003E5ED2">
        <w:rPr>
          <w:rFonts w:ascii="Arial" w:hAnsi="Arial" w:cs="Arial"/>
          <w:sz w:val="22"/>
          <w:szCs w:val="22"/>
        </w:rPr>
        <w:t xml:space="preserve">za projekt </w:t>
      </w:r>
      <w:r w:rsidRPr="003E5ED2">
        <w:rPr>
          <w:rFonts w:ascii="Arial" w:hAnsi="Arial" w:cs="Arial"/>
          <w:sz w:val="22"/>
          <w:szCs w:val="22"/>
        </w:rPr>
        <w:t>R</w:t>
      </w:r>
      <w:r w:rsidR="00740847" w:rsidRPr="003E5ED2">
        <w:rPr>
          <w:rFonts w:ascii="Arial" w:hAnsi="Arial" w:cs="Arial"/>
          <w:sz w:val="22"/>
          <w:szCs w:val="22"/>
        </w:rPr>
        <w:t>evitalizacij</w:t>
      </w:r>
      <w:r w:rsidR="00551A8B" w:rsidRPr="003E5ED2">
        <w:rPr>
          <w:rFonts w:ascii="Arial" w:hAnsi="Arial" w:cs="Arial"/>
          <w:sz w:val="22"/>
          <w:szCs w:val="22"/>
        </w:rPr>
        <w:t>a</w:t>
      </w:r>
      <w:r w:rsidR="00740847" w:rsidRPr="003E5ED2">
        <w:rPr>
          <w:rFonts w:ascii="Arial" w:hAnsi="Arial" w:cs="Arial"/>
          <w:sz w:val="22"/>
          <w:szCs w:val="22"/>
        </w:rPr>
        <w:t xml:space="preserve"> kompleksa Benčić - C</w:t>
      </w:r>
      <w:r w:rsidR="00165FAA" w:rsidRPr="003E5ED2">
        <w:rPr>
          <w:rFonts w:ascii="Arial" w:hAnsi="Arial" w:cs="Arial"/>
          <w:sz w:val="22"/>
          <w:szCs w:val="22"/>
        </w:rPr>
        <w:t>igleni i T-</w:t>
      </w:r>
      <w:r w:rsidRPr="003E5ED2">
        <w:rPr>
          <w:rFonts w:ascii="Arial" w:hAnsi="Arial" w:cs="Arial"/>
          <w:sz w:val="22"/>
          <w:szCs w:val="22"/>
        </w:rPr>
        <w:t>obj</w:t>
      </w:r>
      <w:r w:rsidR="00BD5748" w:rsidRPr="003E5ED2">
        <w:rPr>
          <w:rFonts w:ascii="Arial" w:hAnsi="Arial" w:cs="Arial"/>
          <w:sz w:val="22"/>
          <w:szCs w:val="22"/>
        </w:rPr>
        <w:t>ekt</w:t>
      </w:r>
      <w:r w:rsidR="00FD6869" w:rsidRPr="003E5ED2">
        <w:rPr>
          <w:rFonts w:ascii="Arial" w:hAnsi="Arial" w:cs="Arial"/>
          <w:sz w:val="22"/>
          <w:szCs w:val="22"/>
        </w:rPr>
        <w:t xml:space="preserve">, </w:t>
      </w:r>
      <w:r w:rsidR="001C479F" w:rsidRPr="003E5ED2">
        <w:rPr>
          <w:rFonts w:ascii="Arial" w:hAnsi="Arial" w:cs="Arial"/>
          <w:sz w:val="22"/>
          <w:szCs w:val="22"/>
        </w:rPr>
        <w:t xml:space="preserve">za projekt Povežimo se baštinom, </w:t>
      </w:r>
      <w:r w:rsidR="00443FA2" w:rsidRPr="003E5ED2">
        <w:rPr>
          <w:rFonts w:ascii="Arial" w:hAnsi="Arial" w:cs="Arial"/>
          <w:sz w:val="22"/>
          <w:szCs w:val="22"/>
        </w:rPr>
        <w:t>za projekt</w:t>
      </w:r>
      <w:r w:rsidR="000C5DB6" w:rsidRPr="003E5ED2">
        <w:rPr>
          <w:rFonts w:ascii="Arial" w:hAnsi="Arial" w:cs="Arial"/>
          <w:sz w:val="22"/>
          <w:szCs w:val="22"/>
        </w:rPr>
        <w:t xml:space="preserve"> </w:t>
      </w:r>
      <w:r w:rsidR="007A63CF" w:rsidRPr="003E5ED2">
        <w:rPr>
          <w:rFonts w:ascii="Arial" w:hAnsi="Arial" w:cs="Arial"/>
          <w:sz w:val="22"/>
          <w:szCs w:val="22"/>
          <w:lang w:eastAsia="af-ZA"/>
        </w:rPr>
        <w:t xml:space="preserve">Energana – Start </w:t>
      </w:r>
      <w:proofErr w:type="spellStart"/>
      <w:r w:rsidR="007A63CF" w:rsidRPr="003E5ED2">
        <w:rPr>
          <w:rFonts w:ascii="Arial" w:hAnsi="Arial" w:cs="Arial"/>
          <w:sz w:val="22"/>
          <w:szCs w:val="22"/>
          <w:lang w:eastAsia="af-ZA"/>
        </w:rPr>
        <w:t>up</w:t>
      </w:r>
      <w:proofErr w:type="spellEnd"/>
      <w:r w:rsidR="007A63CF" w:rsidRPr="003E5ED2">
        <w:rPr>
          <w:rFonts w:ascii="Arial" w:hAnsi="Arial" w:cs="Arial"/>
          <w:sz w:val="22"/>
          <w:szCs w:val="22"/>
          <w:lang w:eastAsia="af-ZA"/>
        </w:rPr>
        <w:t xml:space="preserve"> inkubator za kreativne </w:t>
      </w:r>
      <w:r w:rsidR="00680239" w:rsidRPr="003E5ED2">
        <w:rPr>
          <w:rFonts w:ascii="Arial" w:hAnsi="Arial" w:cs="Arial"/>
          <w:sz w:val="22"/>
          <w:szCs w:val="22"/>
          <w:lang w:eastAsia="af-ZA"/>
        </w:rPr>
        <w:t>tehnologije i IT industriju</w:t>
      </w:r>
      <w:r w:rsidR="00E06CD4" w:rsidRPr="003E5ED2">
        <w:rPr>
          <w:rFonts w:ascii="Arial" w:hAnsi="Arial" w:cs="Arial"/>
          <w:sz w:val="22"/>
          <w:szCs w:val="22"/>
        </w:rPr>
        <w:t xml:space="preserve"> </w:t>
      </w:r>
      <w:r w:rsidR="00195652" w:rsidRPr="003E5ED2">
        <w:rPr>
          <w:rFonts w:ascii="Arial" w:hAnsi="Arial" w:cs="Arial"/>
          <w:sz w:val="22"/>
          <w:szCs w:val="22"/>
        </w:rPr>
        <w:t>te</w:t>
      </w:r>
      <w:r w:rsidR="00E06CD4" w:rsidRPr="003E5ED2">
        <w:rPr>
          <w:rFonts w:ascii="Arial" w:hAnsi="Arial" w:cs="Arial"/>
          <w:sz w:val="22"/>
          <w:szCs w:val="22"/>
        </w:rPr>
        <w:t xml:space="preserve"> </w:t>
      </w:r>
      <w:r w:rsidR="007C557A" w:rsidRPr="003E5ED2">
        <w:rPr>
          <w:rFonts w:ascii="Arial" w:hAnsi="Arial" w:cs="Arial"/>
          <w:sz w:val="22"/>
          <w:szCs w:val="22"/>
        </w:rPr>
        <w:t xml:space="preserve">za </w:t>
      </w:r>
      <w:r w:rsidR="00884371" w:rsidRPr="003E5ED2">
        <w:rPr>
          <w:rFonts w:ascii="Arial" w:hAnsi="Arial" w:cs="Arial"/>
          <w:sz w:val="22"/>
          <w:szCs w:val="22"/>
        </w:rPr>
        <w:t>izgradnju i opremanje</w:t>
      </w:r>
      <w:r w:rsidR="00BD600A" w:rsidRPr="003E5ED2">
        <w:rPr>
          <w:rFonts w:ascii="Arial" w:hAnsi="Arial" w:cs="Arial"/>
          <w:sz w:val="22"/>
          <w:szCs w:val="22"/>
        </w:rPr>
        <w:t xml:space="preserve"> </w:t>
      </w:r>
      <w:r w:rsidR="007C557A" w:rsidRPr="003E5ED2">
        <w:rPr>
          <w:rFonts w:ascii="Arial" w:hAnsi="Arial" w:cs="Arial"/>
          <w:sz w:val="22"/>
          <w:szCs w:val="22"/>
        </w:rPr>
        <w:t xml:space="preserve">novog objekta </w:t>
      </w:r>
      <w:r w:rsidR="00165FAA" w:rsidRPr="003E5ED2">
        <w:rPr>
          <w:rFonts w:ascii="Arial" w:hAnsi="Arial" w:cs="Arial"/>
          <w:sz w:val="22"/>
          <w:szCs w:val="22"/>
        </w:rPr>
        <w:t>D</w:t>
      </w:r>
      <w:r w:rsidR="00195652" w:rsidRPr="003E5ED2">
        <w:rPr>
          <w:rFonts w:ascii="Arial" w:hAnsi="Arial" w:cs="Arial"/>
          <w:sz w:val="22"/>
          <w:szCs w:val="22"/>
        </w:rPr>
        <w:t>ječji vrtić</w:t>
      </w:r>
      <w:r w:rsidR="007C557A" w:rsidRPr="003E5ED2">
        <w:rPr>
          <w:rFonts w:ascii="Arial" w:hAnsi="Arial" w:cs="Arial"/>
          <w:sz w:val="22"/>
          <w:szCs w:val="22"/>
        </w:rPr>
        <w:t xml:space="preserve"> </w:t>
      </w:r>
      <w:proofErr w:type="spellStart"/>
      <w:r w:rsidR="00E06CD4" w:rsidRPr="003E5ED2">
        <w:rPr>
          <w:rFonts w:ascii="Arial" w:hAnsi="Arial" w:cs="Arial"/>
          <w:sz w:val="22"/>
          <w:szCs w:val="22"/>
        </w:rPr>
        <w:t>Krnjevo</w:t>
      </w:r>
      <w:proofErr w:type="spellEnd"/>
      <w:r w:rsidR="00E06CD4" w:rsidRPr="003E5ED2">
        <w:rPr>
          <w:rFonts w:ascii="Arial" w:hAnsi="Arial" w:cs="Arial"/>
          <w:sz w:val="22"/>
          <w:szCs w:val="22"/>
        </w:rPr>
        <w:t>.</w:t>
      </w:r>
    </w:p>
    <w:p w:rsidR="007C557A" w:rsidRPr="003E5ED2" w:rsidRDefault="007C557A" w:rsidP="000E69DA">
      <w:pPr>
        <w:jc w:val="both"/>
        <w:rPr>
          <w:rFonts w:ascii="Arial" w:hAnsi="Arial" w:cs="Arial"/>
          <w:b/>
          <w:sz w:val="22"/>
          <w:szCs w:val="22"/>
        </w:rPr>
      </w:pPr>
    </w:p>
    <w:p w:rsidR="000E69DA" w:rsidRPr="003E5ED2" w:rsidRDefault="00A324F7" w:rsidP="000E69DA">
      <w:pPr>
        <w:jc w:val="both"/>
        <w:rPr>
          <w:rFonts w:ascii="Arial" w:hAnsi="Arial" w:cs="Arial"/>
          <w:sz w:val="22"/>
          <w:szCs w:val="22"/>
        </w:rPr>
      </w:pPr>
      <w:r w:rsidRPr="003E5ED2">
        <w:rPr>
          <w:rFonts w:ascii="Arial" w:hAnsi="Arial" w:cs="Arial"/>
          <w:b/>
          <w:sz w:val="22"/>
          <w:szCs w:val="22"/>
        </w:rPr>
        <w:t>Prih</w:t>
      </w:r>
      <w:r w:rsidR="000F1FE3" w:rsidRPr="003E5ED2">
        <w:rPr>
          <w:rFonts w:ascii="Arial" w:hAnsi="Arial" w:cs="Arial"/>
          <w:b/>
          <w:sz w:val="22"/>
          <w:szCs w:val="22"/>
        </w:rPr>
        <w:t>odi od imovine (64</w:t>
      </w:r>
      <w:r w:rsidR="000E69DA" w:rsidRPr="003E5ED2">
        <w:rPr>
          <w:rFonts w:ascii="Arial" w:hAnsi="Arial" w:cs="Arial"/>
          <w:b/>
          <w:sz w:val="22"/>
          <w:szCs w:val="22"/>
        </w:rPr>
        <w:t>)</w:t>
      </w:r>
      <w:r w:rsidR="000E69DA" w:rsidRPr="003E5ED2">
        <w:rPr>
          <w:rFonts w:ascii="Arial" w:hAnsi="Arial" w:cs="Arial"/>
          <w:sz w:val="22"/>
          <w:szCs w:val="22"/>
        </w:rPr>
        <w:t xml:space="preserve"> ostv</w:t>
      </w:r>
      <w:r w:rsidR="00276304" w:rsidRPr="003E5ED2">
        <w:rPr>
          <w:rFonts w:ascii="Arial" w:hAnsi="Arial" w:cs="Arial"/>
          <w:sz w:val="22"/>
          <w:szCs w:val="22"/>
        </w:rPr>
        <w:t xml:space="preserve">areni su u iznosu od </w:t>
      </w:r>
      <w:r w:rsidR="00E06CD4" w:rsidRPr="003E5ED2">
        <w:rPr>
          <w:rFonts w:ascii="Arial" w:hAnsi="Arial" w:cs="Arial"/>
          <w:sz w:val="22"/>
          <w:szCs w:val="22"/>
        </w:rPr>
        <w:t>14.049.798,70</w:t>
      </w:r>
      <w:r w:rsidR="00BD7E59" w:rsidRPr="003E5ED2">
        <w:rPr>
          <w:rFonts w:ascii="Arial" w:hAnsi="Arial" w:cs="Arial"/>
          <w:sz w:val="22"/>
          <w:szCs w:val="22"/>
        </w:rPr>
        <w:t xml:space="preserve"> eura</w:t>
      </w:r>
      <w:r w:rsidR="000F1FE3" w:rsidRPr="003E5ED2">
        <w:rPr>
          <w:rFonts w:ascii="Arial" w:hAnsi="Arial" w:cs="Arial"/>
          <w:sz w:val="22"/>
          <w:szCs w:val="22"/>
        </w:rPr>
        <w:t xml:space="preserve"> ili </w:t>
      </w:r>
      <w:r w:rsidR="00E06CD4" w:rsidRPr="003E5ED2">
        <w:rPr>
          <w:rFonts w:ascii="Arial" w:hAnsi="Arial" w:cs="Arial"/>
          <w:sz w:val="22"/>
          <w:szCs w:val="22"/>
        </w:rPr>
        <w:t>3,7</w:t>
      </w:r>
      <w:r w:rsidR="002F6B2D" w:rsidRPr="003E5ED2">
        <w:rPr>
          <w:rFonts w:ascii="Arial" w:hAnsi="Arial" w:cs="Arial"/>
          <w:sz w:val="22"/>
          <w:szCs w:val="22"/>
        </w:rPr>
        <w:t xml:space="preserve">% </w:t>
      </w:r>
      <w:r w:rsidR="00E06CD4" w:rsidRPr="003E5ED2">
        <w:rPr>
          <w:rFonts w:ascii="Arial" w:hAnsi="Arial" w:cs="Arial"/>
          <w:sz w:val="22"/>
          <w:szCs w:val="22"/>
        </w:rPr>
        <w:t>manje</w:t>
      </w:r>
      <w:r w:rsidR="000E69DA" w:rsidRPr="003E5ED2">
        <w:rPr>
          <w:rFonts w:ascii="Arial" w:hAnsi="Arial" w:cs="Arial"/>
          <w:sz w:val="22"/>
          <w:szCs w:val="22"/>
        </w:rPr>
        <w:t xml:space="preserve"> u odnosu na isto izvještajno razdoblje prethodne godine.</w:t>
      </w:r>
    </w:p>
    <w:p w:rsidR="000E69DA" w:rsidRPr="003E5ED2" w:rsidRDefault="000E69DA" w:rsidP="000E69DA">
      <w:pPr>
        <w:jc w:val="both"/>
        <w:rPr>
          <w:rFonts w:ascii="Arial" w:hAnsi="Arial" w:cs="Arial"/>
          <w:sz w:val="22"/>
          <w:szCs w:val="22"/>
        </w:rPr>
      </w:pPr>
    </w:p>
    <w:p w:rsidR="000E69DA" w:rsidRPr="003E5ED2" w:rsidRDefault="000E69DA" w:rsidP="000E69DA">
      <w:pPr>
        <w:jc w:val="both"/>
        <w:rPr>
          <w:rFonts w:ascii="Arial" w:hAnsi="Arial" w:cs="Arial"/>
          <w:sz w:val="22"/>
          <w:szCs w:val="22"/>
        </w:rPr>
      </w:pPr>
      <w:r w:rsidRPr="003E5ED2">
        <w:rPr>
          <w:rFonts w:ascii="Arial" w:hAnsi="Arial" w:cs="Arial"/>
          <w:i/>
          <w:sz w:val="22"/>
          <w:szCs w:val="22"/>
          <w:u w:val="single"/>
        </w:rPr>
        <w:t>Prihodi</w:t>
      </w:r>
      <w:r w:rsidR="000F1FE3" w:rsidRPr="003E5ED2">
        <w:rPr>
          <w:rFonts w:ascii="Arial" w:hAnsi="Arial" w:cs="Arial"/>
          <w:i/>
          <w:sz w:val="22"/>
          <w:szCs w:val="22"/>
          <w:u w:val="single"/>
        </w:rPr>
        <w:t xml:space="preserve"> od financijske imovine (641</w:t>
      </w:r>
      <w:r w:rsidRPr="003E5ED2">
        <w:rPr>
          <w:rFonts w:ascii="Arial" w:hAnsi="Arial" w:cs="Arial"/>
          <w:i/>
          <w:sz w:val="22"/>
          <w:szCs w:val="22"/>
          <w:u w:val="single"/>
        </w:rPr>
        <w:t>)</w:t>
      </w:r>
      <w:r w:rsidRPr="003E5ED2">
        <w:rPr>
          <w:rFonts w:ascii="Arial" w:hAnsi="Arial" w:cs="Arial"/>
          <w:sz w:val="22"/>
          <w:szCs w:val="22"/>
        </w:rPr>
        <w:t xml:space="preserve"> ostvareni su u iznosu od </w:t>
      </w:r>
      <w:r w:rsidR="00E06CD4" w:rsidRPr="003E5ED2">
        <w:rPr>
          <w:rFonts w:ascii="Arial" w:hAnsi="Arial" w:cs="Arial"/>
          <w:sz w:val="22"/>
          <w:szCs w:val="22"/>
        </w:rPr>
        <w:t xml:space="preserve">774.442,61 </w:t>
      </w:r>
      <w:r w:rsidR="00BD7E59" w:rsidRPr="003E5ED2">
        <w:rPr>
          <w:rFonts w:ascii="Arial" w:hAnsi="Arial" w:cs="Arial"/>
          <w:sz w:val="22"/>
          <w:szCs w:val="22"/>
        </w:rPr>
        <w:t>eura</w:t>
      </w:r>
      <w:r w:rsidRPr="003E5ED2">
        <w:rPr>
          <w:rFonts w:ascii="Arial" w:hAnsi="Arial" w:cs="Arial"/>
          <w:sz w:val="22"/>
          <w:szCs w:val="22"/>
        </w:rPr>
        <w:t xml:space="preserve">. Ostvarenje ovih prihoda u </w:t>
      </w:r>
      <w:r w:rsidR="00E06CD4" w:rsidRPr="003E5ED2">
        <w:rPr>
          <w:rFonts w:ascii="Arial" w:hAnsi="Arial" w:cs="Arial"/>
          <w:sz w:val="22"/>
          <w:szCs w:val="22"/>
        </w:rPr>
        <w:t>2024</w:t>
      </w:r>
      <w:r w:rsidRPr="003E5ED2">
        <w:rPr>
          <w:rFonts w:ascii="Arial" w:hAnsi="Arial" w:cs="Arial"/>
          <w:sz w:val="22"/>
          <w:szCs w:val="22"/>
        </w:rPr>
        <w:t xml:space="preserve">. godini odnosi se </w:t>
      </w:r>
      <w:r w:rsidR="00E06CD4" w:rsidRPr="003E5ED2">
        <w:rPr>
          <w:rFonts w:ascii="Arial" w:hAnsi="Arial" w:cs="Arial"/>
          <w:sz w:val="22"/>
          <w:szCs w:val="22"/>
        </w:rPr>
        <w:t xml:space="preserve">na kamatu na oročena sredstva </w:t>
      </w:r>
      <w:r w:rsidR="00C173B8" w:rsidRPr="003E5ED2">
        <w:rPr>
          <w:rFonts w:ascii="Arial" w:hAnsi="Arial" w:cs="Arial"/>
          <w:sz w:val="22"/>
          <w:szCs w:val="22"/>
        </w:rPr>
        <w:t xml:space="preserve">(291.642,56 eura), </w:t>
      </w:r>
      <w:r w:rsidR="00AE1AC4" w:rsidRPr="003E5ED2">
        <w:rPr>
          <w:rFonts w:ascii="Arial" w:hAnsi="Arial" w:cs="Arial"/>
          <w:sz w:val="22"/>
          <w:szCs w:val="22"/>
        </w:rPr>
        <w:t xml:space="preserve">prihoda </w:t>
      </w:r>
      <w:r w:rsidRPr="003E5ED2">
        <w:rPr>
          <w:rFonts w:ascii="Arial" w:hAnsi="Arial" w:cs="Arial"/>
          <w:sz w:val="22"/>
          <w:szCs w:val="22"/>
        </w:rPr>
        <w:t>od zateznih kamata (</w:t>
      </w:r>
      <w:r w:rsidR="00C173B8" w:rsidRPr="003E5ED2">
        <w:rPr>
          <w:rFonts w:ascii="Arial" w:hAnsi="Arial" w:cs="Arial"/>
          <w:sz w:val="22"/>
          <w:szCs w:val="22"/>
        </w:rPr>
        <w:t>482.680,22 eura), prihoda od dividende (105,57 eura) i prihoda od pozitivnih tečajnih razlika (14,26 eura).</w:t>
      </w:r>
    </w:p>
    <w:p w:rsidR="000E69DA" w:rsidRPr="003E5ED2" w:rsidRDefault="000E69DA" w:rsidP="000E69DA">
      <w:pPr>
        <w:jc w:val="both"/>
        <w:rPr>
          <w:rFonts w:ascii="Arial" w:hAnsi="Arial" w:cs="Arial"/>
          <w:sz w:val="22"/>
          <w:szCs w:val="22"/>
        </w:rPr>
      </w:pPr>
    </w:p>
    <w:p w:rsidR="00466E07" w:rsidRPr="003E5ED2" w:rsidRDefault="000E69DA" w:rsidP="00466E07">
      <w:pPr>
        <w:jc w:val="both"/>
        <w:rPr>
          <w:rFonts w:ascii="Arial" w:hAnsi="Arial" w:cs="Arial"/>
          <w:sz w:val="22"/>
          <w:szCs w:val="22"/>
        </w:rPr>
      </w:pPr>
      <w:r w:rsidRPr="003E5ED2">
        <w:rPr>
          <w:rFonts w:ascii="Arial" w:hAnsi="Arial" w:cs="Arial"/>
          <w:i/>
          <w:sz w:val="22"/>
          <w:szCs w:val="22"/>
          <w:u w:val="single"/>
        </w:rPr>
        <w:t>Prih</w:t>
      </w:r>
      <w:r w:rsidR="000F1FE3" w:rsidRPr="003E5ED2">
        <w:rPr>
          <w:rFonts w:ascii="Arial" w:hAnsi="Arial" w:cs="Arial"/>
          <w:i/>
          <w:sz w:val="22"/>
          <w:szCs w:val="22"/>
          <w:u w:val="single"/>
        </w:rPr>
        <w:t>odi od nefinancijske imovine (642</w:t>
      </w:r>
      <w:r w:rsidRPr="003E5ED2">
        <w:rPr>
          <w:rFonts w:ascii="Arial" w:hAnsi="Arial" w:cs="Arial"/>
          <w:i/>
          <w:sz w:val="22"/>
          <w:szCs w:val="22"/>
          <w:u w:val="single"/>
        </w:rPr>
        <w:t>)</w:t>
      </w:r>
      <w:r w:rsidRPr="003E5ED2">
        <w:rPr>
          <w:rFonts w:ascii="Arial" w:hAnsi="Arial" w:cs="Arial"/>
          <w:sz w:val="22"/>
          <w:szCs w:val="22"/>
        </w:rPr>
        <w:t xml:space="preserve"> ostvareni su u iznosu </w:t>
      </w:r>
      <w:r w:rsidR="00C173B8" w:rsidRPr="003E5ED2">
        <w:rPr>
          <w:rFonts w:ascii="Arial" w:hAnsi="Arial" w:cs="Arial"/>
          <w:sz w:val="22"/>
          <w:szCs w:val="22"/>
        </w:rPr>
        <w:t>13.274.080,75</w:t>
      </w:r>
      <w:r w:rsidR="00366857" w:rsidRPr="003E5ED2">
        <w:rPr>
          <w:rFonts w:ascii="Arial" w:hAnsi="Arial" w:cs="Arial"/>
          <w:sz w:val="22"/>
          <w:szCs w:val="22"/>
        </w:rPr>
        <w:t xml:space="preserve"> eura</w:t>
      </w:r>
      <w:r w:rsidRPr="003E5ED2">
        <w:rPr>
          <w:rFonts w:ascii="Arial" w:hAnsi="Arial" w:cs="Arial"/>
          <w:sz w:val="22"/>
          <w:szCs w:val="22"/>
        </w:rPr>
        <w:t xml:space="preserve">. Najznačajniji prihodi </w:t>
      </w:r>
      <w:r w:rsidR="00D00111" w:rsidRPr="003E5ED2">
        <w:rPr>
          <w:rFonts w:ascii="Arial" w:hAnsi="Arial" w:cs="Arial"/>
          <w:sz w:val="22"/>
          <w:szCs w:val="22"/>
        </w:rPr>
        <w:t xml:space="preserve">u okviru ove podskupine su </w:t>
      </w:r>
      <w:r w:rsidRPr="003E5ED2">
        <w:rPr>
          <w:rFonts w:ascii="Arial" w:hAnsi="Arial" w:cs="Arial"/>
          <w:sz w:val="22"/>
          <w:szCs w:val="22"/>
        </w:rPr>
        <w:t>prihodi od zakupa i iznajmljivanja imovine (zakup poslovnih prostora, najam stambenih prostora, zakup javnih površina i zemlj</w:t>
      </w:r>
      <w:r w:rsidR="008301F3" w:rsidRPr="003E5ED2">
        <w:rPr>
          <w:rFonts w:ascii="Arial" w:hAnsi="Arial" w:cs="Arial"/>
          <w:sz w:val="22"/>
          <w:szCs w:val="22"/>
        </w:rPr>
        <w:t>išta)</w:t>
      </w:r>
      <w:r w:rsidR="00466E07" w:rsidRPr="003E5ED2">
        <w:rPr>
          <w:rFonts w:ascii="Arial" w:hAnsi="Arial" w:cs="Arial"/>
          <w:sz w:val="22"/>
          <w:szCs w:val="22"/>
        </w:rPr>
        <w:t xml:space="preserve"> </w:t>
      </w:r>
      <w:r w:rsidR="00D00111" w:rsidRPr="003E5ED2">
        <w:rPr>
          <w:rFonts w:ascii="Arial" w:hAnsi="Arial" w:cs="Arial"/>
          <w:sz w:val="22"/>
          <w:szCs w:val="22"/>
        </w:rPr>
        <w:t>koji u ovom izvještajnom razdoblju</w:t>
      </w:r>
      <w:r w:rsidR="00A324F7" w:rsidRPr="003E5ED2">
        <w:rPr>
          <w:rFonts w:ascii="Arial" w:hAnsi="Arial" w:cs="Arial"/>
          <w:sz w:val="22"/>
          <w:szCs w:val="22"/>
        </w:rPr>
        <w:t xml:space="preserve"> </w:t>
      </w:r>
      <w:r w:rsidR="00C173B8" w:rsidRPr="003E5ED2">
        <w:rPr>
          <w:rFonts w:ascii="Arial" w:hAnsi="Arial" w:cs="Arial"/>
          <w:sz w:val="22"/>
          <w:szCs w:val="22"/>
        </w:rPr>
        <w:t xml:space="preserve">iznose </w:t>
      </w:r>
      <w:r w:rsidR="00E33175" w:rsidRPr="003E5ED2">
        <w:rPr>
          <w:rFonts w:ascii="Arial" w:hAnsi="Arial" w:cs="Arial"/>
          <w:sz w:val="22"/>
          <w:szCs w:val="22"/>
        </w:rPr>
        <w:t>11.</w:t>
      </w:r>
      <w:r w:rsidR="00C173B8" w:rsidRPr="003E5ED2">
        <w:rPr>
          <w:rFonts w:ascii="Arial" w:hAnsi="Arial" w:cs="Arial"/>
          <w:sz w:val="22"/>
          <w:szCs w:val="22"/>
        </w:rPr>
        <w:t xml:space="preserve">616.942,05 </w:t>
      </w:r>
      <w:r w:rsidR="00E33175" w:rsidRPr="003E5ED2">
        <w:rPr>
          <w:rFonts w:ascii="Arial" w:hAnsi="Arial" w:cs="Arial"/>
          <w:sz w:val="22"/>
          <w:szCs w:val="22"/>
        </w:rPr>
        <w:t>eura</w:t>
      </w:r>
      <w:r w:rsidR="00A80A92" w:rsidRPr="003E5ED2">
        <w:rPr>
          <w:rFonts w:ascii="Arial" w:hAnsi="Arial" w:cs="Arial"/>
          <w:sz w:val="22"/>
          <w:szCs w:val="22"/>
        </w:rPr>
        <w:t xml:space="preserve">. </w:t>
      </w:r>
      <w:r w:rsidR="00E33175" w:rsidRPr="003E5ED2">
        <w:rPr>
          <w:rFonts w:ascii="Arial" w:hAnsi="Arial" w:cs="Arial"/>
          <w:sz w:val="22"/>
          <w:szCs w:val="22"/>
        </w:rPr>
        <w:t>N</w:t>
      </w:r>
      <w:r w:rsidR="00101FE3" w:rsidRPr="003E5ED2">
        <w:rPr>
          <w:rFonts w:ascii="Arial" w:hAnsi="Arial" w:cs="Arial"/>
          <w:sz w:val="22"/>
          <w:szCs w:val="22"/>
        </w:rPr>
        <w:t>aknade za koncesije</w:t>
      </w:r>
      <w:r w:rsidR="00E33175" w:rsidRPr="003E5ED2">
        <w:rPr>
          <w:rFonts w:ascii="Arial" w:hAnsi="Arial" w:cs="Arial"/>
          <w:sz w:val="22"/>
          <w:szCs w:val="22"/>
        </w:rPr>
        <w:t xml:space="preserve"> </w:t>
      </w:r>
      <w:r w:rsidR="008150BD" w:rsidRPr="003E5ED2">
        <w:rPr>
          <w:rFonts w:ascii="Arial" w:hAnsi="Arial" w:cs="Arial"/>
          <w:sz w:val="22"/>
          <w:szCs w:val="22"/>
        </w:rPr>
        <w:t xml:space="preserve">bilježe </w:t>
      </w:r>
      <w:r w:rsidR="00C173B8" w:rsidRPr="003E5ED2">
        <w:rPr>
          <w:rFonts w:ascii="Arial" w:hAnsi="Arial" w:cs="Arial"/>
          <w:sz w:val="22"/>
          <w:szCs w:val="22"/>
        </w:rPr>
        <w:t>rast</w:t>
      </w:r>
      <w:r w:rsidR="00E33175" w:rsidRPr="003E5ED2">
        <w:rPr>
          <w:rFonts w:ascii="Arial" w:hAnsi="Arial" w:cs="Arial"/>
          <w:sz w:val="22"/>
          <w:szCs w:val="22"/>
        </w:rPr>
        <w:t xml:space="preserve"> </w:t>
      </w:r>
      <w:r w:rsidR="00D31402" w:rsidRPr="003E5ED2">
        <w:rPr>
          <w:rFonts w:ascii="Arial" w:hAnsi="Arial" w:cs="Arial"/>
          <w:sz w:val="22"/>
          <w:szCs w:val="22"/>
        </w:rPr>
        <w:t xml:space="preserve">ostvarenja od </w:t>
      </w:r>
      <w:r w:rsidR="00C173B8" w:rsidRPr="003E5ED2">
        <w:rPr>
          <w:rFonts w:ascii="Arial" w:hAnsi="Arial" w:cs="Arial"/>
          <w:sz w:val="22"/>
          <w:szCs w:val="22"/>
        </w:rPr>
        <w:t>11</w:t>
      </w:r>
      <w:r w:rsidR="008150BD" w:rsidRPr="003E5ED2">
        <w:rPr>
          <w:rFonts w:ascii="Arial" w:hAnsi="Arial" w:cs="Arial"/>
          <w:sz w:val="22"/>
          <w:szCs w:val="22"/>
        </w:rPr>
        <w:t>%</w:t>
      </w:r>
      <w:r w:rsidR="00101FE3" w:rsidRPr="003E5ED2">
        <w:rPr>
          <w:rFonts w:ascii="Arial" w:hAnsi="Arial" w:cs="Arial"/>
          <w:sz w:val="22"/>
          <w:szCs w:val="22"/>
        </w:rPr>
        <w:t xml:space="preserve"> i </w:t>
      </w:r>
      <w:r w:rsidR="008150BD" w:rsidRPr="003E5ED2">
        <w:rPr>
          <w:rFonts w:ascii="Arial" w:hAnsi="Arial" w:cs="Arial"/>
          <w:sz w:val="22"/>
          <w:szCs w:val="22"/>
        </w:rPr>
        <w:t xml:space="preserve">iznose </w:t>
      </w:r>
      <w:r w:rsidR="00C173B8" w:rsidRPr="003E5ED2">
        <w:rPr>
          <w:rFonts w:ascii="Arial" w:hAnsi="Arial" w:cs="Arial"/>
          <w:sz w:val="22"/>
          <w:szCs w:val="22"/>
        </w:rPr>
        <w:t>288.270,87</w:t>
      </w:r>
      <w:r w:rsidR="00F401EF" w:rsidRPr="003E5ED2">
        <w:rPr>
          <w:rFonts w:ascii="Arial" w:hAnsi="Arial" w:cs="Arial"/>
          <w:sz w:val="22"/>
          <w:szCs w:val="22"/>
        </w:rPr>
        <w:t xml:space="preserve"> eura</w:t>
      </w:r>
      <w:r w:rsidR="000664C5" w:rsidRPr="003E5ED2">
        <w:rPr>
          <w:rFonts w:ascii="Arial" w:hAnsi="Arial" w:cs="Arial"/>
          <w:sz w:val="22"/>
          <w:szCs w:val="22"/>
        </w:rPr>
        <w:t>. N</w:t>
      </w:r>
      <w:r w:rsidR="00F401EF" w:rsidRPr="003E5ED2">
        <w:rPr>
          <w:rFonts w:ascii="Arial" w:hAnsi="Arial" w:cs="Arial"/>
          <w:sz w:val="22"/>
          <w:szCs w:val="22"/>
        </w:rPr>
        <w:t>aknade za korištenje nefinancijske imovine</w:t>
      </w:r>
      <w:r w:rsidR="00FC6A52" w:rsidRPr="003E5ED2">
        <w:rPr>
          <w:rFonts w:ascii="Arial" w:hAnsi="Arial" w:cs="Arial"/>
          <w:sz w:val="22"/>
          <w:szCs w:val="22"/>
        </w:rPr>
        <w:t xml:space="preserve"> </w:t>
      </w:r>
      <w:r w:rsidR="00F401EF" w:rsidRPr="003E5ED2">
        <w:rPr>
          <w:rFonts w:ascii="Arial" w:hAnsi="Arial" w:cs="Arial"/>
          <w:sz w:val="22"/>
          <w:szCs w:val="22"/>
        </w:rPr>
        <w:t xml:space="preserve">također bilježe rast od </w:t>
      </w:r>
      <w:r w:rsidR="00945379" w:rsidRPr="003E5ED2">
        <w:rPr>
          <w:rFonts w:ascii="Arial" w:hAnsi="Arial" w:cs="Arial"/>
          <w:sz w:val="22"/>
          <w:szCs w:val="22"/>
        </w:rPr>
        <w:t xml:space="preserve">9,7% i iznose 1.340.463,66 eura (u dijelu </w:t>
      </w:r>
      <w:r w:rsidR="00FF17E0" w:rsidRPr="003E5ED2">
        <w:rPr>
          <w:rFonts w:ascii="Arial" w:hAnsi="Arial" w:cs="Arial"/>
          <w:sz w:val="22"/>
          <w:szCs w:val="22"/>
        </w:rPr>
        <w:t xml:space="preserve">prihoda </w:t>
      </w:r>
      <w:r w:rsidR="00945379" w:rsidRPr="003E5ED2">
        <w:rPr>
          <w:rFonts w:ascii="Arial" w:hAnsi="Arial" w:cs="Arial"/>
          <w:sz w:val="22"/>
          <w:szCs w:val="22"/>
        </w:rPr>
        <w:t>od spomeničke rente 1.</w:t>
      </w:r>
      <w:r w:rsidR="00BD600A" w:rsidRPr="003E5ED2">
        <w:rPr>
          <w:rFonts w:ascii="Arial" w:hAnsi="Arial" w:cs="Arial"/>
          <w:sz w:val="22"/>
          <w:szCs w:val="22"/>
        </w:rPr>
        <w:t>271.172,06</w:t>
      </w:r>
      <w:r w:rsidR="00945379" w:rsidRPr="003E5ED2">
        <w:rPr>
          <w:rFonts w:ascii="Arial" w:hAnsi="Arial" w:cs="Arial"/>
          <w:sz w:val="22"/>
          <w:szCs w:val="22"/>
        </w:rPr>
        <w:t xml:space="preserve"> eura).</w:t>
      </w:r>
    </w:p>
    <w:p w:rsidR="000E69DA" w:rsidRPr="003E5ED2" w:rsidRDefault="000E69DA" w:rsidP="000E69DA">
      <w:pPr>
        <w:jc w:val="both"/>
        <w:rPr>
          <w:rFonts w:ascii="Arial" w:hAnsi="Arial" w:cs="Arial"/>
          <w:b/>
          <w:color w:val="C00000"/>
          <w:sz w:val="22"/>
          <w:szCs w:val="22"/>
        </w:rPr>
      </w:pPr>
    </w:p>
    <w:p w:rsidR="000E69DA" w:rsidRPr="003E5ED2" w:rsidRDefault="000E69DA" w:rsidP="000E69DA">
      <w:pPr>
        <w:jc w:val="both"/>
        <w:rPr>
          <w:rFonts w:ascii="Arial" w:hAnsi="Arial" w:cs="Arial"/>
          <w:sz w:val="22"/>
          <w:szCs w:val="22"/>
        </w:rPr>
      </w:pPr>
      <w:r w:rsidRPr="003E5ED2">
        <w:rPr>
          <w:rFonts w:ascii="Arial" w:hAnsi="Arial" w:cs="Arial"/>
          <w:b/>
          <w:sz w:val="22"/>
          <w:szCs w:val="22"/>
        </w:rPr>
        <w:t>Prihodi od upravnih i administrativnih pristojbi po poseb</w:t>
      </w:r>
      <w:r w:rsidR="00FA2D69" w:rsidRPr="003E5ED2">
        <w:rPr>
          <w:rFonts w:ascii="Arial" w:hAnsi="Arial" w:cs="Arial"/>
          <w:b/>
          <w:sz w:val="22"/>
          <w:szCs w:val="22"/>
        </w:rPr>
        <w:t>nim propisima i naknade (</w:t>
      </w:r>
      <w:r w:rsidR="000F1FE3" w:rsidRPr="003E5ED2">
        <w:rPr>
          <w:rFonts w:ascii="Arial" w:hAnsi="Arial" w:cs="Arial"/>
          <w:b/>
          <w:sz w:val="22"/>
          <w:szCs w:val="22"/>
        </w:rPr>
        <w:t>65</w:t>
      </w:r>
      <w:r w:rsidRPr="003E5ED2">
        <w:rPr>
          <w:rFonts w:ascii="Arial" w:hAnsi="Arial" w:cs="Arial"/>
          <w:i/>
          <w:sz w:val="22"/>
          <w:szCs w:val="22"/>
          <w:u w:val="single"/>
        </w:rPr>
        <w:t>)</w:t>
      </w:r>
      <w:r w:rsidRPr="003E5ED2">
        <w:rPr>
          <w:rFonts w:ascii="Arial" w:hAnsi="Arial" w:cs="Arial"/>
          <w:sz w:val="22"/>
          <w:szCs w:val="22"/>
        </w:rPr>
        <w:t xml:space="preserve"> ostvareni su u iznosu </w:t>
      </w:r>
      <w:r w:rsidR="00F401EF" w:rsidRPr="003E5ED2">
        <w:rPr>
          <w:rFonts w:ascii="Arial" w:hAnsi="Arial" w:cs="Arial"/>
          <w:sz w:val="22"/>
          <w:szCs w:val="22"/>
        </w:rPr>
        <w:t>17.514.305,88</w:t>
      </w:r>
      <w:r w:rsidR="008150BD" w:rsidRPr="003E5ED2">
        <w:rPr>
          <w:rFonts w:ascii="Arial" w:hAnsi="Arial" w:cs="Arial"/>
          <w:sz w:val="22"/>
          <w:szCs w:val="22"/>
        </w:rPr>
        <w:t xml:space="preserve"> eura</w:t>
      </w:r>
      <w:r w:rsidR="009B4591" w:rsidRPr="003E5ED2">
        <w:rPr>
          <w:rFonts w:ascii="Arial" w:hAnsi="Arial" w:cs="Arial"/>
          <w:sz w:val="22"/>
          <w:szCs w:val="22"/>
        </w:rPr>
        <w:t xml:space="preserve">. </w:t>
      </w:r>
      <w:r w:rsidR="00AC0A0E" w:rsidRPr="003E5ED2">
        <w:rPr>
          <w:rFonts w:ascii="Arial" w:hAnsi="Arial" w:cs="Arial"/>
          <w:sz w:val="22"/>
          <w:szCs w:val="22"/>
        </w:rPr>
        <w:t xml:space="preserve">Najznačajniji prihodi ove podskupine </w:t>
      </w:r>
      <w:r w:rsidR="00D6633E" w:rsidRPr="003E5ED2">
        <w:rPr>
          <w:rFonts w:ascii="Arial" w:hAnsi="Arial" w:cs="Arial"/>
          <w:sz w:val="22"/>
          <w:szCs w:val="22"/>
        </w:rPr>
        <w:t xml:space="preserve">jesu </w:t>
      </w:r>
      <w:r w:rsidR="00AC0A0E" w:rsidRPr="003E5ED2">
        <w:rPr>
          <w:rFonts w:ascii="Arial" w:hAnsi="Arial" w:cs="Arial"/>
          <w:sz w:val="22"/>
          <w:szCs w:val="22"/>
        </w:rPr>
        <w:t>k</w:t>
      </w:r>
      <w:r w:rsidRPr="003E5ED2">
        <w:rPr>
          <w:rFonts w:ascii="Arial" w:hAnsi="Arial" w:cs="Arial"/>
          <w:sz w:val="22"/>
          <w:szCs w:val="22"/>
        </w:rPr>
        <w:t>omunalni doprin</w:t>
      </w:r>
      <w:r w:rsidR="00FA2D69" w:rsidRPr="003E5ED2">
        <w:rPr>
          <w:rFonts w:ascii="Arial" w:hAnsi="Arial" w:cs="Arial"/>
          <w:sz w:val="22"/>
          <w:szCs w:val="22"/>
        </w:rPr>
        <w:t>os i komunalna naknada (</w:t>
      </w:r>
      <w:r w:rsidR="000F1FE3" w:rsidRPr="003E5ED2">
        <w:rPr>
          <w:rFonts w:ascii="Arial" w:hAnsi="Arial" w:cs="Arial"/>
          <w:sz w:val="22"/>
          <w:szCs w:val="22"/>
        </w:rPr>
        <w:t>653</w:t>
      </w:r>
      <w:r w:rsidRPr="003E5ED2">
        <w:rPr>
          <w:rFonts w:ascii="Arial" w:hAnsi="Arial" w:cs="Arial"/>
          <w:sz w:val="22"/>
          <w:szCs w:val="22"/>
        </w:rPr>
        <w:t xml:space="preserve">) </w:t>
      </w:r>
      <w:r w:rsidR="00AC0A0E" w:rsidRPr="003E5ED2">
        <w:rPr>
          <w:rFonts w:ascii="Arial" w:hAnsi="Arial" w:cs="Arial"/>
          <w:sz w:val="22"/>
          <w:szCs w:val="22"/>
        </w:rPr>
        <w:t xml:space="preserve">s </w:t>
      </w:r>
      <w:r w:rsidR="00FD2872" w:rsidRPr="003E5ED2">
        <w:rPr>
          <w:rFonts w:ascii="Arial" w:hAnsi="Arial" w:cs="Arial"/>
          <w:sz w:val="22"/>
          <w:szCs w:val="22"/>
        </w:rPr>
        <w:t>ukupn</w:t>
      </w:r>
      <w:r w:rsidR="00AC0A0E" w:rsidRPr="003E5ED2">
        <w:rPr>
          <w:rFonts w:ascii="Arial" w:hAnsi="Arial" w:cs="Arial"/>
          <w:sz w:val="22"/>
          <w:szCs w:val="22"/>
        </w:rPr>
        <w:t>im</w:t>
      </w:r>
      <w:r w:rsidR="00FD2872" w:rsidRPr="003E5ED2">
        <w:rPr>
          <w:rFonts w:ascii="Arial" w:hAnsi="Arial" w:cs="Arial"/>
          <w:sz w:val="22"/>
          <w:szCs w:val="22"/>
        </w:rPr>
        <w:t xml:space="preserve"> </w:t>
      </w:r>
      <w:r w:rsidRPr="003E5ED2">
        <w:rPr>
          <w:rFonts w:ascii="Arial" w:hAnsi="Arial" w:cs="Arial"/>
          <w:sz w:val="22"/>
          <w:szCs w:val="22"/>
        </w:rPr>
        <w:t>ostvare</w:t>
      </w:r>
      <w:r w:rsidR="00AC0A0E" w:rsidRPr="003E5ED2">
        <w:rPr>
          <w:rFonts w:ascii="Arial" w:hAnsi="Arial" w:cs="Arial"/>
          <w:sz w:val="22"/>
          <w:szCs w:val="22"/>
        </w:rPr>
        <w:t>njem</w:t>
      </w:r>
      <w:r w:rsidR="00F12C49" w:rsidRPr="003E5ED2">
        <w:rPr>
          <w:rFonts w:ascii="Arial" w:hAnsi="Arial" w:cs="Arial"/>
          <w:sz w:val="22"/>
          <w:szCs w:val="22"/>
        </w:rPr>
        <w:t xml:space="preserve"> u iznosu od</w:t>
      </w:r>
      <w:r w:rsidR="00FA2D69" w:rsidRPr="003E5ED2">
        <w:rPr>
          <w:rFonts w:ascii="Arial" w:hAnsi="Arial" w:cs="Arial"/>
          <w:sz w:val="22"/>
          <w:szCs w:val="22"/>
        </w:rPr>
        <w:t xml:space="preserve"> </w:t>
      </w:r>
      <w:r w:rsidR="00F401EF" w:rsidRPr="003E5ED2">
        <w:rPr>
          <w:rFonts w:ascii="Arial" w:hAnsi="Arial" w:cs="Arial"/>
          <w:sz w:val="22"/>
          <w:szCs w:val="22"/>
        </w:rPr>
        <w:t>15.928.066,48</w:t>
      </w:r>
      <w:r w:rsidR="008150BD" w:rsidRPr="003E5ED2">
        <w:rPr>
          <w:rFonts w:ascii="Arial" w:hAnsi="Arial" w:cs="Arial"/>
          <w:sz w:val="22"/>
          <w:szCs w:val="22"/>
        </w:rPr>
        <w:t xml:space="preserve"> eur</w:t>
      </w:r>
      <w:r w:rsidR="0057057A" w:rsidRPr="003E5ED2">
        <w:rPr>
          <w:rFonts w:ascii="Arial" w:hAnsi="Arial" w:cs="Arial"/>
          <w:sz w:val="22"/>
          <w:szCs w:val="22"/>
        </w:rPr>
        <w:t>a</w:t>
      </w:r>
      <w:r w:rsidR="008150BD" w:rsidRPr="003E5ED2">
        <w:rPr>
          <w:rFonts w:ascii="Arial" w:hAnsi="Arial" w:cs="Arial"/>
          <w:sz w:val="22"/>
          <w:szCs w:val="22"/>
        </w:rPr>
        <w:t>.</w:t>
      </w:r>
      <w:r w:rsidR="000F1FE3" w:rsidRPr="003E5ED2">
        <w:rPr>
          <w:rFonts w:ascii="Arial" w:hAnsi="Arial" w:cs="Arial"/>
          <w:sz w:val="22"/>
          <w:szCs w:val="22"/>
        </w:rPr>
        <w:t xml:space="preserve"> Komunalni doprinos biljež</w:t>
      </w:r>
      <w:r w:rsidR="00D6633E" w:rsidRPr="003E5ED2">
        <w:rPr>
          <w:rFonts w:ascii="Arial" w:hAnsi="Arial" w:cs="Arial"/>
          <w:sz w:val="22"/>
          <w:szCs w:val="22"/>
        </w:rPr>
        <w:t>i</w:t>
      </w:r>
      <w:r w:rsidR="008150BD" w:rsidRPr="003E5ED2">
        <w:rPr>
          <w:rFonts w:ascii="Arial" w:hAnsi="Arial" w:cs="Arial"/>
          <w:sz w:val="22"/>
          <w:szCs w:val="22"/>
        </w:rPr>
        <w:t xml:space="preserve"> pad</w:t>
      </w:r>
      <w:r w:rsidR="000664C5" w:rsidRPr="003E5ED2">
        <w:rPr>
          <w:rFonts w:ascii="Arial" w:hAnsi="Arial" w:cs="Arial"/>
          <w:sz w:val="22"/>
          <w:szCs w:val="22"/>
        </w:rPr>
        <w:t xml:space="preserve"> </w:t>
      </w:r>
      <w:r w:rsidR="00FA2D69" w:rsidRPr="003E5ED2">
        <w:rPr>
          <w:rFonts w:ascii="Arial" w:hAnsi="Arial" w:cs="Arial"/>
          <w:sz w:val="22"/>
          <w:szCs w:val="22"/>
        </w:rPr>
        <w:t xml:space="preserve">od </w:t>
      </w:r>
      <w:r w:rsidR="00F401EF" w:rsidRPr="003E5ED2">
        <w:rPr>
          <w:rFonts w:ascii="Arial" w:hAnsi="Arial" w:cs="Arial"/>
          <w:sz w:val="22"/>
          <w:szCs w:val="22"/>
        </w:rPr>
        <w:t>61</w:t>
      </w:r>
      <w:r w:rsidR="00F12C49" w:rsidRPr="003E5ED2">
        <w:rPr>
          <w:rFonts w:ascii="Arial" w:hAnsi="Arial" w:cs="Arial"/>
          <w:sz w:val="22"/>
          <w:szCs w:val="22"/>
        </w:rPr>
        <w:t>%</w:t>
      </w:r>
      <w:r w:rsidR="00604EA3" w:rsidRPr="003E5ED2">
        <w:rPr>
          <w:rFonts w:ascii="Arial" w:hAnsi="Arial" w:cs="Arial"/>
          <w:sz w:val="22"/>
          <w:szCs w:val="22"/>
        </w:rPr>
        <w:t xml:space="preserve">, a ostvarenje </w:t>
      </w:r>
      <w:r w:rsidR="00F12C49" w:rsidRPr="003E5ED2">
        <w:rPr>
          <w:rFonts w:ascii="Arial" w:hAnsi="Arial" w:cs="Arial"/>
          <w:sz w:val="22"/>
          <w:szCs w:val="22"/>
        </w:rPr>
        <w:t>komunaln</w:t>
      </w:r>
      <w:r w:rsidR="00604EA3" w:rsidRPr="003E5ED2">
        <w:rPr>
          <w:rFonts w:ascii="Arial" w:hAnsi="Arial" w:cs="Arial"/>
          <w:sz w:val="22"/>
          <w:szCs w:val="22"/>
        </w:rPr>
        <w:t>e</w:t>
      </w:r>
      <w:r w:rsidR="00F12C49" w:rsidRPr="003E5ED2">
        <w:rPr>
          <w:rFonts w:ascii="Arial" w:hAnsi="Arial" w:cs="Arial"/>
          <w:sz w:val="22"/>
          <w:szCs w:val="22"/>
        </w:rPr>
        <w:t xml:space="preserve"> naknad</w:t>
      </w:r>
      <w:r w:rsidR="00604EA3" w:rsidRPr="003E5ED2">
        <w:rPr>
          <w:rFonts w:ascii="Arial" w:hAnsi="Arial" w:cs="Arial"/>
          <w:sz w:val="22"/>
          <w:szCs w:val="22"/>
        </w:rPr>
        <w:t>e</w:t>
      </w:r>
      <w:r w:rsidR="00F12C49" w:rsidRPr="003E5ED2">
        <w:rPr>
          <w:rFonts w:ascii="Arial" w:hAnsi="Arial" w:cs="Arial"/>
          <w:sz w:val="22"/>
          <w:szCs w:val="22"/>
        </w:rPr>
        <w:t xml:space="preserve"> </w:t>
      </w:r>
      <w:r w:rsidR="00604EA3" w:rsidRPr="003E5ED2">
        <w:rPr>
          <w:rFonts w:ascii="Arial" w:hAnsi="Arial" w:cs="Arial"/>
          <w:sz w:val="22"/>
          <w:szCs w:val="22"/>
        </w:rPr>
        <w:t>je</w:t>
      </w:r>
      <w:r w:rsidR="00F401EF" w:rsidRPr="003E5ED2">
        <w:rPr>
          <w:rFonts w:ascii="Arial" w:hAnsi="Arial" w:cs="Arial"/>
          <w:sz w:val="22"/>
          <w:szCs w:val="22"/>
        </w:rPr>
        <w:t xml:space="preserve"> na razini prethodne godine.</w:t>
      </w:r>
      <w:r w:rsidR="00604EA3" w:rsidRPr="003E5ED2">
        <w:rPr>
          <w:rFonts w:ascii="Arial" w:hAnsi="Arial" w:cs="Arial"/>
          <w:sz w:val="22"/>
          <w:szCs w:val="22"/>
        </w:rPr>
        <w:t xml:space="preserve"> </w:t>
      </w:r>
    </w:p>
    <w:p w:rsidR="008150BD" w:rsidRPr="003E5ED2" w:rsidRDefault="008150BD" w:rsidP="000E69DA">
      <w:pPr>
        <w:jc w:val="both"/>
        <w:rPr>
          <w:rFonts w:ascii="Arial" w:hAnsi="Arial" w:cs="Arial"/>
          <w:sz w:val="22"/>
          <w:szCs w:val="22"/>
        </w:rPr>
      </w:pPr>
    </w:p>
    <w:p w:rsidR="008D696D" w:rsidRPr="003E5ED2" w:rsidRDefault="009B4591" w:rsidP="000E69DA">
      <w:pPr>
        <w:jc w:val="both"/>
        <w:rPr>
          <w:rFonts w:ascii="Arial" w:hAnsi="Arial" w:cs="Arial"/>
          <w:sz w:val="22"/>
          <w:szCs w:val="22"/>
        </w:rPr>
      </w:pPr>
      <w:r w:rsidRPr="003E5ED2">
        <w:rPr>
          <w:rFonts w:ascii="Arial" w:hAnsi="Arial" w:cs="Arial"/>
          <w:b/>
          <w:sz w:val="22"/>
          <w:szCs w:val="22"/>
        </w:rPr>
        <w:t>Prihodi od prodaje proizvoda i robe te pruženih usluga</w:t>
      </w:r>
      <w:r w:rsidR="00C31ECC" w:rsidRPr="003E5ED2">
        <w:rPr>
          <w:rFonts w:ascii="Arial" w:hAnsi="Arial" w:cs="Arial"/>
          <w:b/>
          <w:sz w:val="22"/>
          <w:szCs w:val="22"/>
        </w:rPr>
        <w:t xml:space="preserve">, </w:t>
      </w:r>
      <w:r w:rsidRPr="003E5ED2">
        <w:rPr>
          <w:rFonts w:ascii="Arial" w:hAnsi="Arial" w:cs="Arial"/>
          <w:b/>
          <w:sz w:val="22"/>
          <w:szCs w:val="22"/>
        </w:rPr>
        <w:t>prihodi od donacija te povrati po protestiranim jamstvima (</w:t>
      </w:r>
      <w:r w:rsidR="000F1FE3" w:rsidRPr="003E5ED2">
        <w:rPr>
          <w:rFonts w:ascii="Arial" w:hAnsi="Arial" w:cs="Arial"/>
          <w:b/>
          <w:sz w:val="22"/>
          <w:szCs w:val="22"/>
        </w:rPr>
        <w:t>66</w:t>
      </w:r>
      <w:r w:rsidRPr="003E5ED2">
        <w:rPr>
          <w:rFonts w:ascii="Arial" w:hAnsi="Arial" w:cs="Arial"/>
          <w:b/>
          <w:sz w:val="22"/>
          <w:szCs w:val="22"/>
        </w:rPr>
        <w:t>)</w:t>
      </w:r>
      <w:r w:rsidRPr="003E5ED2">
        <w:rPr>
          <w:rFonts w:ascii="Arial" w:hAnsi="Arial" w:cs="Arial"/>
          <w:sz w:val="22"/>
          <w:szCs w:val="22"/>
        </w:rPr>
        <w:t xml:space="preserve"> </w:t>
      </w:r>
      <w:r w:rsidR="00481F77" w:rsidRPr="003E5ED2">
        <w:rPr>
          <w:rFonts w:ascii="Arial" w:hAnsi="Arial" w:cs="Arial"/>
          <w:sz w:val="22"/>
          <w:szCs w:val="22"/>
        </w:rPr>
        <w:t xml:space="preserve">ostvareni su u iznosu od </w:t>
      </w:r>
      <w:r w:rsidR="00F401EF" w:rsidRPr="003E5ED2">
        <w:rPr>
          <w:rFonts w:ascii="Arial" w:hAnsi="Arial" w:cs="Arial"/>
          <w:sz w:val="22"/>
          <w:szCs w:val="22"/>
        </w:rPr>
        <w:t>86.289,42</w:t>
      </w:r>
      <w:r w:rsidR="008150BD" w:rsidRPr="003E5ED2">
        <w:rPr>
          <w:rFonts w:ascii="Arial" w:hAnsi="Arial" w:cs="Arial"/>
          <w:sz w:val="22"/>
          <w:szCs w:val="22"/>
        </w:rPr>
        <w:t xml:space="preserve"> eur</w:t>
      </w:r>
      <w:r w:rsidR="0057057A" w:rsidRPr="003E5ED2">
        <w:rPr>
          <w:rFonts w:ascii="Arial" w:hAnsi="Arial" w:cs="Arial"/>
          <w:sz w:val="22"/>
          <w:szCs w:val="22"/>
        </w:rPr>
        <w:t>a</w:t>
      </w:r>
      <w:r w:rsidR="008150BD" w:rsidRPr="003E5ED2">
        <w:rPr>
          <w:rFonts w:ascii="Arial" w:hAnsi="Arial" w:cs="Arial"/>
          <w:sz w:val="22"/>
          <w:szCs w:val="22"/>
        </w:rPr>
        <w:t xml:space="preserve"> i bilježe </w:t>
      </w:r>
      <w:r w:rsidR="00F401EF" w:rsidRPr="003E5ED2">
        <w:rPr>
          <w:rFonts w:ascii="Arial" w:hAnsi="Arial" w:cs="Arial"/>
          <w:sz w:val="22"/>
          <w:szCs w:val="22"/>
        </w:rPr>
        <w:t xml:space="preserve">značajan pad </w:t>
      </w:r>
      <w:r w:rsidR="00481F77" w:rsidRPr="003E5ED2">
        <w:rPr>
          <w:rFonts w:ascii="Arial" w:hAnsi="Arial" w:cs="Arial"/>
          <w:sz w:val="22"/>
          <w:szCs w:val="22"/>
        </w:rPr>
        <w:t xml:space="preserve">u </w:t>
      </w:r>
      <w:r w:rsidR="008150BD" w:rsidRPr="003E5ED2">
        <w:rPr>
          <w:rFonts w:ascii="Arial" w:hAnsi="Arial" w:cs="Arial"/>
          <w:sz w:val="22"/>
          <w:szCs w:val="22"/>
        </w:rPr>
        <w:t xml:space="preserve">odnosu na prethodnu godinu u dijelu </w:t>
      </w:r>
      <w:r w:rsidR="000664C5" w:rsidRPr="003E5ED2">
        <w:rPr>
          <w:rFonts w:ascii="Arial" w:hAnsi="Arial" w:cs="Arial"/>
          <w:sz w:val="22"/>
          <w:szCs w:val="22"/>
        </w:rPr>
        <w:t xml:space="preserve">ostvarenih </w:t>
      </w:r>
      <w:r w:rsidR="007A3F14" w:rsidRPr="003E5ED2">
        <w:rPr>
          <w:rFonts w:ascii="Arial" w:hAnsi="Arial" w:cs="Arial"/>
          <w:sz w:val="22"/>
          <w:szCs w:val="22"/>
        </w:rPr>
        <w:t>kapitalnih donacija</w:t>
      </w:r>
      <w:r w:rsidR="00F401EF" w:rsidRPr="003E5ED2">
        <w:rPr>
          <w:rFonts w:ascii="Arial" w:hAnsi="Arial" w:cs="Arial"/>
          <w:sz w:val="22"/>
          <w:szCs w:val="22"/>
        </w:rPr>
        <w:t xml:space="preserve"> (6632).</w:t>
      </w:r>
    </w:p>
    <w:p w:rsidR="00C21769" w:rsidRPr="003E5ED2" w:rsidRDefault="00C21769" w:rsidP="000E69DA">
      <w:pPr>
        <w:jc w:val="both"/>
        <w:rPr>
          <w:rFonts w:ascii="Arial" w:hAnsi="Arial" w:cs="Arial"/>
          <w:b/>
          <w:sz w:val="22"/>
          <w:szCs w:val="22"/>
        </w:rPr>
      </w:pPr>
    </w:p>
    <w:p w:rsidR="00275027" w:rsidRPr="003E5ED2" w:rsidRDefault="000E69DA" w:rsidP="00275027">
      <w:pPr>
        <w:jc w:val="both"/>
        <w:rPr>
          <w:rFonts w:ascii="Arial" w:hAnsi="Arial" w:cs="Arial"/>
          <w:noProof/>
          <w:sz w:val="22"/>
          <w:szCs w:val="22"/>
        </w:rPr>
      </w:pPr>
      <w:r w:rsidRPr="003E5ED2">
        <w:rPr>
          <w:rFonts w:ascii="Arial" w:hAnsi="Arial" w:cs="Arial"/>
          <w:b/>
          <w:sz w:val="22"/>
          <w:szCs w:val="22"/>
        </w:rPr>
        <w:t xml:space="preserve">Kazne, upravne mjere i ostali </w:t>
      </w:r>
      <w:r w:rsidR="00C31ECC" w:rsidRPr="003E5ED2">
        <w:rPr>
          <w:rFonts w:ascii="Arial" w:hAnsi="Arial" w:cs="Arial"/>
          <w:b/>
          <w:sz w:val="22"/>
          <w:szCs w:val="22"/>
        </w:rPr>
        <w:t>prihodi (</w:t>
      </w:r>
      <w:r w:rsidR="000F1FE3" w:rsidRPr="003E5ED2">
        <w:rPr>
          <w:rFonts w:ascii="Arial" w:hAnsi="Arial" w:cs="Arial"/>
          <w:b/>
          <w:sz w:val="22"/>
          <w:szCs w:val="22"/>
        </w:rPr>
        <w:t>68</w:t>
      </w:r>
      <w:r w:rsidRPr="003E5ED2">
        <w:rPr>
          <w:rFonts w:ascii="Arial" w:hAnsi="Arial" w:cs="Arial"/>
          <w:b/>
          <w:sz w:val="22"/>
          <w:szCs w:val="22"/>
        </w:rPr>
        <w:t>)</w:t>
      </w:r>
      <w:r w:rsidRPr="003E5ED2">
        <w:rPr>
          <w:rFonts w:ascii="Arial" w:hAnsi="Arial" w:cs="Arial"/>
          <w:sz w:val="22"/>
          <w:szCs w:val="22"/>
        </w:rPr>
        <w:t xml:space="preserve"> ostvareni su u ukupnom iznosu od </w:t>
      </w:r>
      <w:r w:rsidR="00F401EF" w:rsidRPr="003E5ED2">
        <w:rPr>
          <w:rFonts w:ascii="Arial" w:hAnsi="Arial" w:cs="Arial"/>
          <w:sz w:val="22"/>
          <w:szCs w:val="22"/>
        </w:rPr>
        <w:t>2.718.694,79</w:t>
      </w:r>
      <w:r w:rsidR="00620FBD" w:rsidRPr="003E5ED2">
        <w:rPr>
          <w:rFonts w:ascii="Arial" w:hAnsi="Arial" w:cs="Arial"/>
          <w:sz w:val="22"/>
          <w:szCs w:val="22"/>
        </w:rPr>
        <w:t xml:space="preserve"> eura</w:t>
      </w:r>
      <w:r w:rsidR="00FA2D69" w:rsidRPr="003E5ED2">
        <w:rPr>
          <w:rFonts w:ascii="Arial" w:hAnsi="Arial" w:cs="Arial"/>
          <w:sz w:val="22"/>
          <w:szCs w:val="22"/>
        </w:rPr>
        <w:t xml:space="preserve"> i bilježe </w:t>
      </w:r>
      <w:r w:rsidR="00F401EF" w:rsidRPr="003E5ED2">
        <w:rPr>
          <w:rFonts w:ascii="Arial" w:hAnsi="Arial" w:cs="Arial"/>
          <w:sz w:val="22"/>
          <w:szCs w:val="22"/>
        </w:rPr>
        <w:t xml:space="preserve">rast </w:t>
      </w:r>
      <w:r w:rsidR="000F1FE3" w:rsidRPr="003E5ED2">
        <w:rPr>
          <w:rFonts w:ascii="Arial" w:hAnsi="Arial" w:cs="Arial"/>
          <w:sz w:val="22"/>
          <w:szCs w:val="22"/>
        </w:rPr>
        <w:t xml:space="preserve">od </w:t>
      </w:r>
      <w:r w:rsidR="00F401EF" w:rsidRPr="003E5ED2">
        <w:rPr>
          <w:rFonts w:ascii="Arial" w:hAnsi="Arial" w:cs="Arial"/>
          <w:sz w:val="22"/>
          <w:szCs w:val="22"/>
        </w:rPr>
        <w:t>90,3</w:t>
      </w:r>
      <w:r w:rsidR="008301F3" w:rsidRPr="003E5ED2">
        <w:rPr>
          <w:rFonts w:ascii="Arial" w:hAnsi="Arial" w:cs="Arial"/>
          <w:sz w:val="22"/>
          <w:szCs w:val="22"/>
        </w:rPr>
        <w:t>%.</w:t>
      </w:r>
      <w:r w:rsidRPr="003E5ED2">
        <w:rPr>
          <w:rFonts w:ascii="Arial" w:hAnsi="Arial" w:cs="Arial"/>
          <w:sz w:val="22"/>
          <w:szCs w:val="22"/>
        </w:rPr>
        <w:t xml:space="preserve"> </w:t>
      </w:r>
      <w:r w:rsidR="006D5CF1" w:rsidRPr="003E5ED2">
        <w:rPr>
          <w:rFonts w:ascii="Arial" w:hAnsi="Arial" w:cs="Arial"/>
          <w:sz w:val="22"/>
          <w:szCs w:val="22"/>
        </w:rPr>
        <w:t>Z</w:t>
      </w:r>
      <w:r w:rsidR="00D94CC8" w:rsidRPr="003E5ED2">
        <w:rPr>
          <w:rFonts w:ascii="Arial" w:hAnsi="Arial" w:cs="Arial"/>
          <w:sz w:val="22"/>
          <w:szCs w:val="22"/>
        </w:rPr>
        <w:t xml:space="preserve">natno povećanje u ovoj skupini </w:t>
      </w:r>
      <w:r w:rsidR="006D5CF1" w:rsidRPr="003E5ED2">
        <w:rPr>
          <w:rFonts w:ascii="Arial" w:hAnsi="Arial" w:cs="Arial"/>
          <w:sz w:val="22"/>
          <w:szCs w:val="22"/>
        </w:rPr>
        <w:t xml:space="preserve">bilježi se kod ostalih prihoda (683) </w:t>
      </w:r>
      <w:r w:rsidR="000664C5" w:rsidRPr="003E5ED2">
        <w:rPr>
          <w:rFonts w:ascii="Arial" w:hAnsi="Arial" w:cs="Arial"/>
          <w:sz w:val="22"/>
          <w:szCs w:val="22"/>
        </w:rPr>
        <w:t xml:space="preserve">koji su ostvareni u iznosu od </w:t>
      </w:r>
      <w:r w:rsidR="006D5CF1" w:rsidRPr="003E5ED2">
        <w:rPr>
          <w:rFonts w:ascii="Arial" w:hAnsi="Arial" w:cs="Arial"/>
          <w:sz w:val="22"/>
          <w:szCs w:val="22"/>
        </w:rPr>
        <w:t>2.282.516,78 eura,</w:t>
      </w:r>
      <w:r w:rsidR="008C2A64" w:rsidRPr="003E5ED2">
        <w:rPr>
          <w:rFonts w:ascii="Arial" w:hAnsi="Arial" w:cs="Arial"/>
          <w:sz w:val="22"/>
          <w:szCs w:val="22"/>
        </w:rPr>
        <w:t xml:space="preserve"> </w:t>
      </w:r>
      <w:r w:rsidR="006D5CF1" w:rsidRPr="003E5ED2">
        <w:rPr>
          <w:rFonts w:ascii="Arial" w:hAnsi="Arial" w:cs="Arial"/>
          <w:sz w:val="22"/>
          <w:szCs w:val="22"/>
        </w:rPr>
        <w:t>a najvećim dijelom povećanje temeljem Ugovora o reguliranju međusobnih odnosa</w:t>
      </w:r>
      <w:r w:rsidR="008C2A64" w:rsidRPr="003E5ED2">
        <w:rPr>
          <w:rFonts w:ascii="Arial" w:hAnsi="Arial" w:cs="Arial"/>
          <w:sz w:val="22"/>
          <w:szCs w:val="22"/>
        </w:rPr>
        <w:t xml:space="preserve"> </w:t>
      </w:r>
      <w:r w:rsidR="006D5CF1" w:rsidRPr="003E5ED2">
        <w:rPr>
          <w:rFonts w:ascii="Arial" w:hAnsi="Arial" w:cs="Arial"/>
          <w:sz w:val="22"/>
          <w:szCs w:val="22"/>
        </w:rPr>
        <w:t>-</w:t>
      </w:r>
      <w:r w:rsidR="008C2A64" w:rsidRPr="003E5ED2">
        <w:rPr>
          <w:rFonts w:ascii="Arial" w:hAnsi="Arial" w:cs="Arial"/>
          <w:sz w:val="22"/>
          <w:szCs w:val="22"/>
        </w:rPr>
        <w:t xml:space="preserve"> </w:t>
      </w:r>
      <w:r w:rsidR="006D5CF1" w:rsidRPr="003E5ED2">
        <w:rPr>
          <w:rFonts w:ascii="Arial" w:hAnsi="Arial" w:cs="Arial"/>
          <w:sz w:val="22"/>
          <w:szCs w:val="22"/>
        </w:rPr>
        <w:t xml:space="preserve">razvrgnuća suvlasničke zajednice na nekretninama „EX kompleksa </w:t>
      </w:r>
      <w:proofErr w:type="spellStart"/>
      <w:r w:rsidR="006D5CF1" w:rsidRPr="003E5ED2">
        <w:rPr>
          <w:rFonts w:ascii="Arial" w:hAnsi="Arial" w:cs="Arial"/>
          <w:sz w:val="22"/>
          <w:szCs w:val="22"/>
        </w:rPr>
        <w:t>Teri</w:t>
      </w:r>
      <w:proofErr w:type="spellEnd"/>
      <w:r w:rsidR="006D5CF1" w:rsidRPr="003E5ED2">
        <w:rPr>
          <w:rFonts w:ascii="Arial" w:hAnsi="Arial" w:cs="Arial"/>
          <w:sz w:val="22"/>
          <w:szCs w:val="22"/>
        </w:rPr>
        <w:t xml:space="preserve"> </w:t>
      </w:r>
      <w:proofErr w:type="spellStart"/>
      <w:r w:rsidR="006D5CF1" w:rsidRPr="003E5ED2">
        <w:rPr>
          <w:rFonts w:ascii="Arial" w:hAnsi="Arial" w:cs="Arial"/>
          <w:sz w:val="22"/>
          <w:szCs w:val="22"/>
        </w:rPr>
        <w:t>Crotek</w:t>
      </w:r>
      <w:proofErr w:type="spellEnd"/>
      <w:r w:rsidR="006D5CF1" w:rsidRPr="003E5ED2">
        <w:rPr>
          <w:rFonts w:ascii="Arial" w:hAnsi="Arial" w:cs="Arial"/>
          <w:sz w:val="22"/>
          <w:szCs w:val="22"/>
        </w:rPr>
        <w:t>“</w:t>
      </w:r>
      <w:r w:rsidR="008C2A64" w:rsidRPr="003E5ED2">
        <w:rPr>
          <w:rFonts w:ascii="Arial" w:hAnsi="Arial" w:cs="Arial"/>
          <w:sz w:val="22"/>
          <w:szCs w:val="22"/>
        </w:rPr>
        <w:t xml:space="preserve"> između Grada Rijeke, KD Čistoće d.o.o. i KD Vodovod i kanalizacija d.o.o. koji su ostvareni u iznosu od 1.404.482,87 eura.</w:t>
      </w:r>
      <w:r w:rsidR="00620FBD" w:rsidRPr="003E5ED2">
        <w:rPr>
          <w:rFonts w:ascii="Arial" w:hAnsi="Arial" w:cs="Arial"/>
          <w:sz w:val="22"/>
          <w:szCs w:val="22"/>
        </w:rPr>
        <w:t xml:space="preserve"> </w:t>
      </w:r>
    </w:p>
    <w:p w:rsidR="008301F3" w:rsidRPr="003E5ED2" w:rsidRDefault="008301F3" w:rsidP="000E69DA">
      <w:pPr>
        <w:jc w:val="both"/>
        <w:rPr>
          <w:rFonts w:ascii="Arial" w:hAnsi="Arial" w:cs="Arial"/>
          <w:sz w:val="22"/>
          <w:szCs w:val="22"/>
        </w:rPr>
      </w:pPr>
    </w:p>
    <w:p w:rsidR="00B10A53" w:rsidRPr="003E5ED2" w:rsidRDefault="00B10A53" w:rsidP="000E69DA">
      <w:pPr>
        <w:jc w:val="both"/>
        <w:rPr>
          <w:rFonts w:ascii="Arial" w:hAnsi="Arial" w:cs="Arial"/>
          <w:sz w:val="22"/>
          <w:szCs w:val="22"/>
        </w:rPr>
      </w:pPr>
    </w:p>
    <w:p w:rsidR="000E69DA" w:rsidRPr="003E5ED2" w:rsidRDefault="000E69DA" w:rsidP="000E69DA">
      <w:pPr>
        <w:tabs>
          <w:tab w:val="left" w:pos="284"/>
          <w:tab w:val="left" w:pos="567"/>
          <w:tab w:val="left" w:pos="851"/>
        </w:tabs>
        <w:jc w:val="both"/>
        <w:rPr>
          <w:rFonts w:ascii="Arial" w:hAnsi="Arial" w:cs="Arial"/>
          <w:b/>
          <w:sz w:val="22"/>
          <w:szCs w:val="22"/>
        </w:rPr>
      </w:pPr>
      <w:r w:rsidRPr="003E5ED2">
        <w:rPr>
          <w:rFonts w:ascii="Arial" w:hAnsi="Arial" w:cs="Arial"/>
          <w:b/>
          <w:sz w:val="22"/>
          <w:szCs w:val="22"/>
        </w:rPr>
        <w:t>Bilješka broj 1</w:t>
      </w:r>
      <w:r w:rsidR="003D4D2C" w:rsidRPr="003E5ED2">
        <w:rPr>
          <w:rFonts w:ascii="Arial" w:hAnsi="Arial" w:cs="Arial"/>
          <w:b/>
          <w:sz w:val="22"/>
          <w:szCs w:val="22"/>
        </w:rPr>
        <w:t>3</w:t>
      </w:r>
      <w:r w:rsidRPr="003E5ED2">
        <w:rPr>
          <w:rFonts w:ascii="Arial" w:hAnsi="Arial" w:cs="Arial"/>
          <w:b/>
          <w:sz w:val="22"/>
          <w:szCs w:val="22"/>
        </w:rPr>
        <w:t xml:space="preserve"> –</w:t>
      </w:r>
      <w:r w:rsidR="000A71EB" w:rsidRPr="003E5ED2">
        <w:rPr>
          <w:rFonts w:ascii="Arial" w:hAnsi="Arial" w:cs="Arial"/>
          <w:b/>
          <w:sz w:val="22"/>
          <w:szCs w:val="22"/>
        </w:rPr>
        <w:t xml:space="preserve"> </w:t>
      </w:r>
      <w:r w:rsidR="00C14104" w:rsidRPr="003E5ED2">
        <w:rPr>
          <w:rFonts w:ascii="Arial" w:hAnsi="Arial" w:cs="Arial"/>
          <w:b/>
          <w:sz w:val="22"/>
          <w:szCs w:val="22"/>
        </w:rPr>
        <w:t>3</w:t>
      </w:r>
      <w:r w:rsidRPr="003E5ED2">
        <w:rPr>
          <w:rFonts w:ascii="Arial" w:hAnsi="Arial" w:cs="Arial"/>
          <w:b/>
          <w:sz w:val="22"/>
          <w:szCs w:val="22"/>
        </w:rPr>
        <w:t xml:space="preserve">  RASHODI POSLOVANJA</w:t>
      </w:r>
    </w:p>
    <w:p w:rsidR="000E69DA" w:rsidRPr="003E5ED2" w:rsidRDefault="000E69DA" w:rsidP="000E69DA">
      <w:pPr>
        <w:tabs>
          <w:tab w:val="left" w:pos="708"/>
          <w:tab w:val="center" w:pos="4153"/>
          <w:tab w:val="right" w:pos="8306"/>
        </w:tabs>
        <w:jc w:val="both"/>
        <w:rPr>
          <w:rFonts w:ascii="Arial" w:hAnsi="Arial" w:cs="Arial"/>
          <w:sz w:val="22"/>
          <w:szCs w:val="22"/>
        </w:rPr>
      </w:pPr>
    </w:p>
    <w:p w:rsidR="0091750A" w:rsidRPr="003E5ED2" w:rsidRDefault="00FA2D69" w:rsidP="00345C4A">
      <w:pPr>
        <w:tabs>
          <w:tab w:val="left" w:pos="708"/>
          <w:tab w:val="center" w:pos="4153"/>
          <w:tab w:val="right" w:pos="8306"/>
        </w:tabs>
        <w:jc w:val="both"/>
        <w:rPr>
          <w:rFonts w:ascii="Arial" w:hAnsi="Arial" w:cs="Arial"/>
          <w:sz w:val="22"/>
          <w:szCs w:val="22"/>
        </w:rPr>
      </w:pPr>
      <w:r w:rsidRPr="003E5ED2">
        <w:rPr>
          <w:rFonts w:ascii="Arial" w:hAnsi="Arial" w:cs="Arial"/>
          <w:b/>
          <w:sz w:val="22"/>
          <w:szCs w:val="22"/>
        </w:rPr>
        <w:t>Rashodi poslovanja (</w:t>
      </w:r>
      <w:r w:rsidR="00B66169" w:rsidRPr="003E5ED2">
        <w:rPr>
          <w:rFonts w:ascii="Arial" w:hAnsi="Arial" w:cs="Arial"/>
          <w:b/>
          <w:sz w:val="22"/>
          <w:szCs w:val="22"/>
        </w:rPr>
        <w:t>3</w:t>
      </w:r>
      <w:r w:rsidR="000E69DA" w:rsidRPr="003E5ED2">
        <w:rPr>
          <w:rFonts w:ascii="Arial" w:hAnsi="Arial" w:cs="Arial"/>
          <w:b/>
          <w:sz w:val="22"/>
          <w:szCs w:val="22"/>
        </w:rPr>
        <w:t>)</w:t>
      </w:r>
      <w:r w:rsidR="000E69DA" w:rsidRPr="003E5ED2">
        <w:rPr>
          <w:rFonts w:ascii="Arial" w:hAnsi="Arial" w:cs="Arial"/>
          <w:sz w:val="22"/>
          <w:szCs w:val="22"/>
        </w:rPr>
        <w:t xml:space="preserve"> ostvareni su u</w:t>
      </w:r>
      <w:r w:rsidR="00094CF6" w:rsidRPr="003E5ED2">
        <w:rPr>
          <w:rFonts w:ascii="Arial" w:hAnsi="Arial" w:cs="Arial"/>
          <w:sz w:val="22"/>
          <w:szCs w:val="22"/>
        </w:rPr>
        <w:t xml:space="preserve"> ovom izvještajnom razdoblju u iznosu </w:t>
      </w:r>
      <w:r w:rsidR="000E69DA" w:rsidRPr="003E5ED2">
        <w:rPr>
          <w:rFonts w:ascii="Arial" w:hAnsi="Arial" w:cs="Arial"/>
          <w:sz w:val="22"/>
          <w:szCs w:val="22"/>
        </w:rPr>
        <w:t xml:space="preserve">od </w:t>
      </w:r>
      <w:r w:rsidR="008C2A64" w:rsidRPr="003E5ED2">
        <w:rPr>
          <w:rFonts w:ascii="Arial" w:hAnsi="Arial" w:cs="Arial"/>
          <w:sz w:val="22"/>
          <w:szCs w:val="22"/>
        </w:rPr>
        <w:t>114.370.444,83</w:t>
      </w:r>
      <w:r w:rsidR="00094CF6" w:rsidRPr="003E5ED2">
        <w:rPr>
          <w:rFonts w:ascii="Arial" w:hAnsi="Arial" w:cs="Arial"/>
          <w:sz w:val="22"/>
          <w:szCs w:val="22"/>
        </w:rPr>
        <w:t xml:space="preserve"> eura i u odnosu na isto razdoblje prethodne godine više su ostvareni </w:t>
      </w:r>
      <w:r w:rsidR="007C2974" w:rsidRPr="003E5ED2">
        <w:rPr>
          <w:rFonts w:ascii="Arial" w:hAnsi="Arial" w:cs="Arial"/>
          <w:sz w:val="22"/>
          <w:szCs w:val="22"/>
        </w:rPr>
        <w:t xml:space="preserve">za </w:t>
      </w:r>
      <w:r w:rsidR="008C2A64" w:rsidRPr="003E5ED2">
        <w:rPr>
          <w:rFonts w:ascii="Arial" w:hAnsi="Arial" w:cs="Arial"/>
          <w:sz w:val="22"/>
          <w:szCs w:val="22"/>
        </w:rPr>
        <w:t>22.227.538,03</w:t>
      </w:r>
      <w:r w:rsidR="00094CF6" w:rsidRPr="003E5ED2">
        <w:rPr>
          <w:rFonts w:ascii="Arial" w:hAnsi="Arial" w:cs="Arial"/>
          <w:sz w:val="22"/>
          <w:szCs w:val="22"/>
        </w:rPr>
        <w:t xml:space="preserve"> eura </w:t>
      </w:r>
      <w:r w:rsidR="00A16990" w:rsidRPr="003E5ED2">
        <w:rPr>
          <w:rFonts w:ascii="Arial" w:hAnsi="Arial" w:cs="Arial"/>
          <w:sz w:val="22"/>
          <w:szCs w:val="22"/>
        </w:rPr>
        <w:t xml:space="preserve">ili </w:t>
      </w:r>
      <w:r w:rsidR="008C2A64" w:rsidRPr="003E5ED2">
        <w:rPr>
          <w:rFonts w:ascii="Arial" w:hAnsi="Arial" w:cs="Arial"/>
          <w:sz w:val="22"/>
          <w:szCs w:val="22"/>
        </w:rPr>
        <w:t>24,1</w:t>
      </w:r>
      <w:r w:rsidR="00094CF6" w:rsidRPr="003E5ED2">
        <w:rPr>
          <w:rFonts w:ascii="Arial" w:hAnsi="Arial" w:cs="Arial"/>
          <w:sz w:val="22"/>
          <w:szCs w:val="22"/>
        </w:rPr>
        <w:t>%</w:t>
      </w:r>
      <w:r w:rsidR="00A16990" w:rsidRPr="003E5ED2">
        <w:rPr>
          <w:rFonts w:ascii="Arial" w:hAnsi="Arial" w:cs="Arial"/>
          <w:sz w:val="22"/>
          <w:szCs w:val="22"/>
        </w:rPr>
        <w:t xml:space="preserve"> više.</w:t>
      </w:r>
      <w:r w:rsidR="0091750A" w:rsidRPr="003E5ED2">
        <w:rPr>
          <w:rFonts w:ascii="Arial" w:hAnsi="Arial" w:cs="Arial"/>
          <w:sz w:val="22"/>
          <w:szCs w:val="22"/>
        </w:rPr>
        <w:t xml:space="preserve"> </w:t>
      </w:r>
      <w:r w:rsidR="00BF66B3" w:rsidRPr="003E5ED2">
        <w:rPr>
          <w:rFonts w:ascii="Arial" w:hAnsi="Arial" w:cs="Arial"/>
          <w:sz w:val="22"/>
          <w:szCs w:val="22"/>
        </w:rPr>
        <w:t>Stupanjem na snagu n</w:t>
      </w:r>
      <w:r w:rsidR="0091750A" w:rsidRPr="003E5ED2">
        <w:rPr>
          <w:rFonts w:ascii="Arial" w:hAnsi="Arial" w:cs="Arial"/>
          <w:sz w:val="22"/>
          <w:szCs w:val="22"/>
        </w:rPr>
        <w:t>ov</w:t>
      </w:r>
      <w:r w:rsidR="00BF66B3" w:rsidRPr="003E5ED2">
        <w:rPr>
          <w:rFonts w:ascii="Arial" w:hAnsi="Arial" w:cs="Arial"/>
          <w:sz w:val="22"/>
          <w:szCs w:val="22"/>
        </w:rPr>
        <w:t>og</w:t>
      </w:r>
      <w:r w:rsidR="0091750A" w:rsidRPr="003E5ED2">
        <w:rPr>
          <w:rFonts w:ascii="Arial" w:hAnsi="Arial" w:cs="Arial"/>
          <w:sz w:val="22"/>
          <w:szCs w:val="22"/>
        </w:rPr>
        <w:t xml:space="preserve"> Pravilnik</w:t>
      </w:r>
      <w:r w:rsidR="00BF66B3" w:rsidRPr="003E5ED2">
        <w:rPr>
          <w:rFonts w:ascii="Arial" w:hAnsi="Arial" w:cs="Arial"/>
          <w:sz w:val="22"/>
          <w:szCs w:val="22"/>
        </w:rPr>
        <w:t>a</w:t>
      </w:r>
      <w:r w:rsidR="0091750A" w:rsidRPr="003E5ED2">
        <w:rPr>
          <w:rFonts w:ascii="Arial" w:hAnsi="Arial" w:cs="Arial"/>
          <w:sz w:val="22"/>
          <w:szCs w:val="22"/>
        </w:rPr>
        <w:t xml:space="preserve"> o proračunskom računovodstvu i Računskom planu</w:t>
      </w:r>
      <w:r w:rsidR="00BF66B3" w:rsidRPr="003E5ED2">
        <w:rPr>
          <w:rFonts w:ascii="Arial" w:hAnsi="Arial" w:cs="Arial"/>
          <w:sz w:val="22"/>
          <w:szCs w:val="22"/>
        </w:rPr>
        <w:t>,</w:t>
      </w:r>
      <w:r w:rsidR="00345C4A" w:rsidRPr="003E5ED2">
        <w:rPr>
          <w:rFonts w:ascii="Arial" w:hAnsi="Arial" w:cs="Arial"/>
          <w:sz w:val="22"/>
          <w:szCs w:val="22"/>
        </w:rPr>
        <w:t xml:space="preserve"> od 1. siječnja 2025. godine</w:t>
      </w:r>
      <w:r w:rsidR="00BF66B3" w:rsidRPr="003E5ED2">
        <w:rPr>
          <w:rFonts w:ascii="Arial" w:hAnsi="Arial" w:cs="Arial"/>
          <w:sz w:val="22"/>
          <w:szCs w:val="22"/>
        </w:rPr>
        <w:t xml:space="preserve"> </w:t>
      </w:r>
      <w:r w:rsidR="0091750A" w:rsidRPr="003E5ED2">
        <w:rPr>
          <w:rFonts w:ascii="Arial" w:hAnsi="Arial" w:cs="Arial"/>
          <w:sz w:val="22"/>
          <w:szCs w:val="22"/>
        </w:rPr>
        <w:t xml:space="preserve">ukida </w:t>
      </w:r>
      <w:r w:rsidR="00BF66B3" w:rsidRPr="003E5ED2">
        <w:rPr>
          <w:rFonts w:ascii="Arial" w:hAnsi="Arial" w:cs="Arial"/>
          <w:sz w:val="22"/>
          <w:szCs w:val="22"/>
        </w:rPr>
        <w:t xml:space="preserve">se </w:t>
      </w:r>
      <w:r w:rsidR="0091750A" w:rsidRPr="003E5ED2">
        <w:rPr>
          <w:rFonts w:ascii="Arial" w:hAnsi="Arial" w:cs="Arial"/>
          <w:sz w:val="22"/>
          <w:szCs w:val="22"/>
        </w:rPr>
        <w:t>podskupin</w:t>
      </w:r>
      <w:r w:rsidR="00345C4A" w:rsidRPr="003E5ED2">
        <w:rPr>
          <w:rFonts w:ascii="Arial" w:hAnsi="Arial" w:cs="Arial"/>
          <w:sz w:val="22"/>
          <w:szCs w:val="22"/>
        </w:rPr>
        <w:t>a</w:t>
      </w:r>
      <w:r w:rsidR="0091750A" w:rsidRPr="003E5ED2">
        <w:rPr>
          <w:rFonts w:ascii="Arial" w:hAnsi="Arial" w:cs="Arial"/>
          <w:sz w:val="22"/>
          <w:szCs w:val="22"/>
        </w:rPr>
        <w:t xml:space="preserve"> računa 193 Kontinuirani rashodi budućih razdoblja</w:t>
      </w:r>
      <w:r w:rsidR="00BF66B3" w:rsidRPr="003E5ED2">
        <w:rPr>
          <w:rFonts w:ascii="Arial" w:hAnsi="Arial" w:cs="Arial"/>
          <w:sz w:val="22"/>
          <w:szCs w:val="22"/>
        </w:rPr>
        <w:t xml:space="preserve"> te </w:t>
      </w:r>
      <w:r w:rsidR="00DF6276" w:rsidRPr="003E5ED2">
        <w:rPr>
          <w:rFonts w:ascii="Arial" w:hAnsi="Arial" w:cs="Arial"/>
          <w:sz w:val="22"/>
          <w:szCs w:val="22"/>
        </w:rPr>
        <w:t>je</w:t>
      </w:r>
      <w:r w:rsidR="00BF66B3" w:rsidRPr="003E5ED2">
        <w:rPr>
          <w:rFonts w:ascii="Arial" w:hAnsi="Arial" w:cs="Arial"/>
          <w:sz w:val="22"/>
          <w:szCs w:val="22"/>
        </w:rPr>
        <w:t xml:space="preserve"> u</w:t>
      </w:r>
      <w:r w:rsidR="00345C4A" w:rsidRPr="003E5ED2">
        <w:rPr>
          <w:rFonts w:ascii="Arial" w:hAnsi="Arial" w:cs="Arial"/>
          <w:sz w:val="22"/>
          <w:szCs w:val="22"/>
        </w:rPr>
        <w:t xml:space="preserve"> izvršenje 2024. godine uključ</w:t>
      </w:r>
      <w:r w:rsidR="00BF66B3" w:rsidRPr="003E5ED2">
        <w:rPr>
          <w:rFonts w:ascii="Arial" w:hAnsi="Arial" w:cs="Arial"/>
          <w:sz w:val="22"/>
          <w:szCs w:val="22"/>
        </w:rPr>
        <w:t>en</w:t>
      </w:r>
      <w:r w:rsidR="00DF6276" w:rsidRPr="003E5ED2">
        <w:rPr>
          <w:rFonts w:ascii="Arial" w:hAnsi="Arial" w:cs="Arial"/>
          <w:sz w:val="22"/>
          <w:szCs w:val="22"/>
        </w:rPr>
        <w:t>o</w:t>
      </w:r>
      <w:r w:rsidR="00BF66B3" w:rsidRPr="003E5ED2">
        <w:rPr>
          <w:rFonts w:ascii="Arial" w:hAnsi="Arial" w:cs="Arial"/>
          <w:sz w:val="22"/>
          <w:szCs w:val="22"/>
        </w:rPr>
        <w:t xml:space="preserve"> </w:t>
      </w:r>
      <w:r w:rsidR="00DF6276" w:rsidRPr="003E5ED2">
        <w:rPr>
          <w:rFonts w:ascii="Arial" w:hAnsi="Arial" w:cs="Arial"/>
          <w:sz w:val="22"/>
          <w:szCs w:val="22"/>
        </w:rPr>
        <w:t xml:space="preserve">ukupno 13 mjesečnih </w:t>
      </w:r>
      <w:r w:rsidR="00BC25C1" w:rsidRPr="003E5ED2">
        <w:rPr>
          <w:rFonts w:ascii="Arial" w:hAnsi="Arial" w:cs="Arial"/>
          <w:sz w:val="22"/>
          <w:szCs w:val="22"/>
        </w:rPr>
        <w:t>rashod</w:t>
      </w:r>
      <w:r w:rsidR="00DF6276" w:rsidRPr="003E5ED2">
        <w:rPr>
          <w:rFonts w:ascii="Arial" w:hAnsi="Arial" w:cs="Arial"/>
          <w:sz w:val="22"/>
          <w:szCs w:val="22"/>
        </w:rPr>
        <w:t>a (</w:t>
      </w:r>
      <w:r w:rsidR="00BC25C1" w:rsidRPr="003E5ED2">
        <w:rPr>
          <w:rFonts w:ascii="Arial" w:hAnsi="Arial" w:cs="Arial"/>
          <w:sz w:val="22"/>
          <w:szCs w:val="22"/>
        </w:rPr>
        <w:t>plać</w:t>
      </w:r>
      <w:r w:rsidR="00E30FE0" w:rsidRPr="003E5ED2">
        <w:rPr>
          <w:rFonts w:ascii="Arial" w:hAnsi="Arial" w:cs="Arial"/>
          <w:sz w:val="22"/>
          <w:szCs w:val="22"/>
        </w:rPr>
        <w:t>e</w:t>
      </w:r>
      <w:r w:rsidR="00BC25C1" w:rsidRPr="003E5ED2">
        <w:rPr>
          <w:rFonts w:ascii="Arial" w:hAnsi="Arial" w:cs="Arial"/>
          <w:sz w:val="22"/>
          <w:szCs w:val="22"/>
        </w:rPr>
        <w:t xml:space="preserve"> </w:t>
      </w:r>
      <w:r w:rsidR="00BF66B3" w:rsidRPr="003E5ED2">
        <w:rPr>
          <w:rFonts w:ascii="Arial" w:hAnsi="Arial" w:cs="Arial"/>
          <w:sz w:val="22"/>
          <w:szCs w:val="22"/>
        </w:rPr>
        <w:t xml:space="preserve">i </w:t>
      </w:r>
      <w:r w:rsidR="00DF6276" w:rsidRPr="003E5ED2">
        <w:rPr>
          <w:rFonts w:ascii="Arial" w:hAnsi="Arial" w:cs="Arial"/>
          <w:sz w:val="22"/>
          <w:szCs w:val="22"/>
        </w:rPr>
        <w:t>„režijski“ troškov</w:t>
      </w:r>
      <w:r w:rsidR="00E30FE0" w:rsidRPr="003E5ED2">
        <w:rPr>
          <w:rFonts w:ascii="Arial" w:hAnsi="Arial" w:cs="Arial"/>
          <w:sz w:val="22"/>
          <w:szCs w:val="22"/>
        </w:rPr>
        <w:t>i</w:t>
      </w:r>
      <w:r w:rsidR="00DF6276" w:rsidRPr="003E5ED2">
        <w:rPr>
          <w:rFonts w:ascii="Arial" w:hAnsi="Arial" w:cs="Arial"/>
          <w:sz w:val="22"/>
          <w:szCs w:val="22"/>
        </w:rPr>
        <w:t>).</w:t>
      </w:r>
      <w:r w:rsidR="0091750A" w:rsidRPr="003E5ED2">
        <w:rPr>
          <w:rFonts w:ascii="Arial" w:hAnsi="Arial" w:cs="Arial"/>
          <w:sz w:val="22"/>
          <w:szCs w:val="22"/>
        </w:rPr>
        <w:t xml:space="preserve"> </w:t>
      </w:r>
    </w:p>
    <w:p w:rsidR="00345C4A" w:rsidRPr="003E5ED2" w:rsidRDefault="00345C4A" w:rsidP="00345C4A">
      <w:pPr>
        <w:tabs>
          <w:tab w:val="left" w:pos="708"/>
          <w:tab w:val="center" w:pos="4153"/>
          <w:tab w:val="right" w:pos="8306"/>
        </w:tabs>
        <w:jc w:val="both"/>
        <w:rPr>
          <w:spacing w:val="3"/>
          <w:sz w:val="16"/>
          <w:szCs w:val="16"/>
        </w:rPr>
      </w:pPr>
    </w:p>
    <w:p w:rsidR="00BD146F" w:rsidRPr="003E5ED2" w:rsidRDefault="00A16990" w:rsidP="00A913EB">
      <w:pPr>
        <w:tabs>
          <w:tab w:val="left" w:pos="708"/>
          <w:tab w:val="center" w:pos="4153"/>
          <w:tab w:val="right" w:pos="8306"/>
        </w:tabs>
        <w:jc w:val="both"/>
        <w:rPr>
          <w:rFonts w:ascii="Arial" w:hAnsi="Arial" w:cs="Arial"/>
          <w:sz w:val="22"/>
          <w:szCs w:val="22"/>
        </w:rPr>
      </w:pPr>
      <w:r w:rsidRPr="003E5ED2">
        <w:rPr>
          <w:rFonts w:ascii="Arial" w:hAnsi="Arial" w:cs="Arial"/>
          <w:i/>
          <w:sz w:val="22"/>
          <w:szCs w:val="22"/>
          <w:u w:val="single"/>
        </w:rPr>
        <w:t xml:space="preserve">Rashodi za zaposlene (31) </w:t>
      </w:r>
      <w:r w:rsidRPr="003E5ED2">
        <w:rPr>
          <w:rFonts w:ascii="Arial" w:hAnsi="Arial" w:cs="Arial"/>
          <w:sz w:val="22"/>
          <w:szCs w:val="22"/>
        </w:rPr>
        <w:t xml:space="preserve">s osnove plaća i pripadajućih doprinosa te ostali rashodi za zaposlene iznose </w:t>
      </w:r>
      <w:r w:rsidR="008C2A64" w:rsidRPr="003E5ED2">
        <w:rPr>
          <w:rFonts w:ascii="Arial" w:hAnsi="Arial" w:cs="Arial"/>
          <w:sz w:val="22"/>
          <w:szCs w:val="22"/>
        </w:rPr>
        <w:t>13.772.779,86</w:t>
      </w:r>
      <w:r w:rsidRPr="003E5ED2">
        <w:rPr>
          <w:rFonts w:ascii="Arial" w:hAnsi="Arial" w:cs="Arial"/>
          <w:sz w:val="22"/>
          <w:szCs w:val="22"/>
        </w:rPr>
        <w:t xml:space="preserve"> eura </w:t>
      </w:r>
      <w:r w:rsidR="00974D53" w:rsidRPr="003E5ED2">
        <w:rPr>
          <w:rFonts w:ascii="Arial" w:hAnsi="Arial" w:cs="Arial"/>
          <w:sz w:val="22"/>
          <w:szCs w:val="22"/>
        </w:rPr>
        <w:t>i</w:t>
      </w:r>
      <w:r w:rsidRPr="003E5ED2">
        <w:rPr>
          <w:rFonts w:ascii="Arial" w:hAnsi="Arial" w:cs="Arial"/>
          <w:sz w:val="22"/>
          <w:szCs w:val="22"/>
        </w:rPr>
        <w:t xml:space="preserve"> bilježe porast od </w:t>
      </w:r>
      <w:r w:rsidR="008C2A64" w:rsidRPr="003E5ED2">
        <w:rPr>
          <w:rFonts w:ascii="Arial" w:hAnsi="Arial" w:cs="Arial"/>
          <w:sz w:val="22"/>
          <w:szCs w:val="22"/>
        </w:rPr>
        <w:t>27,5</w:t>
      </w:r>
      <w:r w:rsidRPr="003E5ED2">
        <w:rPr>
          <w:rFonts w:ascii="Arial" w:hAnsi="Arial" w:cs="Arial"/>
          <w:sz w:val="22"/>
          <w:szCs w:val="22"/>
        </w:rPr>
        <w:t xml:space="preserve"> % u odnosu na prethodnu godinu</w:t>
      </w:r>
      <w:r w:rsidR="004B52BF" w:rsidRPr="003E5ED2">
        <w:rPr>
          <w:rFonts w:ascii="Arial" w:hAnsi="Arial" w:cs="Arial"/>
          <w:sz w:val="22"/>
          <w:szCs w:val="22"/>
        </w:rPr>
        <w:t>.</w:t>
      </w:r>
      <w:r w:rsidR="005065AA" w:rsidRPr="003E5ED2">
        <w:rPr>
          <w:rFonts w:ascii="Arial" w:hAnsi="Arial" w:cs="Arial"/>
          <w:sz w:val="22"/>
          <w:szCs w:val="22"/>
        </w:rPr>
        <w:t xml:space="preserve"> </w:t>
      </w:r>
      <w:r w:rsidR="00D72688" w:rsidRPr="003E5ED2">
        <w:rPr>
          <w:rFonts w:ascii="Arial" w:hAnsi="Arial" w:cs="Arial"/>
          <w:sz w:val="22"/>
          <w:szCs w:val="22"/>
        </w:rPr>
        <w:t xml:space="preserve">Do porasta ove skupine rashoda dolazi zbog </w:t>
      </w:r>
      <w:r w:rsidR="008C2A64" w:rsidRPr="003E5ED2">
        <w:rPr>
          <w:rFonts w:ascii="Arial" w:hAnsi="Arial" w:cs="Arial"/>
          <w:sz w:val="22"/>
          <w:szCs w:val="22"/>
        </w:rPr>
        <w:t xml:space="preserve">povećanja osnovice </w:t>
      </w:r>
      <w:r w:rsidR="00D72688" w:rsidRPr="003E5ED2">
        <w:rPr>
          <w:rFonts w:ascii="Arial" w:hAnsi="Arial" w:cs="Arial"/>
          <w:sz w:val="22"/>
          <w:szCs w:val="22"/>
        </w:rPr>
        <w:t xml:space="preserve">za obračun plaće </w:t>
      </w:r>
      <w:r w:rsidR="008C2A64" w:rsidRPr="003E5ED2">
        <w:rPr>
          <w:rFonts w:ascii="Arial" w:hAnsi="Arial" w:cs="Arial"/>
          <w:sz w:val="22"/>
          <w:szCs w:val="22"/>
        </w:rPr>
        <w:t>i ostalih materijalnih prava službenika temeljem Dodatka II. Kolektivnog ugovora z</w:t>
      </w:r>
      <w:r w:rsidR="0046433E" w:rsidRPr="003E5ED2">
        <w:rPr>
          <w:rFonts w:ascii="Arial" w:hAnsi="Arial" w:cs="Arial"/>
          <w:sz w:val="22"/>
          <w:szCs w:val="22"/>
        </w:rPr>
        <w:t xml:space="preserve">a službenike i namještenike u upravnim tijelima </w:t>
      </w:r>
      <w:r w:rsidR="008C2A64" w:rsidRPr="003E5ED2">
        <w:rPr>
          <w:rFonts w:ascii="Arial" w:hAnsi="Arial" w:cs="Arial"/>
          <w:sz w:val="22"/>
          <w:szCs w:val="22"/>
        </w:rPr>
        <w:t>Grada Rijeke od 20.</w:t>
      </w:r>
      <w:r w:rsidR="0046433E" w:rsidRPr="003E5ED2">
        <w:rPr>
          <w:rFonts w:ascii="Arial" w:hAnsi="Arial" w:cs="Arial"/>
          <w:sz w:val="22"/>
          <w:szCs w:val="22"/>
        </w:rPr>
        <w:t xml:space="preserve"> </w:t>
      </w:r>
      <w:r w:rsidR="008C2A64" w:rsidRPr="003E5ED2">
        <w:rPr>
          <w:rFonts w:ascii="Arial" w:hAnsi="Arial" w:cs="Arial"/>
          <w:sz w:val="22"/>
          <w:szCs w:val="22"/>
        </w:rPr>
        <w:t>ožujka 2024. godine (Službene novine Gr</w:t>
      </w:r>
      <w:r w:rsidR="001C1F4F" w:rsidRPr="003E5ED2">
        <w:rPr>
          <w:rFonts w:ascii="Arial" w:hAnsi="Arial" w:cs="Arial"/>
          <w:sz w:val="22"/>
          <w:szCs w:val="22"/>
        </w:rPr>
        <w:t>a</w:t>
      </w:r>
      <w:r w:rsidR="008C2A64" w:rsidRPr="003E5ED2">
        <w:rPr>
          <w:rFonts w:ascii="Arial" w:hAnsi="Arial" w:cs="Arial"/>
          <w:sz w:val="22"/>
          <w:szCs w:val="22"/>
        </w:rPr>
        <w:t>da Rijeke br.</w:t>
      </w:r>
      <w:r w:rsidR="00A200B7" w:rsidRPr="003E5ED2">
        <w:rPr>
          <w:rFonts w:ascii="Arial" w:hAnsi="Arial" w:cs="Arial"/>
          <w:sz w:val="22"/>
          <w:szCs w:val="22"/>
        </w:rPr>
        <w:t xml:space="preserve"> </w:t>
      </w:r>
      <w:r w:rsidR="00E30FE0" w:rsidRPr="003E5ED2">
        <w:rPr>
          <w:rFonts w:ascii="Arial" w:hAnsi="Arial" w:cs="Arial"/>
          <w:sz w:val="22"/>
          <w:szCs w:val="22"/>
        </w:rPr>
        <w:t>3/24)</w:t>
      </w:r>
      <w:r w:rsidR="00BD146F" w:rsidRPr="003E5ED2">
        <w:rPr>
          <w:rFonts w:ascii="Arial" w:hAnsi="Arial" w:cs="Arial"/>
          <w:sz w:val="22"/>
          <w:szCs w:val="22"/>
        </w:rPr>
        <w:t xml:space="preserve">. Osim </w:t>
      </w:r>
      <w:r w:rsidR="00A06E4A" w:rsidRPr="003E5ED2">
        <w:rPr>
          <w:rFonts w:ascii="Arial" w:hAnsi="Arial" w:cs="Arial"/>
          <w:sz w:val="22"/>
          <w:szCs w:val="22"/>
        </w:rPr>
        <w:t>navedenog</w:t>
      </w:r>
      <w:r w:rsidR="00BD146F" w:rsidRPr="003E5ED2">
        <w:rPr>
          <w:rFonts w:ascii="Arial" w:hAnsi="Arial" w:cs="Arial"/>
          <w:sz w:val="22"/>
          <w:szCs w:val="22"/>
        </w:rPr>
        <w:t xml:space="preserve">, </w:t>
      </w:r>
      <w:r w:rsidR="00851FAE" w:rsidRPr="003E5ED2">
        <w:rPr>
          <w:rFonts w:ascii="Arial" w:hAnsi="Arial" w:cs="Arial"/>
          <w:sz w:val="22"/>
          <w:szCs w:val="22"/>
        </w:rPr>
        <w:t>evidentiranj</w:t>
      </w:r>
      <w:r w:rsidR="00A06E4A" w:rsidRPr="003E5ED2">
        <w:rPr>
          <w:rFonts w:ascii="Arial" w:hAnsi="Arial" w:cs="Arial"/>
          <w:sz w:val="22"/>
          <w:szCs w:val="22"/>
        </w:rPr>
        <w:t>e</w:t>
      </w:r>
      <w:r w:rsidR="00851FAE" w:rsidRPr="003E5ED2">
        <w:rPr>
          <w:rFonts w:ascii="Arial" w:hAnsi="Arial" w:cs="Arial"/>
          <w:sz w:val="22"/>
          <w:szCs w:val="22"/>
        </w:rPr>
        <w:t xml:space="preserve"> rashoda za plaće za prosinac 2024.</w:t>
      </w:r>
      <w:r w:rsidR="00850C0E" w:rsidRPr="003E5ED2">
        <w:rPr>
          <w:rFonts w:ascii="Arial" w:hAnsi="Arial" w:cs="Arial"/>
          <w:sz w:val="22"/>
          <w:szCs w:val="22"/>
        </w:rPr>
        <w:t>,</w:t>
      </w:r>
      <w:r w:rsidR="00851FAE" w:rsidRPr="003E5ED2">
        <w:rPr>
          <w:rFonts w:ascii="Arial" w:hAnsi="Arial" w:cs="Arial"/>
          <w:sz w:val="22"/>
          <w:szCs w:val="22"/>
        </w:rPr>
        <w:t xml:space="preserve"> zbog </w:t>
      </w:r>
      <w:r w:rsidR="00BD146F" w:rsidRPr="003E5ED2">
        <w:rPr>
          <w:rFonts w:ascii="Arial" w:hAnsi="Arial" w:cs="Arial"/>
          <w:sz w:val="22"/>
          <w:szCs w:val="22"/>
        </w:rPr>
        <w:t xml:space="preserve">spomenutog </w:t>
      </w:r>
      <w:r w:rsidR="00851FAE" w:rsidRPr="003E5ED2">
        <w:rPr>
          <w:rFonts w:ascii="Arial" w:hAnsi="Arial" w:cs="Arial"/>
          <w:sz w:val="22"/>
          <w:szCs w:val="22"/>
        </w:rPr>
        <w:t xml:space="preserve">ukidanja </w:t>
      </w:r>
      <w:r w:rsidR="00D72688" w:rsidRPr="003E5ED2">
        <w:rPr>
          <w:rFonts w:ascii="Arial" w:hAnsi="Arial" w:cs="Arial"/>
          <w:sz w:val="22"/>
          <w:szCs w:val="22"/>
        </w:rPr>
        <w:t>račun</w:t>
      </w:r>
      <w:r w:rsidR="00851FAE" w:rsidRPr="003E5ED2">
        <w:rPr>
          <w:rFonts w:ascii="Arial" w:hAnsi="Arial" w:cs="Arial"/>
          <w:sz w:val="22"/>
          <w:szCs w:val="22"/>
        </w:rPr>
        <w:t>a</w:t>
      </w:r>
      <w:r w:rsidR="00D72688" w:rsidRPr="003E5ED2">
        <w:rPr>
          <w:rFonts w:ascii="Arial" w:hAnsi="Arial" w:cs="Arial"/>
          <w:sz w:val="22"/>
          <w:szCs w:val="22"/>
        </w:rPr>
        <w:t xml:space="preserve"> 193 K</w:t>
      </w:r>
      <w:r w:rsidR="008016ED" w:rsidRPr="003E5ED2">
        <w:rPr>
          <w:rFonts w:ascii="Arial" w:hAnsi="Arial" w:cs="Arial"/>
          <w:sz w:val="22"/>
          <w:szCs w:val="22"/>
        </w:rPr>
        <w:t>ontinuirani rashod</w:t>
      </w:r>
      <w:r w:rsidR="00851FAE" w:rsidRPr="003E5ED2">
        <w:rPr>
          <w:rFonts w:ascii="Arial" w:hAnsi="Arial" w:cs="Arial"/>
          <w:sz w:val="22"/>
          <w:szCs w:val="22"/>
        </w:rPr>
        <w:t>i budućih razdoblja</w:t>
      </w:r>
      <w:r w:rsidR="00A06E4A" w:rsidRPr="003E5ED2">
        <w:rPr>
          <w:rFonts w:ascii="Arial" w:hAnsi="Arial" w:cs="Arial"/>
          <w:sz w:val="22"/>
          <w:szCs w:val="22"/>
        </w:rPr>
        <w:t xml:space="preserve">, također doprinosi </w:t>
      </w:r>
      <w:r w:rsidR="00850C0E" w:rsidRPr="003E5ED2">
        <w:rPr>
          <w:rFonts w:ascii="Arial" w:hAnsi="Arial" w:cs="Arial"/>
          <w:sz w:val="22"/>
          <w:szCs w:val="22"/>
        </w:rPr>
        <w:t>povećanju</w:t>
      </w:r>
      <w:r w:rsidR="00A06E4A" w:rsidRPr="003E5ED2">
        <w:rPr>
          <w:rFonts w:ascii="Arial" w:hAnsi="Arial" w:cs="Arial"/>
          <w:sz w:val="22"/>
          <w:szCs w:val="22"/>
        </w:rPr>
        <w:t xml:space="preserve"> izvršenj</w:t>
      </w:r>
      <w:r w:rsidR="00850C0E" w:rsidRPr="003E5ED2">
        <w:rPr>
          <w:rFonts w:ascii="Arial" w:hAnsi="Arial" w:cs="Arial"/>
          <w:sz w:val="22"/>
          <w:szCs w:val="22"/>
        </w:rPr>
        <w:t>a</w:t>
      </w:r>
      <w:r w:rsidR="00A06E4A" w:rsidRPr="003E5ED2">
        <w:rPr>
          <w:rFonts w:ascii="Arial" w:hAnsi="Arial" w:cs="Arial"/>
          <w:sz w:val="22"/>
          <w:szCs w:val="22"/>
        </w:rPr>
        <w:t xml:space="preserve"> stavke rashoda za zaposlene.   </w:t>
      </w:r>
    </w:p>
    <w:p w:rsidR="000F679F" w:rsidRPr="003E5ED2" w:rsidRDefault="000F679F" w:rsidP="000E69DA">
      <w:pPr>
        <w:tabs>
          <w:tab w:val="left" w:pos="708"/>
          <w:tab w:val="center" w:pos="4153"/>
          <w:tab w:val="right" w:pos="8306"/>
        </w:tabs>
        <w:jc w:val="both"/>
        <w:rPr>
          <w:rFonts w:ascii="Arial" w:hAnsi="Arial" w:cs="Arial"/>
          <w:sz w:val="22"/>
          <w:szCs w:val="22"/>
        </w:rPr>
      </w:pPr>
    </w:p>
    <w:p w:rsidR="0003087D" w:rsidRPr="003E5ED2" w:rsidRDefault="00FA2D69" w:rsidP="0003087D">
      <w:pPr>
        <w:jc w:val="both"/>
        <w:rPr>
          <w:rFonts w:ascii="Arial" w:hAnsi="Arial"/>
          <w:sz w:val="22"/>
          <w:lang w:eastAsia="en-US"/>
        </w:rPr>
      </w:pPr>
      <w:r w:rsidRPr="003E5ED2">
        <w:rPr>
          <w:rFonts w:ascii="Arial" w:hAnsi="Arial" w:cs="Arial"/>
          <w:i/>
          <w:sz w:val="22"/>
          <w:szCs w:val="22"/>
          <w:u w:val="single"/>
        </w:rPr>
        <w:t>Materijalni rashodi (</w:t>
      </w:r>
      <w:r w:rsidR="00B66169" w:rsidRPr="003E5ED2">
        <w:rPr>
          <w:rFonts w:ascii="Arial" w:hAnsi="Arial" w:cs="Arial"/>
          <w:i/>
          <w:sz w:val="22"/>
          <w:szCs w:val="22"/>
          <w:u w:val="single"/>
        </w:rPr>
        <w:t>32</w:t>
      </w:r>
      <w:r w:rsidR="000E69DA" w:rsidRPr="003E5ED2">
        <w:rPr>
          <w:rFonts w:ascii="Arial" w:hAnsi="Arial" w:cs="Arial"/>
          <w:i/>
          <w:sz w:val="22"/>
          <w:szCs w:val="22"/>
          <w:u w:val="single"/>
        </w:rPr>
        <w:t>)</w:t>
      </w:r>
      <w:r w:rsidR="000E69DA" w:rsidRPr="003E5ED2">
        <w:rPr>
          <w:rFonts w:ascii="Arial" w:hAnsi="Arial" w:cs="Arial"/>
          <w:sz w:val="22"/>
          <w:szCs w:val="22"/>
        </w:rPr>
        <w:t xml:space="preserve"> ostvareni su u iznosu </w:t>
      </w:r>
      <w:r w:rsidR="005A1C66" w:rsidRPr="003E5ED2">
        <w:rPr>
          <w:rFonts w:ascii="Arial" w:hAnsi="Arial" w:cs="Arial"/>
          <w:sz w:val="22"/>
          <w:szCs w:val="22"/>
        </w:rPr>
        <w:t>37.262.255,36</w:t>
      </w:r>
      <w:r w:rsidR="00094CF6" w:rsidRPr="003E5ED2">
        <w:rPr>
          <w:rFonts w:ascii="Arial" w:hAnsi="Arial" w:cs="Arial"/>
          <w:sz w:val="22"/>
          <w:szCs w:val="22"/>
        </w:rPr>
        <w:t xml:space="preserve"> eura</w:t>
      </w:r>
      <w:r w:rsidR="000E69DA" w:rsidRPr="003E5ED2">
        <w:rPr>
          <w:rFonts w:ascii="Arial" w:hAnsi="Arial" w:cs="Arial"/>
          <w:sz w:val="22"/>
          <w:szCs w:val="22"/>
        </w:rPr>
        <w:t xml:space="preserve"> i u odnosu na p</w:t>
      </w:r>
      <w:r w:rsidRPr="003E5ED2">
        <w:rPr>
          <w:rFonts w:ascii="Arial" w:hAnsi="Arial" w:cs="Arial"/>
          <w:sz w:val="22"/>
          <w:szCs w:val="22"/>
        </w:rPr>
        <w:t xml:space="preserve">rethodnu godinu bilježe rast od </w:t>
      </w:r>
      <w:r w:rsidR="005A1C66" w:rsidRPr="003E5ED2">
        <w:rPr>
          <w:rFonts w:ascii="Arial" w:hAnsi="Arial" w:cs="Arial"/>
          <w:sz w:val="22"/>
          <w:szCs w:val="22"/>
        </w:rPr>
        <w:t>27,6</w:t>
      </w:r>
      <w:r w:rsidR="000E69DA" w:rsidRPr="003E5ED2">
        <w:rPr>
          <w:rFonts w:ascii="Arial" w:hAnsi="Arial" w:cs="Arial"/>
          <w:sz w:val="22"/>
          <w:szCs w:val="22"/>
        </w:rPr>
        <w:t>%. Odnose se na rashode za redovno poslovanje i rashode za izvršavanje progra</w:t>
      </w:r>
      <w:r w:rsidR="0015719B" w:rsidRPr="003E5ED2">
        <w:rPr>
          <w:rFonts w:ascii="Arial" w:hAnsi="Arial" w:cs="Arial"/>
          <w:sz w:val="22"/>
          <w:szCs w:val="22"/>
        </w:rPr>
        <w:t xml:space="preserve">mskih aktivnosti gradske uprave. </w:t>
      </w:r>
      <w:r w:rsidR="005A1C66" w:rsidRPr="003E5ED2">
        <w:rPr>
          <w:rFonts w:ascii="Arial" w:hAnsi="Arial" w:cs="Arial"/>
          <w:sz w:val="22"/>
          <w:szCs w:val="22"/>
        </w:rPr>
        <w:t>Pad bilježe n</w:t>
      </w:r>
      <w:r w:rsidR="00E66A60" w:rsidRPr="003E5ED2">
        <w:rPr>
          <w:rFonts w:ascii="Arial" w:hAnsi="Arial" w:cs="Arial"/>
          <w:sz w:val="22"/>
          <w:szCs w:val="22"/>
        </w:rPr>
        <w:t>aknade troškova zaposlenima</w:t>
      </w:r>
      <w:r w:rsidR="009174EC" w:rsidRPr="003E5ED2">
        <w:rPr>
          <w:rFonts w:ascii="Arial" w:hAnsi="Arial" w:cs="Arial"/>
          <w:sz w:val="22"/>
          <w:szCs w:val="22"/>
        </w:rPr>
        <w:t>,</w:t>
      </w:r>
      <w:r w:rsidR="0003087D" w:rsidRPr="003E5ED2">
        <w:rPr>
          <w:rFonts w:ascii="Arial" w:hAnsi="Arial"/>
          <w:sz w:val="22"/>
          <w:lang w:eastAsia="en-US"/>
        </w:rPr>
        <w:t xml:space="preserve"> ostali nespomenuti rashodi i</w:t>
      </w:r>
      <w:r w:rsidR="00C95492" w:rsidRPr="003E5ED2">
        <w:rPr>
          <w:rFonts w:ascii="Arial" w:hAnsi="Arial" w:cs="Arial"/>
          <w:sz w:val="22"/>
          <w:szCs w:val="22"/>
        </w:rPr>
        <w:t xml:space="preserve"> rashodi za materijal i energiju</w:t>
      </w:r>
      <w:r w:rsidR="005A1C66" w:rsidRPr="003E5ED2">
        <w:rPr>
          <w:rFonts w:ascii="Arial" w:hAnsi="Arial" w:cs="Arial"/>
          <w:sz w:val="22"/>
          <w:szCs w:val="22"/>
        </w:rPr>
        <w:t xml:space="preserve"> </w:t>
      </w:r>
      <w:r w:rsidR="00161541" w:rsidRPr="003E5ED2">
        <w:rPr>
          <w:rFonts w:ascii="Arial" w:hAnsi="Arial" w:cs="Arial"/>
          <w:sz w:val="22"/>
          <w:szCs w:val="22"/>
        </w:rPr>
        <w:t>(</w:t>
      </w:r>
      <w:r w:rsidR="0003087D" w:rsidRPr="003E5ED2">
        <w:rPr>
          <w:rFonts w:ascii="Arial" w:hAnsi="Arial" w:cs="Arial"/>
          <w:sz w:val="22"/>
          <w:szCs w:val="22"/>
        </w:rPr>
        <w:t>manje za 8,2%</w:t>
      </w:r>
      <w:r w:rsidR="00161541" w:rsidRPr="003E5ED2">
        <w:rPr>
          <w:rFonts w:ascii="Arial" w:hAnsi="Arial" w:cs="Arial"/>
          <w:sz w:val="22"/>
          <w:szCs w:val="22"/>
        </w:rPr>
        <w:t>)</w:t>
      </w:r>
      <w:r w:rsidR="0003087D" w:rsidRPr="003E5ED2">
        <w:rPr>
          <w:rFonts w:ascii="Arial" w:hAnsi="Arial" w:cs="Arial"/>
          <w:sz w:val="22"/>
          <w:szCs w:val="22"/>
        </w:rPr>
        <w:t xml:space="preserve"> čemu doprinosi primjena</w:t>
      </w:r>
      <w:r w:rsidR="0003087D" w:rsidRPr="003E5ED2">
        <w:rPr>
          <w:sz w:val="22"/>
          <w:lang w:eastAsia="en-US"/>
        </w:rPr>
        <w:t xml:space="preserve"> </w:t>
      </w:r>
      <w:r w:rsidR="0003087D" w:rsidRPr="003E5ED2">
        <w:rPr>
          <w:rFonts w:ascii="Arial" w:hAnsi="Arial" w:cs="Arial"/>
          <w:sz w:val="22"/>
          <w:szCs w:val="22"/>
        </w:rPr>
        <w:t>Uredbe o otklanjanju poremećaja na domaćem tržištu energije koju je donijela Vlada Republike</w:t>
      </w:r>
      <w:r w:rsidR="00161541" w:rsidRPr="003E5ED2">
        <w:rPr>
          <w:rFonts w:ascii="Arial" w:hAnsi="Arial" w:cs="Arial"/>
          <w:sz w:val="22"/>
          <w:szCs w:val="22"/>
        </w:rPr>
        <w:t xml:space="preserve"> Hrvatske</w:t>
      </w:r>
      <w:r w:rsidR="0003087D" w:rsidRPr="003E5ED2">
        <w:rPr>
          <w:rFonts w:ascii="Arial" w:hAnsi="Arial" w:cs="Arial"/>
          <w:sz w:val="22"/>
          <w:szCs w:val="22"/>
        </w:rPr>
        <w:t>. Vlada</w:t>
      </w:r>
      <w:r w:rsidR="0003087D" w:rsidRPr="003E5ED2">
        <w:rPr>
          <w:rFonts w:ascii="Arial" w:hAnsi="Arial"/>
          <w:sz w:val="22"/>
          <w:lang w:eastAsia="en-US"/>
        </w:rPr>
        <w:t xml:space="preserve"> RH je u rujnu 2024. donijela novi paket mjera (sedmi po redu) za idućih šest mjeseci, tj. za razdoblje od 1. listopada 2024. godine do 31. ožujka 2025. godine. </w:t>
      </w:r>
    </w:p>
    <w:p w:rsidR="00FC6A52" w:rsidRPr="003E5ED2" w:rsidRDefault="00FC6A52" w:rsidP="000E69DA">
      <w:pPr>
        <w:jc w:val="both"/>
        <w:rPr>
          <w:rFonts w:ascii="Arial" w:hAnsi="Arial" w:cs="Arial"/>
          <w:sz w:val="22"/>
          <w:szCs w:val="22"/>
        </w:rPr>
      </w:pPr>
      <w:r w:rsidRPr="003E5ED2">
        <w:rPr>
          <w:rFonts w:ascii="Arial" w:hAnsi="Arial"/>
          <w:sz w:val="22"/>
          <w:lang w:eastAsia="en-US"/>
        </w:rPr>
        <w:t>Povećanje se bilježi kod rashoda za usluge najviše kod usluga tekućeg i investicijsko</w:t>
      </w:r>
      <w:r w:rsidR="00B0678B" w:rsidRPr="003E5ED2">
        <w:rPr>
          <w:rFonts w:ascii="Arial" w:hAnsi="Arial"/>
          <w:sz w:val="22"/>
          <w:lang w:eastAsia="en-US"/>
        </w:rPr>
        <w:t>g održavanja, intelektualnih i osobnih usluga, računalnih</w:t>
      </w:r>
      <w:r w:rsidRPr="003E5ED2">
        <w:rPr>
          <w:rFonts w:ascii="Arial" w:hAnsi="Arial"/>
          <w:sz w:val="22"/>
          <w:lang w:eastAsia="en-US"/>
        </w:rPr>
        <w:t xml:space="preserve"> i komunalnih usluga.</w:t>
      </w:r>
    </w:p>
    <w:p w:rsidR="00101FE3" w:rsidRPr="003E5ED2" w:rsidRDefault="00101FE3" w:rsidP="000E69DA">
      <w:pPr>
        <w:jc w:val="both"/>
        <w:rPr>
          <w:rFonts w:ascii="Arial" w:hAnsi="Arial" w:cs="Arial"/>
          <w:sz w:val="22"/>
          <w:szCs w:val="22"/>
        </w:rPr>
      </w:pPr>
    </w:p>
    <w:p w:rsidR="00894C6F" w:rsidRPr="003E5ED2" w:rsidRDefault="00E66A60" w:rsidP="000E69DA">
      <w:pPr>
        <w:jc w:val="both"/>
        <w:rPr>
          <w:rFonts w:ascii="Arial" w:hAnsi="Arial" w:cs="Arial"/>
          <w:sz w:val="22"/>
          <w:szCs w:val="22"/>
        </w:rPr>
      </w:pPr>
      <w:r w:rsidRPr="003E5ED2">
        <w:rPr>
          <w:rFonts w:ascii="Arial" w:hAnsi="Arial" w:cs="Arial"/>
          <w:i/>
          <w:sz w:val="22"/>
          <w:szCs w:val="22"/>
          <w:u w:val="single"/>
        </w:rPr>
        <w:t>Financijski rashodi (34</w:t>
      </w:r>
      <w:r w:rsidR="000E69DA" w:rsidRPr="003E5ED2">
        <w:rPr>
          <w:rFonts w:ascii="Arial" w:hAnsi="Arial" w:cs="Arial"/>
          <w:i/>
          <w:sz w:val="22"/>
          <w:szCs w:val="22"/>
          <w:u w:val="single"/>
        </w:rPr>
        <w:t>)</w:t>
      </w:r>
      <w:r w:rsidR="000E69DA" w:rsidRPr="003E5ED2">
        <w:rPr>
          <w:rFonts w:ascii="Arial" w:hAnsi="Arial" w:cs="Arial"/>
          <w:b/>
          <w:sz w:val="22"/>
          <w:szCs w:val="22"/>
        </w:rPr>
        <w:t xml:space="preserve"> </w:t>
      </w:r>
      <w:r w:rsidR="000E69DA" w:rsidRPr="003E5ED2">
        <w:rPr>
          <w:rFonts w:ascii="Arial" w:hAnsi="Arial" w:cs="Arial"/>
          <w:sz w:val="22"/>
          <w:szCs w:val="22"/>
        </w:rPr>
        <w:t xml:space="preserve">ostvareni su u iznosu </w:t>
      </w:r>
      <w:r w:rsidR="00FC6A52" w:rsidRPr="003E5ED2">
        <w:rPr>
          <w:rFonts w:ascii="Arial" w:hAnsi="Arial" w:cs="Arial"/>
          <w:sz w:val="22"/>
          <w:szCs w:val="22"/>
        </w:rPr>
        <w:t>1.027.640,14</w:t>
      </w:r>
      <w:r w:rsidR="00A622B9" w:rsidRPr="003E5ED2">
        <w:rPr>
          <w:rFonts w:ascii="Arial" w:hAnsi="Arial" w:cs="Arial"/>
          <w:sz w:val="22"/>
          <w:szCs w:val="22"/>
        </w:rPr>
        <w:t xml:space="preserve"> </w:t>
      </w:r>
      <w:r w:rsidR="00F36239" w:rsidRPr="003E5ED2">
        <w:rPr>
          <w:rFonts w:ascii="Arial" w:hAnsi="Arial" w:cs="Arial"/>
          <w:sz w:val="22"/>
          <w:szCs w:val="22"/>
        </w:rPr>
        <w:t xml:space="preserve">eura </w:t>
      </w:r>
      <w:r w:rsidR="00C62A62" w:rsidRPr="003E5ED2">
        <w:rPr>
          <w:rFonts w:ascii="Arial" w:hAnsi="Arial" w:cs="Arial"/>
          <w:sz w:val="22"/>
          <w:szCs w:val="22"/>
        </w:rPr>
        <w:t xml:space="preserve">i </w:t>
      </w:r>
      <w:r w:rsidR="002248A7" w:rsidRPr="003E5ED2">
        <w:rPr>
          <w:rFonts w:ascii="Arial" w:hAnsi="Arial" w:cs="Arial"/>
          <w:sz w:val="22"/>
          <w:szCs w:val="22"/>
        </w:rPr>
        <w:t>izvršeni su na</w:t>
      </w:r>
      <w:r w:rsidR="001C1F4F" w:rsidRPr="003E5ED2">
        <w:rPr>
          <w:rFonts w:ascii="Arial" w:hAnsi="Arial" w:cs="Arial"/>
          <w:sz w:val="22"/>
          <w:szCs w:val="22"/>
        </w:rPr>
        <w:t xml:space="preserve"> razini pret</w:t>
      </w:r>
      <w:r w:rsidR="00FC6A52" w:rsidRPr="003E5ED2">
        <w:rPr>
          <w:rFonts w:ascii="Arial" w:hAnsi="Arial" w:cs="Arial"/>
          <w:sz w:val="22"/>
          <w:szCs w:val="22"/>
        </w:rPr>
        <w:t>hodne godine.</w:t>
      </w:r>
    </w:p>
    <w:p w:rsidR="00FC6A52" w:rsidRPr="003E5ED2" w:rsidRDefault="00FC6A52" w:rsidP="000E69DA">
      <w:pPr>
        <w:jc w:val="both"/>
        <w:rPr>
          <w:rFonts w:ascii="Arial" w:hAnsi="Arial" w:cs="Arial"/>
          <w:sz w:val="22"/>
          <w:szCs w:val="22"/>
        </w:rPr>
      </w:pPr>
    </w:p>
    <w:p w:rsidR="00C62A62" w:rsidRPr="003E5ED2" w:rsidRDefault="00E66A60" w:rsidP="000E69DA">
      <w:pPr>
        <w:jc w:val="both"/>
        <w:rPr>
          <w:rFonts w:ascii="Arial" w:hAnsi="Arial" w:cs="Arial"/>
          <w:color w:val="000000"/>
          <w:sz w:val="22"/>
          <w:szCs w:val="22"/>
        </w:rPr>
      </w:pPr>
      <w:r w:rsidRPr="003E5ED2">
        <w:rPr>
          <w:rFonts w:ascii="Arial" w:hAnsi="Arial" w:cs="Arial"/>
          <w:i/>
          <w:sz w:val="22"/>
          <w:szCs w:val="22"/>
          <w:u w:val="single"/>
        </w:rPr>
        <w:t>Subvencije (35</w:t>
      </w:r>
      <w:r w:rsidR="00E20DF2" w:rsidRPr="003E5ED2">
        <w:rPr>
          <w:rFonts w:ascii="Arial" w:hAnsi="Arial" w:cs="Arial"/>
          <w:i/>
          <w:sz w:val="22"/>
          <w:szCs w:val="22"/>
          <w:u w:val="single"/>
        </w:rPr>
        <w:t>)</w:t>
      </w:r>
      <w:r w:rsidR="00E20DF2" w:rsidRPr="003E5ED2">
        <w:rPr>
          <w:rFonts w:ascii="Arial" w:hAnsi="Arial" w:cs="Arial"/>
          <w:color w:val="000000"/>
          <w:sz w:val="22"/>
          <w:szCs w:val="22"/>
        </w:rPr>
        <w:t xml:space="preserve"> </w:t>
      </w:r>
      <w:r w:rsidRPr="003E5ED2">
        <w:rPr>
          <w:rFonts w:ascii="Arial" w:hAnsi="Arial" w:cs="Arial"/>
          <w:color w:val="000000"/>
          <w:sz w:val="22"/>
          <w:szCs w:val="22"/>
        </w:rPr>
        <w:t xml:space="preserve">bilježe </w:t>
      </w:r>
      <w:r w:rsidR="00370FC9" w:rsidRPr="003E5ED2">
        <w:rPr>
          <w:rFonts w:ascii="Arial" w:hAnsi="Arial" w:cs="Arial"/>
          <w:color w:val="000000"/>
          <w:sz w:val="22"/>
          <w:szCs w:val="22"/>
        </w:rPr>
        <w:t xml:space="preserve">manje izvršenje </w:t>
      </w:r>
      <w:r w:rsidR="009A66FB" w:rsidRPr="003E5ED2">
        <w:rPr>
          <w:rFonts w:ascii="Arial" w:hAnsi="Arial" w:cs="Arial"/>
          <w:color w:val="000000"/>
          <w:sz w:val="22"/>
          <w:szCs w:val="22"/>
        </w:rPr>
        <w:t>u odnosu na pre</w:t>
      </w:r>
      <w:r w:rsidR="00C0081F" w:rsidRPr="003E5ED2">
        <w:rPr>
          <w:rFonts w:ascii="Arial" w:hAnsi="Arial" w:cs="Arial"/>
          <w:color w:val="000000"/>
          <w:sz w:val="22"/>
          <w:szCs w:val="22"/>
        </w:rPr>
        <w:t>t</w:t>
      </w:r>
      <w:r w:rsidR="009A66FB" w:rsidRPr="003E5ED2">
        <w:rPr>
          <w:rFonts w:ascii="Arial" w:hAnsi="Arial" w:cs="Arial"/>
          <w:color w:val="000000"/>
          <w:sz w:val="22"/>
          <w:szCs w:val="22"/>
        </w:rPr>
        <w:t>hodnu godinu</w:t>
      </w:r>
      <w:r w:rsidR="00370FC9" w:rsidRPr="003E5ED2">
        <w:rPr>
          <w:rFonts w:ascii="Arial" w:hAnsi="Arial" w:cs="Arial"/>
          <w:color w:val="000000"/>
          <w:sz w:val="22"/>
          <w:szCs w:val="22"/>
        </w:rPr>
        <w:t xml:space="preserve"> za </w:t>
      </w:r>
      <w:r w:rsidR="00FC6A52" w:rsidRPr="003E5ED2">
        <w:rPr>
          <w:rFonts w:ascii="Arial" w:hAnsi="Arial" w:cs="Arial"/>
          <w:color w:val="000000"/>
          <w:sz w:val="22"/>
          <w:szCs w:val="22"/>
        </w:rPr>
        <w:t>162.932,36</w:t>
      </w:r>
      <w:r w:rsidR="00EC3FBF" w:rsidRPr="003E5ED2">
        <w:rPr>
          <w:rFonts w:ascii="Arial" w:hAnsi="Arial" w:cs="Arial"/>
          <w:color w:val="000000"/>
          <w:sz w:val="22"/>
          <w:szCs w:val="22"/>
        </w:rPr>
        <w:t xml:space="preserve"> eura</w:t>
      </w:r>
      <w:r w:rsidR="00370FC9" w:rsidRPr="003E5ED2">
        <w:rPr>
          <w:rFonts w:ascii="Arial" w:hAnsi="Arial" w:cs="Arial"/>
          <w:color w:val="000000"/>
          <w:sz w:val="22"/>
          <w:szCs w:val="22"/>
        </w:rPr>
        <w:t xml:space="preserve"> ili od </w:t>
      </w:r>
      <w:r w:rsidR="006441B9" w:rsidRPr="003E5ED2">
        <w:rPr>
          <w:rFonts w:ascii="Arial" w:hAnsi="Arial" w:cs="Arial"/>
          <w:color w:val="000000"/>
          <w:sz w:val="22"/>
          <w:szCs w:val="22"/>
        </w:rPr>
        <w:t>3,1</w:t>
      </w:r>
      <w:r w:rsidR="00370FC9" w:rsidRPr="003E5ED2">
        <w:rPr>
          <w:rFonts w:ascii="Arial" w:hAnsi="Arial" w:cs="Arial"/>
          <w:color w:val="000000"/>
          <w:sz w:val="22"/>
          <w:szCs w:val="22"/>
        </w:rPr>
        <w:t>% manje</w:t>
      </w:r>
      <w:r w:rsidR="009A66FB" w:rsidRPr="003E5ED2">
        <w:rPr>
          <w:rFonts w:ascii="Arial" w:hAnsi="Arial" w:cs="Arial"/>
          <w:color w:val="000000"/>
          <w:sz w:val="22"/>
          <w:szCs w:val="22"/>
        </w:rPr>
        <w:t xml:space="preserve">. </w:t>
      </w:r>
      <w:r w:rsidR="00EC3FBF" w:rsidRPr="003E5ED2">
        <w:rPr>
          <w:rFonts w:ascii="Arial" w:hAnsi="Arial" w:cs="Arial"/>
          <w:color w:val="000000"/>
          <w:sz w:val="22"/>
          <w:szCs w:val="22"/>
        </w:rPr>
        <w:t xml:space="preserve">Unutar </w:t>
      </w:r>
      <w:r w:rsidR="00CF6BCF" w:rsidRPr="003E5ED2">
        <w:rPr>
          <w:rFonts w:ascii="Arial" w:hAnsi="Arial" w:cs="Arial"/>
          <w:color w:val="000000"/>
          <w:sz w:val="22"/>
          <w:szCs w:val="22"/>
        </w:rPr>
        <w:t xml:space="preserve">ove </w:t>
      </w:r>
      <w:r w:rsidR="00EC3FBF" w:rsidRPr="003E5ED2">
        <w:rPr>
          <w:rFonts w:ascii="Arial" w:hAnsi="Arial" w:cs="Arial"/>
          <w:color w:val="000000"/>
          <w:sz w:val="22"/>
          <w:szCs w:val="22"/>
        </w:rPr>
        <w:t xml:space="preserve">skupine </w:t>
      </w:r>
      <w:r w:rsidR="00CF6BCF" w:rsidRPr="003E5ED2">
        <w:rPr>
          <w:rFonts w:ascii="Arial" w:hAnsi="Arial" w:cs="Arial"/>
          <w:color w:val="000000"/>
          <w:sz w:val="22"/>
          <w:szCs w:val="22"/>
        </w:rPr>
        <w:t xml:space="preserve">evidentirano je </w:t>
      </w:r>
      <w:r w:rsidR="00EC3FBF" w:rsidRPr="003E5ED2">
        <w:rPr>
          <w:rFonts w:ascii="Arial" w:hAnsi="Arial" w:cs="Arial"/>
          <w:color w:val="000000"/>
          <w:sz w:val="22"/>
          <w:szCs w:val="22"/>
        </w:rPr>
        <w:t xml:space="preserve">povećanje kod subvencija </w:t>
      </w:r>
      <w:r w:rsidR="009A66FB" w:rsidRPr="003E5ED2">
        <w:rPr>
          <w:rFonts w:ascii="Arial" w:hAnsi="Arial" w:cs="Arial"/>
          <w:color w:val="000000"/>
          <w:sz w:val="22"/>
          <w:szCs w:val="22"/>
        </w:rPr>
        <w:t>trgovačkim d</w:t>
      </w:r>
      <w:r w:rsidR="00EC3FBF" w:rsidRPr="003E5ED2">
        <w:rPr>
          <w:rFonts w:ascii="Arial" w:hAnsi="Arial" w:cs="Arial"/>
          <w:color w:val="000000"/>
          <w:sz w:val="22"/>
          <w:szCs w:val="22"/>
        </w:rPr>
        <w:t>ruštvima,</w:t>
      </w:r>
      <w:r w:rsidR="009A66FB" w:rsidRPr="003E5ED2">
        <w:rPr>
          <w:rFonts w:ascii="Arial" w:hAnsi="Arial" w:cs="Arial"/>
          <w:color w:val="000000"/>
          <w:sz w:val="22"/>
          <w:szCs w:val="22"/>
        </w:rPr>
        <w:t xml:space="preserve"> zadrugama,</w:t>
      </w:r>
      <w:r w:rsidR="00894C6F" w:rsidRPr="003E5ED2">
        <w:rPr>
          <w:rFonts w:ascii="Arial" w:hAnsi="Arial" w:cs="Arial"/>
          <w:color w:val="000000"/>
          <w:sz w:val="22"/>
          <w:szCs w:val="22"/>
        </w:rPr>
        <w:t xml:space="preserve"> </w:t>
      </w:r>
      <w:r w:rsidR="009A66FB" w:rsidRPr="003E5ED2">
        <w:rPr>
          <w:rFonts w:ascii="Arial" w:hAnsi="Arial" w:cs="Arial"/>
          <w:color w:val="000000"/>
          <w:sz w:val="22"/>
          <w:szCs w:val="22"/>
        </w:rPr>
        <w:t>poljoprivrednic</w:t>
      </w:r>
      <w:r w:rsidR="001A538A" w:rsidRPr="003E5ED2">
        <w:rPr>
          <w:rFonts w:ascii="Arial" w:hAnsi="Arial" w:cs="Arial"/>
          <w:color w:val="000000"/>
          <w:sz w:val="22"/>
          <w:szCs w:val="22"/>
        </w:rPr>
        <w:t>ima i obrtnicima izvan javnog sektora</w:t>
      </w:r>
      <w:r w:rsidR="009A66FB" w:rsidRPr="003E5ED2">
        <w:rPr>
          <w:rFonts w:ascii="Arial" w:hAnsi="Arial" w:cs="Arial"/>
          <w:color w:val="000000"/>
          <w:sz w:val="22"/>
          <w:szCs w:val="22"/>
        </w:rPr>
        <w:t>.</w:t>
      </w:r>
    </w:p>
    <w:p w:rsidR="00EC3FBF" w:rsidRPr="003E5ED2" w:rsidRDefault="00EC3FBF" w:rsidP="000E69DA">
      <w:pPr>
        <w:jc w:val="both"/>
        <w:rPr>
          <w:rFonts w:ascii="Arial" w:hAnsi="Arial" w:cs="Arial"/>
          <w:color w:val="000000"/>
          <w:sz w:val="22"/>
          <w:szCs w:val="22"/>
        </w:rPr>
      </w:pPr>
    </w:p>
    <w:p w:rsidR="00EC3FBF" w:rsidRPr="003E5ED2" w:rsidRDefault="00EC3FBF" w:rsidP="000E69DA">
      <w:pPr>
        <w:jc w:val="both"/>
        <w:rPr>
          <w:rFonts w:ascii="Arial" w:hAnsi="Arial" w:cs="Arial"/>
          <w:color w:val="000000"/>
          <w:sz w:val="22"/>
          <w:szCs w:val="22"/>
        </w:rPr>
      </w:pPr>
      <w:r w:rsidRPr="003E5ED2">
        <w:rPr>
          <w:rFonts w:ascii="Arial" w:hAnsi="Arial" w:cs="Arial"/>
          <w:i/>
          <w:color w:val="000000"/>
          <w:sz w:val="22"/>
          <w:szCs w:val="22"/>
          <w:u w:val="single"/>
        </w:rPr>
        <w:t>Pomoći dane u inozemstvo i unutar općeg proračuna</w:t>
      </w:r>
      <w:r w:rsidRPr="003E5ED2">
        <w:rPr>
          <w:rFonts w:ascii="Arial" w:hAnsi="Arial" w:cs="Arial"/>
          <w:color w:val="000000"/>
          <w:sz w:val="22"/>
          <w:szCs w:val="22"/>
          <w:u w:val="single"/>
        </w:rPr>
        <w:t xml:space="preserve"> (36)</w:t>
      </w:r>
      <w:r w:rsidRPr="003E5ED2">
        <w:rPr>
          <w:rFonts w:ascii="Arial" w:hAnsi="Arial" w:cs="Arial"/>
          <w:color w:val="000000"/>
          <w:sz w:val="22"/>
          <w:szCs w:val="22"/>
        </w:rPr>
        <w:t xml:space="preserve"> ostvarene su u iznosu od </w:t>
      </w:r>
      <w:r w:rsidR="006441B9" w:rsidRPr="003E5ED2">
        <w:rPr>
          <w:rFonts w:ascii="Arial" w:hAnsi="Arial" w:cs="Arial"/>
          <w:color w:val="000000"/>
          <w:sz w:val="22"/>
          <w:szCs w:val="22"/>
        </w:rPr>
        <w:t>41.223.448,22</w:t>
      </w:r>
      <w:r w:rsidRPr="003E5ED2">
        <w:rPr>
          <w:rFonts w:ascii="Arial" w:hAnsi="Arial" w:cs="Arial"/>
          <w:color w:val="000000"/>
          <w:sz w:val="22"/>
          <w:szCs w:val="22"/>
        </w:rPr>
        <w:t xml:space="preserve"> eura i bilježe povećanje od </w:t>
      </w:r>
      <w:r w:rsidR="006441B9" w:rsidRPr="003E5ED2">
        <w:rPr>
          <w:rFonts w:ascii="Arial" w:hAnsi="Arial" w:cs="Arial"/>
          <w:color w:val="000000"/>
          <w:sz w:val="22"/>
          <w:szCs w:val="22"/>
        </w:rPr>
        <w:t>25,5</w:t>
      </w:r>
      <w:r w:rsidRPr="003E5ED2">
        <w:rPr>
          <w:rFonts w:ascii="Arial" w:hAnsi="Arial" w:cs="Arial"/>
          <w:color w:val="000000"/>
          <w:sz w:val="22"/>
          <w:szCs w:val="22"/>
        </w:rPr>
        <w:t>% u odnosu na prethodnu godinu.</w:t>
      </w:r>
    </w:p>
    <w:p w:rsidR="00F71C9A" w:rsidRPr="003E5ED2" w:rsidRDefault="00F71C9A" w:rsidP="000E69DA">
      <w:pPr>
        <w:jc w:val="both"/>
        <w:rPr>
          <w:rFonts w:ascii="Arial" w:hAnsi="Arial" w:cs="Arial"/>
          <w:color w:val="000000"/>
          <w:sz w:val="22"/>
          <w:szCs w:val="22"/>
        </w:rPr>
      </w:pPr>
    </w:p>
    <w:p w:rsidR="00455FB8" w:rsidRPr="003E5ED2" w:rsidRDefault="000E69DA" w:rsidP="000E69DA">
      <w:pPr>
        <w:jc w:val="both"/>
        <w:rPr>
          <w:rFonts w:ascii="Arial" w:hAnsi="Arial" w:cs="Arial"/>
          <w:color w:val="000000"/>
          <w:sz w:val="22"/>
          <w:szCs w:val="22"/>
        </w:rPr>
      </w:pPr>
      <w:r w:rsidRPr="003E5ED2">
        <w:rPr>
          <w:rFonts w:ascii="Arial" w:hAnsi="Arial" w:cs="Arial"/>
          <w:i/>
          <w:sz w:val="22"/>
          <w:szCs w:val="22"/>
          <w:u w:val="single"/>
        </w:rPr>
        <w:t>Pomoći unutar općeg proračuna</w:t>
      </w:r>
      <w:r w:rsidR="007C2974" w:rsidRPr="003E5ED2">
        <w:rPr>
          <w:rFonts w:ascii="Arial" w:hAnsi="Arial" w:cs="Arial"/>
          <w:i/>
          <w:sz w:val="22"/>
          <w:szCs w:val="22"/>
          <w:u w:val="single"/>
        </w:rPr>
        <w:t xml:space="preserve"> (</w:t>
      </w:r>
      <w:r w:rsidR="008C5253" w:rsidRPr="003E5ED2">
        <w:rPr>
          <w:rFonts w:ascii="Arial" w:hAnsi="Arial" w:cs="Arial"/>
          <w:i/>
          <w:sz w:val="22"/>
          <w:szCs w:val="22"/>
          <w:u w:val="single"/>
        </w:rPr>
        <w:t>363)</w:t>
      </w:r>
      <w:r w:rsidRPr="003E5ED2">
        <w:rPr>
          <w:rFonts w:ascii="Arial" w:hAnsi="Arial" w:cs="Arial"/>
          <w:color w:val="000000"/>
          <w:sz w:val="22"/>
          <w:szCs w:val="22"/>
        </w:rPr>
        <w:t xml:space="preserve"> ispl</w:t>
      </w:r>
      <w:r w:rsidR="00C62A62" w:rsidRPr="003E5ED2">
        <w:rPr>
          <w:rFonts w:ascii="Arial" w:hAnsi="Arial" w:cs="Arial"/>
          <w:color w:val="000000"/>
          <w:sz w:val="22"/>
          <w:szCs w:val="22"/>
        </w:rPr>
        <w:t xml:space="preserve">aćene su </w:t>
      </w:r>
      <w:r w:rsidR="00EC3FBF" w:rsidRPr="003E5ED2">
        <w:rPr>
          <w:rFonts w:ascii="Arial" w:hAnsi="Arial" w:cs="Arial"/>
          <w:color w:val="000000"/>
          <w:sz w:val="22"/>
          <w:szCs w:val="22"/>
        </w:rPr>
        <w:t>manje</w:t>
      </w:r>
      <w:r w:rsidR="00F71C9A" w:rsidRPr="003E5ED2">
        <w:rPr>
          <w:rFonts w:ascii="Arial" w:hAnsi="Arial" w:cs="Arial"/>
          <w:color w:val="000000"/>
          <w:sz w:val="22"/>
          <w:szCs w:val="22"/>
        </w:rPr>
        <w:t xml:space="preserve"> u odnosu na prethodnu godinu</w:t>
      </w:r>
      <w:r w:rsidR="00444EBE" w:rsidRPr="003E5ED2">
        <w:rPr>
          <w:rFonts w:ascii="Arial" w:hAnsi="Arial" w:cs="Arial"/>
          <w:color w:val="000000"/>
          <w:sz w:val="22"/>
          <w:szCs w:val="22"/>
        </w:rPr>
        <w:t xml:space="preserve"> (</w:t>
      </w:r>
      <w:r w:rsidR="006441B9" w:rsidRPr="003E5ED2">
        <w:rPr>
          <w:rFonts w:ascii="Arial" w:hAnsi="Arial" w:cs="Arial"/>
          <w:color w:val="000000"/>
          <w:sz w:val="22"/>
          <w:szCs w:val="22"/>
        </w:rPr>
        <w:t>65,9</w:t>
      </w:r>
      <w:r w:rsidR="00902E7B" w:rsidRPr="003E5ED2">
        <w:rPr>
          <w:rFonts w:ascii="Arial" w:hAnsi="Arial" w:cs="Arial"/>
          <w:color w:val="000000"/>
          <w:sz w:val="22"/>
          <w:szCs w:val="22"/>
        </w:rPr>
        <w:t>%)</w:t>
      </w:r>
      <w:r w:rsidR="006441B9" w:rsidRPr="003E5ED2">
        <w:rPr>
          <w:rFonts w:ascii="Arial" w:hAnsi="Arial" w:cs="Arial"/>
          <w:color w:val="000000"/>
          <w:sz w:val="22"/>
          <w:szCs w:val="22"/>
        </w:rPr>
        <w:t>.</w:t>
      </w:r>
      <w:r w:rsidR="007E2B97" w:rsidRPr="003E5ED2">
        <w:rPr>
          <w:rFonts w:ascii="Arial" w:hAnsi="Arial" w:cs="Arial"/>
          <w:color w:val="000000"/>
          <w:sz w:val="22"/>
          <w:szCs w:val="22"/>
        </w:rPr>
        <w:t xml:space="preserve"> </w:t>
      </w:r>
    </w:p>
    <w:p w:rsidR="006441B9" w:rsidRPr="003E5ED2" w:rsidRDefault="006441B9" w:rsidP="000E69DA">
      <w:pPr>
        <w:jc w:val="both"/>
        <w:rPr>
          <w:rFonts w:ascii="Arial" w:hAnsi="Arial" w:cs="Arial"/>
          <w:color w:val="000000"/>
          <w:sz w:val="22"/>
          <w:szCs w:val="22"/>
        </w:rPr>
      </w:pPr>
    </w:p>
    <w:p w:rsidR="000E69DA" w:rsidRPr="003E5ED2" w:rsidRDefault="00F71C9A" w:rsidP="000E69DA">
      <w:pPr>
        <w:jc w:val="both"/>
        <w:rPr>
          <w:rFonts w:ascii="Arial" w:hAnsi="Arial" w:cs="Arial"/>
          <w:sz w:val="22"/>
          <w:szCs w:val="22"/>
        </w:rPr>
      </w:pPr>
      <w:r w:rsidRPr="003E5ED2">
        <w:rPr>
          <w:rFonts w:ascii="Arial" w:hAnsi="Arial" w:cs="Arial"/>
          <w:i/>
          <w:sz w:val="22"/>
          <w:szCs w:val="22"/>
          <w:u w:val="single"/>
        </w:rPr>
        <w:t>P</w:t>
      </w:r>
      <w:r w:rsidR="000E69DA" w:rsidRPr="003E5ED2">
        <w:rPr>
          <w:rFonts w:ascii="Arial" w:hAnsi="Arial" w:cs="Arial"/>
          <w:i/>
          <w:sz w:val="22"/>
          <w:szCs w:val="22"/>
          <w:u w:val="single"/>
        </w:rPr>
        <w:t>omoći proračunskim korisnicima drugih proračuna</w:t>
      </w:r>
      <w:r w:rsidR="002F3DFF" w:rsidRPr="003E5ED2">
        <w:rPr>
          <w:rFonts w:ascii="Arial" w:hAnsi="Arial" w:cs="Arial"/>
          <w:i/>
          <w:sz w:val="22"/>
          <w:szCs w:val="22"/>
          <w:u w:val="single"/>
        </w:rPr>
        <w:t xml:space="preserve"> (366)</w:t>
      </w:r>
      <w:r w:rsidR="00A866B5" w:rsidRPr="003E5ED2">
        <w:rPr>
          <w:rFonts w:ascii="Arial" w:hAnsi="Arial" w:cs="Arial"/>
          <w:sz w:val="22"/>
          <w:szCs w:val="22"/>
        </w:rPr>
        <w:t xml:space="preserve"> izvršene</w:t>
      </w:r>
      <w:r w:rsidR="00455FB8" w:rsidRPr="003E5ED2">
        <w:rPr>
          <w:rFonts w:ascii="Arial" w:hAnsi="Arial" w:cs="Arial"/>
          <w:sz w:val="22"/>
          <w:szCs w:val="22"/>
        </w:rPr>
        <w:t xml:space="preserve"> su</w:t>
      </w:r>
      <w:r w:rsidR="007E2B97" w:rsidRPr="003E5ED2">
        <w:rPr>
          <w:rFonts w:ascii="Arial" w:hAnsi="Arial" w:cs="Arial"/>
          <w:sz w:val="22"/>
          <w:szCs w:val="22"/>
        </w:rPr>
        <w:t xml:space="preserve"> </w:t>
      </w:r>
      <w:r w:rsidR="006441B9" w:rsidRPr="003E5ED2">
        <w:rPr>
          <w:rFonts w:ascii="Arial" w:hAnsi="Arial" w:cs="Arial"/>
          <w:sz w:val="22"/>
          <w:szCs w:val="22"/>
        </w:rPr>
        <w:t>346.234,77%</w:t>
      </w:r>
      <w:r w:rsidR="00307C39" w:rsidRPr="003E5ED2">
        <w:rPr>
          <w:rFonts w:ascii="Arial" w:hAnsi="Arial" w:cs="Arial"/>
          <w:sz w:val="22"/>
          <w:szCs w:val="22"/>
        </w:rPr>
        <w:t xml:space="preserve"> godine, a </w:t>
      </w:r>
      <w:r w:rsidR="000E69DA" w:rsidRPr="003E5ED2">
        <w:rPr>
          <w:rFonts w:ascii="Arial" w:hAnsi="Arial" w:cs="Arial"/>
          <w:sz w:val="22"/>
          <w:szCs w:val="22"/>
        </w:rPr>
        <w:t xml:space="preserve">utrošene su za razne namjene u okviru provođenja socijalnog programa i programa zaštite zdravlja, za sufinanciranje </w:t>
      </w:r>
      <w:r w:rsidRPr="003E5ED2">
        <w:rPr>
          <w:rFonts w:ascii="Arial" w:hAnsi="Arial" w:cs="Arial"/>
          <w:sz w:val="22"/>
          <w:szCs w:val="22"/>
        </w:rPr>
        <w:t>studija logo</w:t>
      </w:r>
      <w:r w:rsidR="00F87965" w:rsidRPr="003E5ED2">
        <w:rPr>
          <w:rFonts w:ascii="Arial" w:hAnsi="Arial" w:cs="Arial"/>
          <w:sz w:val="22"/>
          <w:szCs w:val="22"/>
        </w:rPr>
        <w:t>pedije</w:t>
      </w:r>
      <w:r w:rsidR="00D30C92" w:rsidRPr="003E5ED2">
        <w:rPr>
          <w:rFonts w:ascii="Arial" w:hAnsi="Arial" w:cs="Arial"/>
          <w:sz w:val="22"/>
          <w:szCs w:val="22"/>
        </w:rPr>
        <w:t>, za savjetovanja studenata Sveučilišta u Rijeci</w:t>
      </w:r>
      <w:r w:rsidR="002F31CC" w:rsidRPr="003E5ED2">
        <w:rPr>
          <w:rFonts w:ascii="Arial" w:hAnsi="Arial" w:cs="Arial"/>
          <w:sz w:val="22"/>
          <w:szCs w:val="22"/>
        </w:rPr>
        <w:t xml:space="preserve"> </w:t>
      </w:r>
      <w:r w:rsidR="00455FB8" w:rsidRPr="003E5ED2">
        <w:rPr>
          <w:rFonts w:ascii="Arial" w:hAnsi="Arial" w:cs="Arial"/>
          <w:sz w:val="22"/>
          <w:szCs w:val="22"/>
        </w:rPr>
        <w:t xml:space="preserve">i </w:t>
      </w:r>
      <w:r w:rsidR="008045D9" w:rsidRPr="003E5ED2">
        <w:rPr>
          <w:rFonts w:ascii="Arial" w:hAnsi="Arial" w:cs="Arial"/>
          <w:sz w:val="22"/>
          <w:szCs w:val="22"/>
        </w:rPr>
        <w:t>dr</w:t>
      </w:r>
      <w:r w:rsidR="002354B1" w:rsidRPr="003E5ED2">
        <w:rPr>
          <w:rFonts w:ascii="Arial" w:hAnsi="Arial" w:cs="Arial"/>
          <w:sz w:val="22"/>
          <w:szCs w:val="22"/>
        </w:rPr>
        <w:t>.</w:t>
      </w:r>
    </w:p>
    <w:p w:rsidR="00F71C9A" w:rsidRPr="003E5ED2" w:rsidRDefault="00456777" w:rsidP="000E69DA">
      <w:pPr>
        <w:jc w:val="both"/>
        <w:rPr>
          <w:rFonts w:ascii="Arial" w:hAnsi="Arial" w:cs="Arial"/>
          <w:sz w:val="18"/>
          <w:szCs w:val="18"/>
        </w:rPr>
      </w:pPr>
      <w:r w:rsidRPr="003E5ED2">
        <w:rPr>
          <w:rFonts w:ascii="Arial" w:hAnsi="Arial" w:cs="Arial"/>
          <w:sz w:val="18"/>
          <w:szCs w:val="18"/>
        </w:rPr>
        <w:t xml:space="preserve"> </w:t>
      </w:r>
    </w:p>
    <w:p w:rsidR="000E69DA" w:rsidRPr="003E5ED2" w:rsidRDefault="000E69DA" w:rsidP="000E69DA">
      <w:pPr>
        <w:jc w:val="both"/>
        <w:rPr>
          <w:rFonts w:ascii="Arial" w:hAnsi="Arial" w:cs="Arial"/>
          <w:sz w:val="22"/>
          <w:szCs w:val="22"/>
        </w:rPr>
      </w:pPr>
      <w:r w:rsidRPr="003E5ED2">
        <w:rPr>
          <w:rFonts w:ascii="Arial" w:hAnsi="Arial" w:cs="Arial"/>
          <w:b/>
          <w:sz w:val="22"/>
          <w:szCs w:val="22"/>
        </w:rPr>
        <w:t>Prijenosi proračunskim korisnicima</w:t>
      </w:r>
      <w:r w:rsidRPr="003E5ED2">
        <w:rPr>
          <w:rFonts w:ascii="Arial" w:hAnsi="Arial" w:cs="Arial"/>
          <w:sz w:val="22"/>
          <w:szCs w:val="22"/>
        </w:rPr>
        <w:t xml:space="preserve"> iz nadležnog proračuna za financiranje redovne djelatnosti </w:t>
      </w:r>
      <w:r w:rsidR="005B52FE" w:rsidRPr="003E5ED2">
        <w:rPr>
          <w:rFonts w:ascii="Arial" w:hAnsi="Arial" w:cs="Arial"/>
          <w:sz w:val="22"/>
          <w:szCs w:val="22"/>
        </w:rPr>
        <w:t xml:space="preserve">(367) </w:t>
      </w:r>
      <w:r w:rsidRPr="003E5ED2">
        <w:rPr>
          <w:rFonts w:ascii="Arial" w:hAnsi="Arial" w:cs="Arial"/>
          <w:sz w:val="22"/>
          <w:szCs w:val="22"/>
        </w:rPr>
        <w:t xml:space="preserve">iznose </w:t>
      </w:r>
      <w:r w:rsidR="002034A5" w:rsidRPr="003E5ED2">
        <w:rPr>
          <w:rFonts w:ascii="Arial" w:hAnsi="Arial" w:cs="Arial"/>
          <w:sz w:val="22"/>
          <w:szCs w:val="22"/>
        </w:rPr>
        <w:t>39.629.243,50</w:t>
      </w:r>
      <w:r w:rsidR="00850415" w:rsidRPr="003E5ED2">
        <w:rPr>
          <w:rFonts w:ascii="Arial" w:hAnsi="Arial" w:cs="Arial"/>
          <w:sz w:val="22"/>
          <w:szCs w:val="22"/>
        </w:rPr>
        <w:t xml:space="preserve"> eura</w:t>
      </w:r>
      <w:r w:rsidRPr="003E5ED2">
        <w:rPr>
          <w:rFonts w:ascii="Arial" w:hAnsi="Arial" w:cs="Arial"/>
          <w:sz w:val="22"/>
          <w:szCs w:val="22"/>
        </w:rPr>
        <w:t xml:space="preserve"> što, u odnosu na prošlu godinu, čini </w:t>
      </w:r>
      <w:r w:rsidR="006A44D8" w:rsidRPr="003E5ED2">
        <w:rPr>
          <w:rFonts w:ascii="Arial" w:hAnsi="Arial" w:cs="Arial"/>
          <w:sz w:val="22"/>
          <w:szCs w:val="22"/>
        </w:rPr>
        <w:t xml:space="preserve">povećanje od </w:t>
      </w:r>
      <w:r w:rsidR="00A16DD1" w:rsidRPr="003E5ED2">
        <w:rPr>
          <w:rFonts w:ascii="Arial" w:hAnsi="Arial" w:cs="Arial"/>
          <w:sz w:val="22"/>
          <w:szCs w:val="22"/>
        </w:rPr>
        <w:t>28,1</w:t>
      </w:r>
      <w:r w:rsidR="006A44D8" w:rsidRPr="003E5ED2">
        <w:rPr>
          <w:rFonts w:ascii="Arial" w:hAnsi="Arial" w:cs="Arial"/>
          <w:sz w:val="22"/>
          <w:szCs w:val="22"/>
        </w:rPr>
        <w:t>%.</w:t>
      </w:r>
    </w:p>
    <w:p w:rsidR="000E69DA" w:rsidRPr="003E5ED2" w:rsidRDefault="000E69DA" w:rsidP="000E69DA">
      <w:pPr>
        <w:jc w:val="both"/>
        <w:rPr>
          <w:rFonts w:ascii="Arial" w:hAnsi="Arial" w:cs="Arial"/>
          <w:sz w:val="22"/>
          <w:szCs w:val="22"/>
        </w:rPr>
      </w:pPr>
      <w:r w:rsidRPr="003E5ED2">
        <w:rPr>
          <w:rFonts w:ascii="Arial" w:hAnsi="Arial" w:cs="Arial"/>
          <w:sz w:val="22"/>
          <w:szCs w:val="22"/>
        </w:rPr>
        <w:t xml:space="preserve">Za redovno poslovanje ukupno 34 mjesna odbora isplaćeno je </w:t>
      </w:r>
      <w:r w:rsidR="00850415" w:rsidRPr="003E5ED2">
        <w:rPr>
          <w:rFonts w:ascii="Arial" w:hAnsi="Arial" w:cs="Arial"/>
          <w:sz w:val="22"/>
          <w:szCs w:val="22"/>
        </w:rPr>
        <w:t>120.013,57</w:t>
      </w:r>
      <w:r w:rsidR="005B52FE" w:rsidRPr="003E5ED2">
        <w:rPr>
          <w:rFonts w:ascii="Arial" w:hAnsi="Arial" w:cs="Arial"/>
          <w:sz w:val="22"/>
          <w:szCs w:val="22"/>
        </w:rPr>
        <w:t xml:space="preserve"> eura</w:t>
      </w:r>
      <w:r w:rsidR="00850415" w:rsidRPr="003E5ED2">
        <w:rPr>
          <w:rFonts w:ascii="Arial" w:hAnsi="Arial" w:cs="Arial"/>
          <w:sz w:val="22"/>
          <w:szCs w:val="22"/>
        </w:rPr>
        <w:t>, a za 8</w:t>
      </w:r>
      <w:r w:rsidRPr="003E5ED2">
        <w:rPr>
          <w:rFonts w:ascii="Arial" w:hAnsi="Arial" w:cs="Arial"/>
          <w:sz w:val="22"/>
          <w:szCs w:val="22"/>
        </w:rPr>
        <w:t xml:space="preserve"> vijeća nacionalnih manjina</w:t>
      </w:r>
      <w:r w:rsidR="00850415" w:rsidRPr="003E5ED2">
        <w:rPr>
          <w:rFonts w:ascii="Arial" w:hAnsi="Arial" w:cs="Arial"/>
          <w:sz w:val="22"/>
          <w:szCs w:val="22"/>
        </w:rPr>
        <w:t xml:space="preserve"> i jednog</w:t>
      </w:r>
      <w:r w:rsidR="00A16DD1" w:rsidRPr="003E5ED2">
        <w:rPr>
          <w:rFonts w:ascii="Arial" w:hAnsi="Arial" w:cs="Arial"/>
          <w:sz w:val="22"/>
          <w:szCs w:val="22"/>
        </w:rPr>
        <w:t xml:space="preserve"> predstavnika vijeća nacionalne manjine</w:t>
      </w:r>
      <w:r w:rsidR="005B52FE" w:rsidRPr="003E5ED2">
        <w:rPr>
          <w:rFonts w:ascii="Arial" w:hAnsi="Arial" w:cs="Arial"/>
          <w:sz w:val="22"/>
          <w:szCs w:val="22"/>
        </w:rPr>
        <w:t xml:space="preserve"> </w:t>
      </w:r>
      <w:r w:rsidR="00850415" w:rsidRPr="003E5ED2">
        <w:rPr>
          <w:rFonts w:ascii="Arial" w:hAnsi="Arial" w:cs="Arial"/>
          <w:sz w:val="22"/>
          <w:szCs w:val="22"/>
        </w:rPr>
        <w:t>57.683,49</w:t>
      </w:r>
      <w:r w:rsidR="005B52FE" w:rsidRPr="003E5ED2">
        <w:rPr>
          <w:rFonts w:ascii="Arial" w:hAnsi="Arial" w:cs="Arial"/>
          <w:sz w:val="22"/>
          <w:szCs w:val="22"/>
        </w:rPr>
        <w:t xml:space="preserve"> eura</w:t>
      </w:r>
      <w:r w:rsidR="00C97B5C" w:rsidRPr="003E5ED2">
        <w:rPr>
          <w:rFonts w:ascii="Arial" w:hAnsi="Arial" w:cs="Arial"/>
          <w:sz w:val="22"/>
          <w:szCs w:val="22"/>
        </w:rPr>
        <w:t>,</w:t>
      </w:r>
      <w:r w:rsidR="00D9680D" w:rsidRPr="003E5ED2">
        <w:rPr>
          <w:rFonts w:ascii="Arial" w:hAnsi="Arial" w:cs="Arial"/>
          <w:sz w:val="22"/>
          <w:szCs w:val="22"/>
        </w:rPr>
        <w:t xml:space="preserve"> </w:t>
      </w:r>
      <w:r w:rsidR="00C97B5C" w:rsidRPr="003E5ED2">
        <w:rPr>
          <w:rFonts w:ascii="Arial" w:hAnsi="Arial" w:cs="Arial"/>
          <w:sz w:val="22"/>
          <w:szCs w:val="22"/>
        </w:rPr>
        <w:t>sve</w:t>
      </w:r>
      <w:r w:rsidR="00D9680D" w:rsidRPr="003E5ED2">
        <w:rPr>
          <w:rFonts w:ascii="Arial" w:hAnsi="Arial" w:cs="Arial"/>
          <w:sz w:val="22"/>
          <w:szCs w:val="22"/>
        </w:rPr>
        <w:t xml:space="preserve">ukupno </w:t>
      </w:r>
      <w:r w:rsidR="00850415" w:rsidRPr="003E5ED2">
        <w:rPr>
          <w:rFonts w:ascii="Arial" w:hAnsi="Arial" w:cs="Arial"/>
          <w:sz w:val="22"/>
          <w:szCs w:val="22"/>
        </w:rPr>
        <w:t>177.697,06</w:t>
      </w:r>
      <w:r w:rsidR="00D9680D" w:rsidRPr="003E5ED2">
        <w:rPr>
          <w:rFonts w:ascii="Arial" w:hAnsi="Arial" w:cs="Arial"/>
          <w:sz w:val="22"/>
          <w:szCs w:val="22"/>
        </w:rPr>
        <w:t xml:space="preserve"> eura.</w:t>
      </w:r>
      <w:r w:rsidR="0021146A" w:rsidRPr="003E5ED2">
        <w:rPr>
          <w:rFonts w:ascii="Arial" w:hAnsi="Arial" w:cs="Arial"/>
          <w:sz w:val="22"/>
          <w:szCs w:val="22"/>
        </w:rPr>
        <w:t xml:space="preserve"> U skladu s uputama točke </w:t>
      </w:r>
      <w:r w:rsidR="00BB7AE5" w:rsidRPr="003E5ED2">
        <w:rPr>
          <w:rFonts w:ascii="Arial" w:hAnsi="Arial" w:cs="Arial"/>
          <w:sz w:val="22"/>
          <w:szCs w:val="22"/>
        </w:rPr>
        <w:t xml:space="preserve">V </w:t>
      </w:r>
      <w:r w:rsidRPr="003E5ED2">
        <w:rPr>
          <w:rFonts w:ascii="Arial" w:hAnsi="Arial" w:cs="Arial"/>
          <w:sz w:val="22"/>
          <w:szCs w:val="22"/>
        </w:rPr>
        <w:t>Okružnice Ministarstva financija o sastavljanju, konsolidaciji i p</w:t>
      </w:r>
      <w:r w:rsidR="0021146A" w:rsidRPr="003E5ED2">
        <w:rPr>
          <w:rFonts w:ascii="Arial" w:hAnsi="Arial" w:cs="Arial"/>
          <w:sz w:val="22"/>
          <w:szCs w:val="22"/>
        </w:rPr>
        <w:t>redaji</w:t>
      </w:r>
      <w:r w:rsidR="00BB7AE5" w:rsidRPr="003E5ED2">
        <w:rPr>
          <w:rFonts w:ascii="Arial" w:hAnsi="Arial" w:cs="Arial"/>
          <w:sz w:val="22"/>
          <w:szCs w:val="22"/>
        </w:rPr>
        <w:t xml:space="preserve"> financijskih izvještaja od 15. </w:t>
      </w:r>
      <w:r w:rsidR="0021146A" w:rsidRPr="003E5ED2">
        <w:rPr>
          <w:rFonts w:ascii="Arial" w:hAnsi="Arial" w:cs="Arial"/>
          <w:sz w:val="22"/>
          <w:szCs w:val="22"/>
        </w:rPr>
        <w:t xml:space="preserve">siječnja 2019. godine, </w:t>
      </w:r>
      <w:r w:rsidRPr="003E5ED2">
        <w:rPr>
          <w:rFonts w:ascii="Arial" w:hAnsi="Arial" w:cs="Arial"/>
          <w:sz w:val="22"/>
          <w:szCs w:val="22"/>
        </w:rPr>
        <w:t xml:space="preserve">navedeni iznosi nisu u </w:t>
      </w:r>
      <w:r w:rsidR="0010013A" w:rsidRPr="003E5ED2">
        <w:rPr>
          <w:rFonts w:ascii="Arial" w:hAnsi="Arial" w:cs="Arial"/>
          <w:sz w:val="22"/>
          <w:szCs w:val="22"/>
        </w:rPr>
        <w:t>O</w:t>
      </w:r>
      <w:r w:rsidR="0084186B" w:rsidRPr="003E5ED2">
        <w:rPr>
          <w:rFonts w:ascii="Arial" w:hAnsi="Arial" w:cs="Arial"/>
          <w:sz w:val="22"/>
          <w:szCs w:val="22"/>
        </w:rPr>
        <w:t xml:space="preserve">brascu </w:t>
      </w:r>
      <w:r w:rsidRPr="003E5ED2">
        <w:rPr>
          <w:rFonts w:ascii="Arial" w:hAnsi="Arial" w:cs="Arial"/>
          <w:sz w:val="22"/>
          <w:szCs w:val="22"/>
        </w:rPr>
        <w:t>PR-RAS-u iskazani na računima podskupin</w:t>
      </w:r>
      <w:r w:rsidR="00444EBE" w:rsidRPr="003E5ED2">
        <w:rPr>
          <w:rFonts w:ascii="Arial" w:hAnsi="Arial" w:cs="Arial"/>
          <w:sz w:val="22"/>
          <w:szCs w:val="22"/>
        </w:rPr>
        <w:t>e 367 već na izvornim rashodima.</w:t>
      </w:r>
      <w:r w:rsidRPr="003E5ED2">
        <w:rPr>
          <w:rFonts w:ascii="Arial" w:hAnsi="Arial" w:cs="Arial"/>
          <w:sz w:val="22"/>
          <w:szCs w:val="22"/>
        </w:rPr>
        <w:t xml:space="preserve"> </w:t>
      </w:r>
      <w:r w:rsidR="00444EBE" w:rsidRPr="003E5ED2">
        <w:rPr>
          <w:rFonts w:ascii="Arial" w:hAnsi="Arial" w:cs="Arial"/>
          <w:sz w:val="22"/>
          <w:szCs w:val="22"/>
        </w:rPr>
        <w:t>Grad</w:t>
      </w:r>
      <w:r w:rsidR="008B65FF" w:rsidRPr="003E5ED2">
        <w:rPr>
          <w:rFonts w:ascii="Arial" w:hAnsi="Arial" w:cs="Arial"/>
          <w:sz w:val="22"/>
          <w:szCs w:val="22"/>
        </w:rPr>
        <w:t xml:space="preserve"> je, z</w:t>
      </w:r>
      <w:r w:rsidRPr="003E5ED2">
        <w:rPr>
          <w:rFonts w:ascii="Arial" w:hAnsi="Arial" w:cs="Arial"/>
          <w:sz w:val="22"/>
          <w:szCs w:val="22"/>
        </w:rPr>
        <w:t>ajedno s prijenosima sredstava mjesnim odborima</w:t>
      </w:r>
      <w:r w:rsidR="003F068D" w:rsidRPr="003E5ED2">
        <w:rPr>
          <w:rFonts w:ascii="Arial" w:hAnsi="Arial" w:cs="Arial"/>
          <w:sz w:val="22"/>
          <w:szCs w:val="22"/>
        </w:rPr>
        <w:t xml:space="preserve"> (34)</w:t>
      </w:r>
      <w:r w:rsidR="007F6E8E" w:rsidRPr="003E5ED2">
        <w:rPr>
          <w:rFonts w:ascii="Arial" w:hAnsi="Arial" w:cs="Arial"/>
          <w:sz w:val="22"/>
          <w:szCs w:val="22"/>
        </w:rPr>
        <w:t>,</w:t>
      </w:r>
      <w:r w:rsidRPr="003E5ED2">
        <w:rPr>
          <w:rFonts w:ascii="Arial" w:hAnsi="Arial" w:cs="Arial"/>
          <w:sz w:val="22"/>
          <w:szCs w:val="22"/>
        </w:rPr>
        <w:t xml:space="preserve"> vijećima nacionalnih manjina</w:t>
      </w:r>
      <w:r w:rsidR="003F068D" w:rsidRPr="003E5ED2">
        <w:rPr>
          <w:rFonts w:ascii="Arial" w:hAnsi="Arial" w:cs="Arial"/>
          <w:sz w:val="22"/>
          <w:szCs w:val="22"/>
        </w:rPr>
        <w:t xml:space="preserve"> </w:t>
      </w:r>
      <w:r w:rsidR="00850415" w:rsidRPr="003E5ED2">
        <w:rPr>
          <w:rFonts w:ascii="Arial" w:hAnsi="Arial" w:cs="Arial"/>
          <w:sz w:val="22"/>
          <w:szCs w:val="22"/>
        </w:rPr>
        <w:t xml:space="preserve">i </w:t>
      </w:r>
      <w:r w:rsidR="00BB7AE5" w:rsidRPr="003E5ED2">
        <w:rPr>
          <w:rFonts w:ascii="Arial" w:hAnsi="Arial" w:cs="Arial"/>
          <w:sz w:val="22"/>
          <w:szCs w:val="22"/>
        </w:rPr>
        <w:t xml:space="preserve">1 predstavnikom </w:t>
      </w:r>
      <w:r w:rsidR="005B52FE" w:rsidRPr="003E5ED2">
        <w:rPr>
          <w:rFonts w:ascii="Arial" w:hAnsi="Arial" w:cs="Arial"/>
          <w:sz w:val="22"/>
          <w:szCs w:val="22"/>
        </w:rPr>
        <w:t xml:space="preserve">vijeća nacionalnih manjina </w:t>
      </w:r>
      <w:r w:rsidRPr="003E5ED2">
        <w:rPr>
          <w:rFonts w:ascii="Arial" w:hAnsi="Arial" w:cs="Arial"/>
          <w:sz w:val="22"/>
          <w:szCs w:val="22"/>
        </w:rPr>
        <w:t>Grada Rijeke, sv</w:t>
      </w:r>
      <w:r w:rsidR="00730B23" w:rsidRPr="003E5ED2">
        <w:rPr>
          <w:rFonts w:ascii="Arial" w:hAnsi="Arial" w:cs="Arial"/>
          <w:sz w:val="22"/>
          <w:szCs w:val="22"/>
        </w:rPr>
        <w:t>ojim</w:t>
      </w:r>
      <w:r w:rsidRPr="003E5ED2">
        <w:rPr>
          <w:rFonts w:ascii="Arial" w:hAnsi="Arial" w:cs="Arial"/>
          <w:sz w:val="22"/>
          <w:szCs w:val="22"/>
        </w:rPr>
        <w:t xml:space="preserve"> proračunskim korisnicima za redovno poslovanje u 20</w:t>
      </w:r>
      <w:r w:rsidR="00850415" w:rsidRPr="003E5ED2">
        <w:rPr>
          <w:rFonts w:ascii="Arial" w:hAnsi="Arial" w:cs="Arial"/>
          <w:sz w:val="22"/>
          <w:szCs w:val="22"/>
        </w:rPr>
        <w:t>24</w:t>
      </w:r>
      <w:r w:rsidRPr="003E5ED2">
        <w:rPr>
          <w:rFonts w:ascii="Arial" w:hAnsi="Arial" w:cs="Arial"/>
          <w:sz w:val="22"/>
          <w:szCs w:val="22"/>
        </w:rPr>
        <w:t>. godini</w:t>
      </w:r>
      <w:r w:rsidR="008B65FF" w:rsidRPr="003E5ED2">
        <w:rPr>
          <w:rFonts w:ascii="Arial" w:hAnsi="Arial" w:cs="Arial"/>
          <w:sz w:val="22"/>
          <w:szCs w:val="22"/>
        </w:rPr>
        <w:t>,</w:t>
      </w:r>
      <w:r w:rsidRPr="003E5ED2">
        <w:rPr>
          <w:rFonts w:ascii="Arial" w:hAnsi="Arial" w:cs="Arial"/>
          <w:sz w:val="22"/>
          <w:szCs w:val="22"/>
        </w:rPr>
        <w:t xml:space="preserve"> </w:t>
      </w:r>
      <w:r w:rsidR="00730B23" w:rsidRPr="003E5ED2">
        <w:rPr>
          <w:rFonts w:ascii="Arial" w:hAnsi="Arial" w:cs="Arial"/>
          <w:sz w:val="22"/>
          <w:szCs w:val="22"/>
        </w:rPr>
        <w:t xml:space="preserve">doznačio ukupno </w:t>
      </w:r>
      <w:r w:rsidR="00850415" w:rsidRPr="003E5ED2">
        <w:rPr>
          <w:rFonts w:ascii="Arial" w:hAnsi="Arial" w:cs="Arial"/>
          <w:b/>
          <w:sz w:val="22"/>
          <w:szCs w:val="22"/>
        </w:rPr>
        <w:t xml:space="preserve">39.806.940,56 </w:t>
      </w:r>
      <w:r w:rsidR="00D9680D" w:rsidRPr="003E5ED2">
        <w:rPr>
          <w:rFonts w:ascii="Arial" w:hAnsi="Arial" w:cs="Arial"/>
          <w:b/>
          <w:sz w:val="22"/>
          <w:szCs w:val="22"/>
        </w:rPr>
        <w:t>eura.</w:t>
      </w:r>
    </w:p>
    <w:p w:rsidR="000E69DA" w:rsidRPr="003E5ED2" w:rsidRDefault="000E69DA" w:rsidP="000E69DA">
      <w:pPr>
        <w:jc w:val="both"/>
        <w:rPr>
          <w:rFonts w:ascii="Arial" w:hAnsi="Arial" w:cs="Arial"/>
          <w:color w:val="000000"/>
          <w:sz w:val="22"/>
          <w:szCs w:val="22"/>
        </w:rPr>
      </w:pPr>
    </w:p>
    <w:p w:rsidR="001244B6" w:rsidRPr="003E5ED2" w:rsidRDefault="000E69DA" w:rsidP="000E69DA">
      <w:pPr>
        <w:jc w:val="both"/>
        <w:rPr>
          <w:rFonts w:ascii="Arial" w:hAnsi="Arial" w:cs="Arial"/>
          <w:color w:val="000000"/>
          <w:sz w:val="22"/>
          <w:szCs w:val="22"/>
        </w:rPr>
      </w:pPr>
      <w:r w:rsidRPr="003E5ED2">
        <w:rPr>
          <w:rFonts w:ascii="Arial" w:hAnsi="Arial" w:cs="Arial"/>
          <w:i/>
          <w:color w:val="000000"/>
          <w:sz w:val="22"/>
          <w:szCs w:val="22"/>
          <w:u w:val="single"/>
        </w:rPr>
        <w:t>Naknade građanima i kućanstvima na temelju osi</w:t>
      </w:r>
      <w:r w:rsidR="00B760FE" w:rsidRPr="003E5ED2">
        <w:rPr>
          <w:rFonts w:ascii="Arial" w:hAnsi="Arial" w:cs="Arial"/>
          <w:i/>
          <w:color w:val="000000"/>
          <w:sz w:val="22"/>
          <w:szCs w:val="22"/>
          <w:u w:val="single"/>
        </w:rPr>
        <w:t>guranja i druge naknade (37</w:t>
      </w:r>
      <w:r w:rsidRPr="003E5ED2">
        <w:rPr>
          <w:rFonts w:ascii="Arial" w:hAnsi="Arial" w:cs="Arial"/>
          <w:i/>
          <w:color w:val="000000"/>
          <w:sz w:val="22"/>
          <w:szCs w:val="22"/>
          <w:u w:val="single"/>
        </w:rPr>
        <w:t>)</w:t>
      </w:r>
      <w:r w:rsidRPr="003E5ED2">
        <w:rPr>
          <w:rFonts w:ascii="Arial" w:hAnsi="Arial" w:cs="Arial"/>
          <w:b/>
          <w:color w:val="000000"/>
          <w:sz w:val="22"/>
          <w:szCs w:val="22"/>
        </w:rPr>
        <w:t xml:space="preserve"> </w:t>
      </w:r>
      <w:r w:rsidRPr="003E5ED2">
        <w:rPr>
          <w:rFonts w:ascii="Arial" w:hAnsi="Arial" w:cs="Arial"/>
          <w:color w:val="000000"/>
          <w:sz w:val="22"/>
          <w:szCs w:val="22"/>
        </w:rPr>
        <w:t xml:space="preserve">ostvarene su u iznosu od </w:t>
      </w:r>
      <w:r w:rsidR="00A16DD1" w:rsidRPr="003E5ED2">
        <w:rPr>
          <w:rFonts w:ascii="Arial" w:hAnsi="Arial" w:cs="Arial"/>
          <w:color w:val="000000"/>
          <w:sz w:val="22"/>
          <w:szCs w:val="22"/>
        </w:rPr>
        <w:t>4.804.440,09</w:t>
      </w:r>
      <w:r w:rsidR="00B760FE" w:rsidRPr="003E5ED2">
        <w:rPr>
          <w:rFonts w:ascii="Arial" w:hAnsi="Arial" w:cs="Arial"/>
          <w:color w:val="000000"/>
          <w:sz w:val="22"/>
          <w:szCs w:val="22"/>
        </w:rPr>
        <w:t xml:space="preserve"> </w:t>
      </w:r>
      <w:r w:rsidR="009A2228" w:rsidRPr="003E5ED2">
        <w:rPr>
          <w:rFonts w:ascii="Arial" w:hAnsi="Arial" w:cs="Arial"/>
          <w:color w:val="000000"/>
          <w:sz w:val="22"/>
          <w:szCs w:val="22"/>
        </w:rPr>
        <w:t xml:space="preserve">eura, </w:t>
      </w:r>
      <w:r w:rsidR="00A16DD1" w:rsidRPr="003E5ED2">
        <w:rPr>
          <w:rFonts w:ascii="Arial" w:hAnsi="Arial" w:cs="Arial"/>
          <w:color w:val="000000"/>
          <w:sz w:val="22"/>
          <w:szCs w:val="22"/>
        </w:rPr>
        <w:t>16,8</w:t>
      </w:r>
      <w:r w:rsidR="00C72072" w:rsidRPr="003E5ED2">
        <w:rPr>
          <w:rFonts w:ascii="Arial" w:hAnsi="Arial" w:cs="Arial"/>
          <w:color w:val="000000"/>
          <w:sz w:val="22"/>
          <w:szCs w:val="22"/>
        </w:rPr>
        <w:t>%</w:t>
      </w:r>
      <w:r w:rsidR="00BA28AD" w:rsidRPr="003E5ED2">
        <w:rPr>
          <w:rFonts w:ascii="Arial" w:hAnsi="Arial" w:cs="Arial"/>
          <w:color w:val="000000"/>
          <w:sz w:val="22"/>
          <w:szCs w:val="22"/>
        </w:rPr>
        <w:t xml:space="preserve"> više</w:t>
      </w:r>
      <w:r w:rsidRPr="003E5ED2">
        <w:rPr>
          <w:rFonts w:ascii="Arial" w:hAnsi="Arial" w:cs="Arial"/>
          <w:color w:val="000000"/>
          <w:sz w:val="22"/>
          <w:szCs w:val="22"/>
        </w:rPr>
        <w:t xml:space="preserve"> od izvršenja prethodne godine i najvećim dijelom se odnose na naknade koje se isplaćuju korisnicima Socijalnog programa sukladno Odluci o socijalnoj skrbi Grada Rijeke. Ostale naknade odnose se </w:t>
      </w:r>
      <w:r w:rsidRPr="003E5ED2">
        <w:rPr>
          <w:rFonts w:ascii="Arial" w:hAnsi="Arial" w:cs="Arial"/>
          <w:sz w:val="22"/>
          <w:szCs w:val="22"/>
        </w:rPr>
        <w:t>na isplatu stipendija za darovite učenike i studente i stipendije koje se dodjeljuju prema socijalnom kriteriju, stipendiranje studenata za studij deficitarnih zanimanja, na sufinanciranje</w:t>
      </w:r>
      <w:r w:rsidR="000A56DC" w:rsidRPr="003E5ED2">
        <w:rPr>
          <w:rFonts w:ascii="Arial" w:hAnsi="Arial" w:cs="Arial"/>
          <w:sz w:val="22"/>
          <w:szCs w:val="22"/>
        </w:rPr>
        <w:t xml:space="preserve"> srednjoškolskih i </w:t>
      </w:r>
      <w:r w:rsidRPr="003E5ED2">
        <w:rPr>
          <w:rFonts w:ascii="Arial" w:hAnsi="Arial" w:cs="Arial"/>
          <w:sz w:val="22"/>
          <w:szCs w:val="22"/>
        </w:rPr>
        <w:t>studentskih karata</w:t>
      </w:r>
      <w:r w:rsidR="00333643" w:rsidRPr="003E5ED2">
        <w:rPr>
          <w:rFonts w:ascii="Arial" w:hAnsi="Arial" w:cs="Arial"/>
          <w:sz w:val="22"/>
          <w:szCs w:val="22"/>
        </w:rPr>
        <w:t>,</w:t>
      </w:r>
      <w:r w:rsidRPr="003E5ED2">
        <w:rPr>
          <w:rFonts w:ascii="Arial" w:hAnsi="Arial" w:cs="Arial"/>
          <w:color w:val="000000"/>
          <w:sz w:val="22"/>
          <w:szCs w:val="22"/>
        </w:rPr>
        <w:t xml:space="preserve"> na isplatu novčanih donacija za novorođenu djecu u okviru populacijske politike Grada Rijeke</w:t>
      </w:r>
      <w:r w:rsidR="00333643" w:rsidRPr="003E5ED2">
        <w:rPr>
          <w:rFonts w:ascii="Arial" w:hAnsi="Arial" w:cs="Arial"/>
          <w:color w:val="000000"/>
          <w:sz w:val="22"/>
          <w:szCs w:val="22"/>
        </w:rPr>
        <w:t>,</w:t>
      </w:r>
      <w:r w:rsidR="001244B6" w:rsidRPr="003E5ED2">
        <w:rPr>
          <w:rFonts w:ascii="Arial" w:hAnsi="Arial" w:cs="Arial"/>
          <w:color w:val="000000"/>
          <w:sz w:val="22"/>
          <w:szCs w:val="22"/>
        </w:rPr>
        <w:t xml:space="preserve"> subvencije za boravak djece u jaslicama i vrtićima, subvencije prehrane u osnovnim školama,</w:t>
      </w:r>
      <w:r w:rsidR="00333643" w:rsidRPr="003E5ED2">
        <w:rPr>
          <w:rFonts w:ascii="Arial" w:hAnsi="Arial" w:cs="Arial"/>
          <w:color w:val="000000"/>
          <w:sz w:val="22"/>
          <w:szCs w:val="22"/>
        </w:rPr>
        <w:t xml:space="preserve"> zatim na</w:t>
      </w:r>
      <w:r w:rsidRPr="003E5ED2">
        <w:rPr>
          <w:rFonts w:ascii="Arial" w:hAnsi="Arial" w:cs="Arial"/>
          <w:color w:val="000000"/>
          <w:sz w:val="22"/>
          <w:szCs w:val="22"/>
        </w:rPr>
        <w:t xml:space="preserve"> subvencije umirovljenicima kroz novčane pomoći </w:t>
      </w:r>
      <w:r w:rsidR="00333643" w:rsidRPr="003E5ED2">
        <w:rPr>
          <w:rFonts w:ascii="Arial" w:hAnsi="Arial" w:cs="Arial"/>
          <w:color w:val="000000"/>
          <w:sz w:val="22"/>
          <w:szCs w:val="22"/>
        </w:rPr>
        <w:t>i</w:t>
      </w:r>
      <w:r w:rsidRPr="003E5ED2">
        <w:rPr>
          <w:rFonts w:ascii="Arial" w:hAnsi="Arial" w:cs="Arial"/>
          <w:color w:val="000000"/>
          <w:sz w:val="22"/>
          <w:szCs w:val="22"/>
        </w:rPr>
        <w:t xml:space="preserve"> sufina</w:t>
      </w:r>
      <w:r w:rsidR="00333643" w:rsidRPr="003E5ED2">
        <w:rPr>
          <w:rFonts w:ascii="Arial" w:hAnsi="Arial" w:cs="Arial"/>
          <w:color w:val="000000"/>
          <w:sz w:val="22"/>
          <w:szCs w:val="22"/>
        </w:rPr>
        <w:t>n</w:t>
      </w:r>
      <w:r w:rsidRPr="003E5ED2">
        <w:rPr>
          <w:rFonts w:ascii="Arial" w:hAnsi="Arial" w:cs="Arial"/>
          <w:color w:val="000000"/>
          <w:sz w:val="22"/>
          <w:szCs w:val="22"/>
        </w:rPr>
        <w:t>ciranje cijene prijevoza</w:t>
      </w:r>
      <w:r w:rsidR="007405FC" w:rsidRPr="003E5ED2">
        <w:rPr>
          <w:rFonts w:ascii="Arial" w:hAnsi="Arial" w:cs="Arial"/>
          <w:color w:val="000000"/>
          <w:sz w:val="22"/>
          <w:szCs w:val="22"/>
        </w:rPr>
        <w:t>.</w:t>
      </w:r>
      <w:r w:rsidR="005D603A" w:rsidRPr="003E5ED2">
        <w:rPr>
          <w:rFonts w:ascii="Arial" w:hAnsi="Arial" w:cs="Arial"/>
          <w:color w:val="000000"/>
          <w:sz w:val="22"/>
          <w:szCs w:val="22"/>
        </w:rPr>
        <w:t xml:space="preserve"> </w:t>
      </w:r>
    </w:p>
    <w:p w:rsidR="005D603A" w:rsidRPr="003E5ED2" w:rsidRDefault="005D603A" w:rsidP="000E69DA">
      <w:pPr>
        <w:jc w:val="both"/>
        <w:rPr>
          <w:rFonts w:ascii="Arial" w:hAnsi="Arial" w:cs="Arial"/>
          <w:color w:val="000000"/>
          <w:sz w:val="22"/>
          <w:szCs w:val="22"/>
        </w:rPr>
      </w:pPr>
    </w:p>
    <w:p w:rsidR="00282219" w:rsidRPr="003E5ED2" w:rsidRDefault="00624B85" w:rsidP="00282219">
      <w:pPr>
        <w:jc w:val="both"/>
        <w:rPr>
          <w:rFonts w:ascii="Arial" w:hAnsi="Arial" w:cs="Arial"/>
          <w:color w:val="000000"/>
          <w:sz w:val="22"/>
          <w:szCs w:val="22"/>
        </w:rPr>
      </w:pPr>
      <w:r w:rsidRPr="003E5ED2">
        <w:rPr>
          <w:rFonts w:ascii="Arial" w:hAnsi="Arial" w:cs="Arial"/>
          <w:i/>
          <w:color w:val="000000"/>
          <w:sz w:val="22"/>
          <w:szCs w:val="22"/>
          <w:u w:val="single"/>
        </w:rPr>
        <w:t>Ostali rashodi (38)</w:t>
      </w:r>
      <w:r w:rsidR="004B16E6" w:rsidRPr="003E5ED2">
        <w:rPr>
          <w:rFonts w:ascii="Arial" w:hAnsi="Arial" w:cs="Arial"/>
          <w:color w:val="000000"/>
          <w:sz w:val="22"/>
          <w:szCs w:val="22"/>
          <w:u w:val="single"/>
        </w:rPr>
        <w:t xml:space="preserve"> </w:t>
      </w:r>
      <w:r w:rsidR="004B16E6" w:rsidRPr="003E5ED2">
        <w:rPr>
          <w:rFonts w:ascii="Arial" w:hAnsi="Arial" w:cs="Arial"/>
          <w:color w:val="000000"/>
          <w:sz w:val="22"/>
          <w:szCs w:val="22"/>
        </w:rPr>
        <w:t xml:space="preserve">iznose </w:t>
      </w:r>
      <w:r w:rsidR="005D603A" w:rsidRPr="003E5ED2">
        <w:rPr>
          <w:rFonts w:ascii="Arial" w:hAnsi="Arial" w:cs="Arial"/>
          <w:color w:val="000000"/>
          <w:sz w:val="22"/>
          <w:szCs w:val="22"/>
        </w:rPr>
        <w:t>11.175.789,79</w:t>
      </w:r>
      <w:r w:rsidR="00385E69" w:rsidRPr="003E5ED2">
        <w:rPr>
          <w:rFonts w:ascii="Arial" w:hAnsi="Arial" w:cs="Arial"/>
          <w:color w:val="000000"/>
          <w:sz w:val="22"/>
          <w:szCs w:val="22"/>
        </w:rPr>
        <w:t xml:space="preserve"> eura</w:t>
      </w:r>
      <w:r w:rsidRPr="003E5ED2">
        <w:rPr>
          <w:rFonts w:ascii="Arial" w:hAnsi="Arial" w:cs="Arial"/>
          <w:color w:val="000000"/>
          <w:sz w:val="22"/>
          <w:szCs w:val="22"/>
        </w:rPr>
        <w:t xml:space="preserve"> i bil</w:t>
      </w:r>
      <w:r w:rsidR="000462A8" w:rsidRPr="003E5ED2">
        <w:rPr>
          <w:rFonts w:ascii="Arial" w:hAnsi="Arial" w:cs="Arial"/>
          <w:color w:val="000000"/>
          <w:sz w:val="22"/>
          <w:szCs w:val="22"/>
        </w:rPr>
        <w:t>j</w:t>
      </w:r>
      <w:r w:rsidRPr="003E5ED2">
        <w:rPr>
          <w:rFonts w:ascii="Arial" w:hAnsi="Arial" w:cs="Arial"/>
          <w:color w:val="000000"/>
          <w:sz w:val="22"/>
          <w:szCs w:val="22"/>
        </w:rPr>
        <w:t xml:space="preserve">eže rast od </w:t>
      </w:r>
      <w:r w:rsidR="005D603A" w:rsidRPr="003E5ED2">
        <w:rPr>
          <w:rFonts w:ascii="Arial" w:hAnsi="Arial" w:cs="Arial"/>
          <w:color w:val="000000"/>
          <w:sz w:val="22"/>
          <w:szCs w:val="22"/>
        </w:rPr>
        <w:t>25,4</w:t>
      </w:r>
      <w:r w:rsidRPr="003E5ED2">
        <w:rPr>
          <w:rFonts w:ascii="Arial" w:hAnsi="Arial" w:cs="Arial"/>
          <w:color w:val="000000"/>
          <w:sz w:val="22"/>
          <w:szCs w:val="22"/>
        </w:rPr>
        <w:t xml:space="preserve">%. Do porasta u odnosu na prethodnu godinu </w:t>
      </w:r>
      <w:r w:rsidR="00CE5CCA" w:rsidRPr="003E5ED2">
        <w:rPr>
          <w:rFonts w:ascii="Arial" w:hAnsi="Arial" w:cs="Arial"/>
          <w:color w:val="000000"/>
          <w:sz w:val="22"/>
          <w:szCs w:val="22"/>
        </w:rPr>
        <w:t>dolazi</w:t>
      </w:r>
      <w:r w:rsidRPr="003E5ED2">
        <w:rPr>
          <w:rFonts w:ascii="Arial" w:hAnsi="Arial" w:cs="Arial"/>
          <w:color w:val="000000"/>
          <w:sz w:val="22"/>
          <w:szCs w:val="22"/>
        </w:rPr>
        <w:t xml:space="preserve"> kod tekućih donacija u novcu</w:t>
      </w:r>
      <w:r w:rsidR="00222E2E" w:rsidRPr="003E5ED2">
        <w:rPr>
          <w:rFonts w:ascii="Arial" w:hAnsi="Arial" w:cs="Arial"/>
          <w:color w:val="000000"/>
          <w:sz w:val="22"/>
          <w:szCs w:val="22"/>
        </w:rPr>
        <w:t xml:space="preserve"> (3811)</w:t>
      </w:r>
      <w:r w:rsidR="00946552" w:rsidRPr="003E5ED2">
        <w:rPr>
          <w:rFonts w:ascii="Arial" w:hAnsi="Arial" w:cs="Arial"/>
          <w:color w:val="000000"/>
          <w:sz w:val="22"/>
          <w:szCs w:val="22"/>
        </w:rPr>
        <w:t xml:space="preserve"> gdje se bilježi</w:t>
      </w:r>
      <w:r w:rsidR="00222E2E" w:rsidRPr="003E5ED2">
        <w:rPr>
          <w:rFonts w:ascii="Arial" w:hAnsi="Arial" w:cs="Arial"/>
          <w:color w:val="000000"/>
          <w:sz w:val="22"/>
          <w:szCs w:val="22"/>
        </w:rPr>
        <w:t xml:space="preserve"> rast </w:t>
      </w:r>
      <w:r w:rsidR="00946552" w:rsidRPr="003E5ED2">
        <w:rPr>
          <w:rFonts w:ascii="Arial" w:hAnsi="Arial" w:cs="Arial"/>
          <w:color w:val="000000"/>
          <w:sz w:val="22"/>
          <w:szCs w:val="22"/>
        </w:rPr>
        <w:t xml:space="preserve">od </w:t>
      </w:r>
      <w:r w:rsidR="005D603A" w:rsidRPr="003E5ED2">
        <w:rPr>
          <w:rFonts w:ascii="Arial" w:hAnsi="Arial" w:cs="Arial"/>
          <w:color w:val="000000"/>
          <w:sz w:val="22"/>
          <w:szCs w:val="22"/>
        </w:rPr>
        <w:t>28,4</w:t>
      </w:r>
      <w:r w:rsidR="00222E2E" w:rsidRPr="003E5ED2">
        <w:rPr>
          <w:rFonts w:ascii="Arial" w:hAnsi="Arial" w:cs="Arial"/>
          <w:color w:val="000000"/>
          <w:sz w:val="22"/>
          <w:szCs w:val="22"/>
        </w:rPr>
        <w:t>% (isplate udrugama, sportskim savezi</w:t>
      </w:r>
      <w:r w:rsidR="00E5699D" w:rsidRPr="003E5ED2">
        <w:rPr>
          <w:rFonts w:ascii="Arial" w:hAnsi="Arial" w:cs="Arial"/>
          <w:color w:val="000000"/>
          <w:sz w:val="22"/>
          <w:szCs w:val="22"/>
        </w:rPr>
        <w:t>ma,</w:t>
      </w:r>
      <w:r w:rsidR="009B6790" w:rsidRPr="003E5ED2">
        <w:rPr>
          <w:rFonts w:ascii="Arial" w:hAnsi="Arial" w:cs="Arial"/>
          <w:color w:val="000000"/>
          <w:sz w:val="22"/>
          <w:szCs w:val="22"/>
        </w:rPr>
        <w:t xml:space="preserve"> klubovima,</w:t>
      </w:r>
      <w:r w:rsidR="00E5699D" w:rsidRPr="003E5ED2">
        <w:rPr>
          <w:rFonts w:ascii="Arial" w:hAnsi="Arial" w:cs="Arial"/>
          <w:color w:val="000000"/>
          <w:sz w:val="22"/>
          <w:szCs w:val="22"/>
        </w:rPr>
        <w:t xml:space="preserve"> privatnim dječjim vrtićima </w:t>
      </w:r>
      <w:r w:rsidR="00222E2E" w:rsidRPr="003E5ED2">
        <w:rPr>
          <w:rFonts w:ascii="Arial" w:hAnsi="Arial" w:cs="Arial"/>
          <w:color w:val="000000"/>
          <w:sz w:val="22"/>
          <w:szCs w:val="22"/>
        </w:rPr>
        <w:t>i dr.)</w:t>
      </w:r>
      <w:r w:rsidR="00946552" w:rsidRPr="003E5ED2">
        <w:rPr>
          <w:rFonts w:ascii="Arial" w:hAnsi="Arial" w:cs="Arial"/>
          <w:color w:val="000000"/>
          <w:sz w:val="22"/>
          <w:szCs w:val="22"/>
        </w:rPr>
        <w:t xml:space="preserve">. </w:t>
      </w:r>
      <w:r w:rsidR="00A00FC0" w:rsidRPr="003E5ED2">
        <w:rPr>
          <w:rFonts w:ascii="Arial" w:hAnsi="Arial" w:cs="Arial"/>
          <w:color w:val="000000"/>
          <w:sz w:val="22"/>
          <w:szCs w:val="22"/>
        </w:rPr>
        <w:t xml:space="preserve">Porast ovih rashoda od 88,7% </w:t>
      </w:r>
      <w:r w:rsidR="00946552" w:rsidRPr="003E5ED2">
        <w:rPr>
          <w:rFonts w:ascii="Arial" w:hAnsi="Arial" w:cs="Arial"/>
          <w:color w:val="000000"/>
          <w:sz w:val="22"/>
          <w:szCs w:val="22"/>
        </w:rPr>
        <w:t>bilježi</w:t>
      </w:r>
      <w:r w:rsidR="00A00FC0" w:rsidRPr="003E5ED2">
        <w:rPr>
          <w:rFonts w:ascii="Arial" w:hAnsi="Arial" w:cs="Arial"/>
          <w:color w:val="000000"/>
          <w:sz w:val="22"/>
          <w:szCs w:val="22"/>
        </w:rPr>
        <w:t xml:space="preserve"> se</w:t>
      </w:r>
      <w:r w:rsidR="00B724CC" w:rsidRPr="003E5ED2">
        <w:rPr>
          <w:rFonts w:ascii="Arial" w:hAnsi="Arial" w:cs="Arial"/>
          <w:color w:val="000000"/>
          <w:sz w:val="22"/>
          <w:szCs w:val="22"/>
        </w:rPr>
        <w:t xml:space="preserve"> </w:t>
      </w:r>
      <w:r w:rsidR="009670DB" w:rsidRPr="003E5ED2">
        <w:rPr>
          <w:rFonts w:ascii="Arial" w:hAnsi="Arial" w:cs="Arial"/>
          <w:color w:val="000000"/>
          <w:sz w:val="22"/>
          <w:szCs w:val="22"/>
        </w:rPr>
        <w:t>kod</w:t>
      </w:r>
      <w:r w:rsidR="00385E69" w:rsidRPr="003E5ED2">
        <w:rPr>
          <w:rFonts w:ascii="Arial" w:hAnsi="Arial" w:cs="Arial"/>
          <w:color w:val="000000"/>
          <w:sz w:val="22"/>
          <w:szCs w:val="22"/>
        </w:rPr>
        <w:t xml:space="preserve"> tekućih donacija iz EU sredstava </w:t>
      </w:r>
      <w:r w:rsidR="00A00FC0" w:rsidRPr="003E5ED2">
        <w:rPr>
          <w:rFonts w:ascii="Arial" w:hAnsi="Arial" w:cs="Arial"/>
          <w:color w:val="000000"/>
          <w:sz w:val="22"/>
          <w:szCs w:val="22"/>
        </w:rPr>
        <w:t>(</w:t>
      </w:r>
      <w:r w:rsidR="00222E2E" w:rsidRPr="003E5ED2">
        <w:rPr>
          <w:rFonts w:ascii="Arial" w:hAnsi="Arial" w:cs="Arial"/>
          <w:color w:val="000000"/>
          <w:sz w:val="22"/>
          <w:szCs w:val="22"/>
        </w:rPr>
        <w:t>3813</w:t>
      </w:r>
      <w:r w:rsidR="00A00FC0" w:rsidRPr="003E5ED2">
        <w:rPr>
          <w:rFonts w:ascii="Arial" w:hAnsi="Arial" w:cs="Arial"/>
          <w:color w:val="000000"/>
          <w:sz w:val="22"/>
          <w:szCs w:val="22"/>
        </w:rPr>
        <w:t>)</w:t>
      </w:r>
      <w:r w:rsidR="00265BAC" w:rsidRPr="003E5ED2">
        <w:rPr>
          <w:rFonts w:ascii="Arial" w:hAnsi="Arial" w:cs="Arial"/>
          <w:color w:val="000000"/>
          <w:sz w:val="22"/>
          <w:szCs w:val="22"/>
        </w:rPr>
        <w:t>:</w:t>
      </w:r>
      <w:r w:rsidR="00A00FC0" w:rsidRPr="003E5ED2">
        <w:rPr>
          <w:rFonts w:ascii="Arial" w:hAnsi="Arial" w:cs="Arial"/>
          <w:color w:val="000000"/>
          <w:sz w:val="22"/>
          <w:szCs w:val="22"/>
        </w:rPr>
        <w:t xml:space="preserve"> </w:t>
      </w:r>
      <w:r w:rsidR="00AA1AE1" w:rsidRPr="003E5ED2">
        <w:rPr>
          <w:rFonts w:ascii="Arial" w:hAnsi="Arial" w:cs="Arial"/>
          <w:color w:val="000000"/>
          <w:sz w:val="22"/>
          <w:szCs w:val="22"/>
        </w:rPr>
        <w:t xml:space="preserve">u sklopu projekta </w:t>
      </w:r>
      <w:r w:rsidR="000B4516" w:rsidRPr="003E5ED2">
        <w:rPr>
          <w:rFonts w:ascii="Arial" w:hAnsi="Arial" w:cs="Arial"/>
          <w:color w:val="000000"/>
          <w:sz w:val="22"/>
          <w:szCs w:val="22"/>
        </w:rPr>
        <w:t>„</w:t>
      </w:r>
      <w:r w:rsidR="00AA1AE1" w:rsidRPr="003E5ED2">
        <w:rPr>
          <w:rFonts w:ascii="Arial" w:hAnsi="Arial" w:cs="Arial"/>
          <w:color w:val="000000"/>
          <w:sz w:val="22"/>
          <w:szCs w:val="22"/>
        </w:rPr>
        <w:t>U svom domu</w:t>
      </w:r>
      <w:r w:rsidR="000B4516" w:rsidRPr="003E5ED2">
        <w:rPr>
          <w:rFonts w:ascii="Arial" w:hAnsi="Arial" w:cs="Arial"/>
          <w:color w:val="000000"/>
          <w:sz w:val="22"/>
          <w:szCs w:val="22"/>
        </w:rPr>
        <w:t>“</w:t>
      </w:r>
      <w:r w:rsidR="00AA1AE1" w:rsidRPr="003E5ED2">
        <w:rPr>
          <w:rFonts w:ascii="Arial" w:hAnsi="Arial" w:cs="Arial"/>
          <w:color w:val="000000"/>
          <w:sz w:val="22"/>
          <w:szCs w:val="22"/>
        </w:rPr>
        <w:t xml:space="preserve"> </w:t>
      </w:r>
      <w:r w:rsidR="00282219" w:rsidRPr="003E5ED2">
        <w:rPr>
          <w:rFonts w:ascii="Arial" w:hAnsi="Arial" w:cs="Arial"/>
          <w:color w:val="000000"/>
          <w:sz w:val="22"/>
          <w:szCs w:val="22"/>
        </w:rPr>
        <w:t xml:space="preserve">koji </w:t>
      </w:r>
      <w:r w:rsidR="00AA1AE1" w:rsidRPr="003E5ED2">
        <w:rPr>
          <w:rFonts w:ascii="Arial" w:hAnsi="Arial" w:cs="Arial"/>
          <w:color w:val="000000"/>
          <w:sz w:val="22"/>
          <w:szCs w:val="22"/>
        </w:rPr>
        <w:t xml:space="preserve">Grad Rijeka </w:t>
      </w:r>
      <w:r w:rsidR="00282219" w:rsidRPr="003E5ED2">
        <w:rPr>
          <w:rFonts w:ascii="Arial" w:hAnsi="Arial" w:cs="Arial"/>
          <w:color w:val="000000"/>
          <w:sz w:val="22"/>
          <w:szCs w:val="22"/>
        </w:rPr>
        <w:t xml:space="preserve">kao nositelj i </w:t>
      </w:r>
      <w:r w:rsidR="00AA1AE1" w:rsidRPr="003E5ED2">
        <w:rPr>
          <w:rFonts w:ascii="Arial" w:hAnsi="Arial" w:cs="Arial"/>
          <w:color w:val="000000"/>
          <w:sz w:val="22"/>
          <w:szCs w:val="22"/>
        </w:rPr>
        <w:t>Caritas Riječke nadbiskupije</w:t>
      </w:r>
      <w:r w:rsidR="00282219" w:rsidRPr="003E5ED2">
        <w:rPr>
          <w:rFonts w:ascii="Arial" w:hAnsi="Arial" w:cs="Arial"/>
          <w:color w:val="000000"/>
          <w:sz w:val="22"/>
          <w:szCs w:val="22"/>
        </w:rPr>
        <w:t xml:space="preserve"> kao partner provode u okviru poziva</w:t>
      </w:r>
      <w:r w:rsidR="009B6790" w:rsidRPr="003E5ED2">
        <w:rPr>
          <w:rFonts w:ascii="Arial" w:hAnsi="Arial" w:cs="Arial"/>
          <w:color w:val="000000"/>
          <w:sz w:val="22"/>
          <w:szCs w:val="22"/>
        </w:rPr>
        <w:t xml:space="preserve"> </w:t>
      </w:r>
      <w:r w:rsidR="00BF13D6" w:rsidRPr="003E5ED2">
        <w:rPr>
          <w:rFonts w:ascii="Arial" w:hAnsi="Arial" w:cs="Arial"/>
          <w:color w:val="000000"/>
          <w:sz w:val="22"/>
          <w:szCs w:val="22"/>
        </w:rPr>
        <w:t>„Zaželi</w:t>
      </w:r>
      <w:r w:rsidR="00282219" w:rsidRPr="003E5ED2">
        <w:rPr>
          <w:rFonts w:ascii="Arial" w:hAnsi="Arial" w:cs="Arial"/>
          <w:color w:val="000000"/>
          <w:sz w:val="22"/>
          <w:szCs w:val="22"/>
        </w:rPr>
        <w:t xml:space="preserve"> </w:t>
      </w:r>
      <w:r w:rsidR="007405FC" w:rsidRPr="003E5ED2">
        <w:rPr>
          <w:rFonts w:ascii="Arial" w:hAnsi="Arial" w:cs="Arial"/>
          <w:color w:val="000000"/>
          <w:sz w:val="22"/>
          <w:szCs w:val="22"/>
        </w:rPr>
        <w:t>– pr</w:t>
      </w:r>
      <w:r w:rsidR="00AA1AE1" w:rsidRPr="003E5ED2">
        <w:rPr>
          <w:rFonts w:ascii="Arial" w:hAnsi="Arial" w:cs="Arial"/>
          <w:color w:val="000000"/>
          <w:sz w:val="22"/>
          <w:szCs w:val="22"/>
        </w:rPr>
        <w:t>evencija institucionalizacije</w:t>
      </w:r>
      <w:r w:rsidR="00282219" w:rsidRPr="003E5ED2">
        <w:rPr>
          <w:rFonts w:ascii="Arial" w:hAnsi="Arial" w:cs="Arial"/>
          <w:color w:val="000000"/>
          <w:sz w:val="22"/>
          <w:szCs w:val="22"/>
        </w:rPr>
        <w:t>“</w:t>
      </w:r>
      <w:r w:rsidR="00DD6D1A" w:rsidRPr="003E5ED2">
        <w:rPr>
          <w:rFonts w:ascii="Arial" w:hAnsi="Arial" w:cs="Arial"/>
          <w:color w:val="000000"/>
          <w:sz w:val="22"/>
          <w:szCs w:val="22"/>
        </w:rPr>
        <w:t>.</w:t>
      </w:r>
      <w:r w:rsidR="00AA1AE1" w:rsidRPr="003E5ED2">
        <w:rPr>
          <w:rFonts w:ascii="Arial" w:hAnsi="Arial" w:cs="Arial"/>
          <w:color w:val="000000"/>
          <w:sz w:val="22"/>
          <w:szCs w:val="22"/>
        </w:rPr>
        <w:t xml:space="preserve"> </w:t>
      </w:r>
      <w:r w:rsidR="00282219" w:rsidRPr="003E5ED2">
        <w:rPr>
          <w:rFonts w:ascii="Arial" w:hAnsi="Arial" w:cs="Arial"/>
          <w:color w:val="000000"/>
          <w:sz w:val="22"/>
          <w:szCs w:val="22"/>
        </w:rPr>
        <w:t>Glavni cilj projekta je povećanje socijalne uključenosti i prevencija institucionalizacije ranjivih skupina kroz pružanje usluge potpore i podrške u svakodnevnom životu starijim osobama i osobama s invaliditetom na području Grada Rijeke.</w:t>
      </w:r>
    </w:p>
    <w:p w:rsidR="00A00FC0" w:rsidRPr="003E5ED2" w:rsidRDefault="00A00FC0" w:rsidP="000E69DA">
      <w:pPr>
        <w:jc w:val="both"/>
        <w:rPr>
          <w:rFonts w:ascii="Arial" w:hAnsi="Arial" w:cs="Arial"/>
          <w:color w:val="000000"/>
          <w:sz w:val="22"/>
          <w:szCs w:val="22"/>
        </w:rPr>
      </w:pPr>
      <w:r w:rsidRPr="003E5ED2">
        <w:rPr>
          <w:rFonts w:ascii="Arial" w:hAnsi="Arial" w:cs="Arial"/>
          <w:color w:val="000000"/>
          <w:sz w:val="22"/>
          <w:szCs w:val="22"/>
        </w:rPr>
        <w:t xml:space="preserve">Porast od 124,8% bilježi se </w:t>
      </w:r>
      <w:r w:rsidR="009670DB" w:rsidRPr="003E5ED2">
        <w:rPr>
          <w:rFonts w:ascii="Arial" w:hAnsi="Arial" w:cs="Arial"/>
          <w:color w:val="000000"/>
          <w:sz w:val="22"/>
          <w:szCs w:val="22"/>
        </w:rPr>
        <w:t>kod</w:t>
      </w:r>
      <w:r w:rsidR="00385E69" w:rsidRPr="003E5ED2">
        <w:rPr>
          <w:rFonts w:ascii="Arial" w:hAnsi="Arial" w:cs="Arial"/>
          <w:color w:val="000000"/>
          <w:sz w:val="22"/>
          <w:szCs w:val="22"/>
        </w:rPr>
        <w:t xml:space="preserve"> </w:t>
      </w:r>
      <w:r w:rsidR="00624B85" w:rsidRPr="003E5ED2">
        <w:rPr>
          <w:rFonts w:ascii="Arial" w:hAnsi="Arial" w:cs="Arial"/>
          <w:color w:val="000000"/>
          <w:sz w:val="22"/>
          <w:szCs w:val="22"/>
        </w:rPr>
        <w:t>kapitalnih donacija građanima i kućanstvima</w:t>
      </w:r>
      <w:r w:rsidR="00222E2E" w:rsidRPr="003E5ED2">
        <w:rPr>
          <w:rFonts w:ascii="Arial" w:hAnsi="Arial" w:cs="Arial"/>
          <w:color w:val="000000"/>
          <w:sz w:val="22"/>
          <w:szCs w:val="22"/>
        </w:rPr>
        <w:t xml:space="preserve"> (3822)</w:t>
      </w:r>
      <w:r w:rsidRPr="003E5ED2">
        <w:rPr>
          <w:rFonts w:ascii="Arial" w:hAnsi="Arial" w:cs="Arial"/>
          <w:color w:val="000000"/>
          <w:sz w:val="22"/>
          <w:szCs w:val="22"/>
        </w:rPr>
        <w:t xml:space="preserve">: </w:t>
      </w:r>
      <w:r w:rsidR="009670DB" w:rsidRPr="003E5ED2">
        <w:rPr>
          <w:rFonts w:ascii="Arial" w:hAnsi="Arial" w:cs="Arial"/>
          <w:color w:val="000000"/>
          <w:sz w:val="22"/>
          <w:szCs w:val="22"/>
        </w:rPr>
        <w:t>kapitalne donacije za gradnju i obnovu građevinskih objekata</w:t>
      </w:r>
      <w:r w:rsidR="00946552" w:rsidRPr="003E5ED2">
        <w:rPr>
          <w:rFonts w:ascii="Arial" w:hAnsi="Arial" w:cs="Arial"/>
          <w:color w:val="000000"/>
          <w:sz w:val="22"/>
          <w:szCs w:val="22"/>
        </w:rPr>
        <w:t xml:space="preserve"> zaštite i očuvanja kulturnih dobara</w:t>
      </w:r>
      <w:r w:rsidR="00251C2F" w:rsidRPr="003E5ED2">
        <w:rPr>
          <w:rFonts w:ascii="Arial" w:hAnsi="Arial" w:cs="Arial"/>
          <w:color w:val="000000"/>
          <w:sz w:val="22"/>
          <w:szCs w:val="22"/>
        </w:rPr>
        <w:t xml:space="preserve">, pročelja, sufinanciranje krovnih </w:t>
      </w:r>
      <w:proofErr w:type="spellStart"/>
      <w:r w:rsidR="00251C2F" w:rsidRPr="003E5ED2">
        <w:rPr>
          <w:rFonts w:ascii="Arial" w:hAnsi="Arial" w:cs="Arial"/>
          <w:color w:val="000000"/>
          <w:sz w:val="22"/>
          <w:szCs w:val="22"/>
        </w:rPr>
        <w:t>fotonaponskih</w:t>
      </w:r>
      <w:proofErr w:type="spellEnd"/>
      <w:r w:rsidR="00251C2F" w:rsidRPr="003E5ED2">
        <w:rPr>
          <w:rFonts w:ascii="Arial" w:hAnsi="Arial" w:cs="Arial"/>
          <w:color w:val="000000"/>
          <w:sz w:val="22"/>
          <w:szCs w:val="22"/>
        </w:rPr>
        <w:t xml:space="preserve"> elektrana na obiteljskim kućama</w:t>
      </w:r>
      <w:r w:rsidR="000D5E24" w:rsidRPr="003E5ED2">
        <w:rPr>
          <w:rFonts w:ascii="Arial" w:hAnsi="Arial" w:cs="Arial"/>
          <w:color w:val="000000"/>
          <w:sz w:val="22"/>
          <w:szCs w:val="22"/>
        </w:rPr>
        <w:t>.</w:t>
      </w:r>
      <w:r w:rsidR="00385E69" w:rsidRPr="003E5ED2">
        <w:rPr>
          <w:rFonts w:ascii="Arial" w:hAnsi="Arial" w:cs="Arial"/>
          <w:color w:val="000000"/>
          <w:sz w:val="22"/>
          <w:szCs w:val="22"/>
        </w:rPr>
        <w:t xml:space="preserve"> </w:t>
      </w:r>
      <w:r w:rsidR="000D5E24" w:rsidRPr="003E5ED2">
        <w:rPr>
          <w:rFonts w:ascii="Arial" w:hAnsi="Arial" w:cs="Arial"/>
          <w:color w:val="000000"/>
          <w:sz w:val="22"/>
          <w:szCs w:val="22"/>
        </w:rPr>
        <w:t>P</w:t>
      </w:r>
      <w:r w:rsidRPr="003E5ED2">
        <w:rPr>
          <w:rFonts w:ascii="Arial" w:hAnsi="Arial" w:cs="Arial"/>
          <w:color w:val="000000"/>
          <w:sz w:val="22"/>
          <w:szCs w:val="22"/>
        </w:rPr>
        <w:t xml:space="preserve">orast </w:t>
      </w:r>
      <w:r w:rsidR="000D5E24" w:rsidRPr="003E5ED2">
        <w:rPr>
          <w:rFonts w:ascii="Arial" w:hAnsi="Arial" w:cs="Arial"/>
          <w:color w:val="000000"/>
          <w:sz w:val="22"/>
          <w:szCs w:val="22"/>
        </w:rPr>
        <w:t xml:space="preserve">rashoda </w:t>
      </w:r>
      <w:r w:rsidRPr="003E5ED2">
        <w:rPr>
          <w:rFonts w:ascii="Arial" w:hAnsi="Arial" w:cs="Arial"/>
          <w:color w:val="000000"/>
          <w:sz w:val="22"/>
          <w:szCs w:val="22"/>
        </w:rPr>
        <w:t xml:space="preserve">od 14,4% </w:t>
      </w:r>
      <w:r w:rsidR="000D5E24" w:rsidRPr="003E5ED2">
        <w:rPr>
          <w:rFonts w:ascii="Arial" w:hAnsi="Arial" w:cs="Arial"/>
          <w:color w:val="000000"/>
          <w:sz w:val="22"/>
          <w:szCs w:val="22"/>
        </w:rPr>
        <w:t xml:space="preserve">bilježi se </w:t>
      </w:r>
      <w:r w:rsidR="00385E69" w:rsidRPr="003E5ED2">
        <w:rPr>
          <w:rFonts w:ascii="Arial" w:hAnsi="Arial" w:cs="Arial"/>
          <w:color w:val="000000"/>
          <w:sz w:val="22"/>
          <w:szCs w:val="22"/>
        </w:rPr>
        <w:t xml:space="preserve">kod </w:t>
      </w:r>
      <w:r w:rsidRPr="003E5ED2">
        <w:rPr>
          <w:rFonts w:ascii="Arial" w:hAnsi="Arial" w:cs="Arial"/>
          <w:color w:val="000000"/>
          <w:sz w:val="22"/>
          <w:szCs w:val="22"/>
        </w:rPr>
        <w:t xml:space="preserve">danih </w:t>
      </w:r>
      <w:r w:rsidR="00385E69" w:rsidRPr="003E5ED2">
        <w:rPr>
          <w:rFonts w:ascii="Arial" w:hAnsi="Arial" w:cs="Arial"/>
          <w:color w:val="000000"/>
          <w:sz w:val="22"/>
          <w:szCs w:val="22"/>
        </w:rPr>
        <w:t>kapitalnih pomoći trgova</w:t>
      </w:r>
      <w:r w:rsidR="00222E2E" w:rsidRPr="003E5ED2">
        <w:rPr>
          <w:rFonts w:ascii="Arial" w:hAnsi="Arial" w:cs="Arial"/>
          <w:color w:val="000000"/>
          <w:sz w:val="22"/>
          <w:szCs w:val="22"/>
        </w:rPr>
        <w:t>čkim društvima u javnom sektoru</w:t>
      </w:r>
      <w:r w:rsidR="00946552" w:rsidRPr="003E5ED2">
        <w:rPr>
          <w:rFonts w:ascii="Arial" w:hAnsi="Arial" w:cs="Arial"/>
          <w:color w:val="000000"/>
          <w:sz w:val="22"/>
          <w:szCs w:val="22"/>
        </w:rPr>
        <w:t xml:space="preserve"> </w:t>
      </w:r>
      <w:r w:rsidR="00222E2E" w:rsidRPr="003E5ED2">
        <w:rPr>
          <w:rFonts w:ascii="Arial" w:hAnsi="Arial" w:cs="Arial"/>
          <w:color w:val="000000"/>
          <w:sz w:val="22"/>
          <w:szCs w:val="22"/>
        </w:rPr>
        <w:t>(3861)</w:t>
      </w:r>
      <w:r w:rsidR="000D5E24" w:rsidRPr="003E5ED2">
        <w:rPr>
          <w:rFonts w:ascii="Arial" w:hAnsi="Arial" w:cs="Arial"/>
          <w:color w:val="000000"/>
          <w:sz w:val="22"/>
          <w:szCs w:val="22"/>
        </w:rPr>
        <w:t>.</w:t>
      </w:r>
      <w:r w:rsidR="00B724CC" w:rsidRPr="003E5ED2">
        <w:rPr>
          <w:rFonts w:ascii="Arial" w:hAnsi="Arial" w:cs="Arial"/>
          <w:color w:val="000000"/>
          <w:sz w:val="22"/>
          <w:szCs w:val="22"/>
        </w:rPr>
        <w:t xml:space="preserve"> </w:t>
      </w:r>
    </w:p>
    <w:p w:rsidR="00624B85" w:rsidRPr="003E5ED2" w:rsidRDefault="00A00FC0" w:rsidP="000E69DA">
      <w:pPr>
        <w:jc w:val="both"/>
        <w:rPr>
          <w:rFonts w:ascii="Arial" w:hAnsi="Arial" w:cs="Arial"/>
          <w:color w:val="000000"/>
          <w:sz w:val="22"/>
          <w:szCs w:val="22"/>
        </w:rPr>
      </w:pPr>
      <w:r w:rsidRPr="003E5ED2">
        <w:rPr>
          <w:rFonts w:ascii="Arial" w:hAnsi="Arial" w:cs="Arial"/>
          <w:color w:val="000000"/>
          <w:sz w:val="22"/>
          <w:szCs w:val="22"/>
        </w:rPr>
        <w:t>Dane k</w:t>
      </w:r>
      <w:r w:rsidR="00420716" w:rsidRPr="003E5ED2">
        <w:rPr>
          <w:rFonts w:ascii="Arial" w:hAnsi="Arial" w:cs="Arial"/>
          <w:color w:val="000000"/>
          <w:sz w:val="22"/>
          <w:szCs w:val="22"/>
        </w:rPr>
        <w:t>apitalne</w:t>
      </w:r>
      <w:r w:rsidR="00624B85" w:rsidRPr="003E5ED2">
        <w:rPr>
          <w:rFonts w:ascii="Arial" w:hAnsi="Arial" w:cs="Arial"/>
          <w:color w:val="000000"/>
          <w:sz w:val="22"/>
          <w:szCs w:val="22"/>
        </w:rPr>
        <w:t xml:space="preserve"> donacij</w:t>
      </w:r>
      <w:r w:rsidRPr="003E5ED2">
        <w:rPr>
          <w:rFonts w:ascii="Arial" w:hAnsi="Arial" w:cs="Arial"/>
          <w:color w:val="000000"/>
          <w:sz w:val="22"/>
          <w:szCs w:val="22"/>
        </w:rPr>
        <w:t>e</w:t>
      </w:r>
      <w:r w:rsidR="00624B85" w:rsidRPr="003E5ED2">
        <w:rPr>
          <w:rFonts w:ascii="Arial" w:hAnsi="Arial" w:cs="Arial"/>
          <w:color w:val="000000"/>
          <w:sz w:val="22"/>
          <w:szCs w:val="22"/>
        </w:rPr>
        <w:t xml:space="preserve"> neprofitnim organizacijama</w:t>
      </w:r>
      <w:r w:rsidR="00420716" w:rsidRPr="003E5ED2">
        <w:rPr>
          <w:rFonts w:ascii="Arial" w:hAnsi="Arial" w:cs="Arial"/>
          <w:color w:val="000000"/>
          <w:sz w:val="22"/>
          <w:szCs w:val="22"/>
        </w:rPr>
        <w:t xml:space="preserve"> (3821) bilježe</w:t>
      </w:r>
      <w:r w:rsidR="004F1CCB" w:rsidRPr="003E5ED2">
        <w:rPr>
          <w:rFonts w:ascii="Arial" w:hAnsi="Arial" w:cs="Arial"/>
          <w:color w:val="000000"/>
          <w:sz w:val="22"/>
          <w:szCs w:val="22"/>
        </w:rPr>
        <w:t xml:space="preserve"> pad od 54,6% u odnosu na isto razdoblje </w:t>
      </w:r>
      <w:r w:rsidR="00420716" w:rsidRPr="003E5ED2">
        <w:rPr>
          <w:rFonts w:ascii="Arial" w:hAnsi="Arial" w:cs="Arial"/>
          <w:color w:val="000000"/>
          <w:sz w:val="22"/>
          <w:szCs w:val="22"/>
        </w:rPr>
        <w:t>prethodne godine.</w:t>
      </w:r>
    </w:p>
    <w:p w:rsidR="00CF6E47" w:rsidRPr="003E5ED2" w:rsidRDefault="00CF6E47" w:rsidP="003A42B4">
      <w:pPr>
        <w:tabs>
          <w:tab w:val="left" w:pos="284"/>
          <w:tab w:val="left" w:pos="567"/>
          <w:tab w:val="left" w:pos="851"/>
        </w:tabs>
        <w:jc w:val="both"/>
        <w:rPr>
          <w:rFonts w:ascii="Arial" w:hAnsi="Arial" w:cs="Arial"/>
          <w:b/>
          <w:sz w:val="22"/>
          <w:szCs w:val="22"/>
        </w:rPr>
      </w:pPr>
    </w:p>
    <w:p w:rsidR="00746039" w:rsidRPr="003E5ED2" w:rsidRDefault="00746039" w:rsidP="003A42B4">
      <w:pPr>
        <w:tabs>
          <w:tab w:val="left" w:pos="284"/>
          <w:tab w:val="left" w:pos="567"/>
          <w:tab w:val="left" w:pos="851"/>
        </w:tabs>
        <w:jc w:val="both"/>
        <w:rPr>
          <w:rFonts w:ascii="Arial" w:hAnsi="Arial" w:cs="Arial"/>
          <w:b/>
          <w:sz w:val="22"/>
          <w:szCs w:val="22"/>
        </w:rPr>
      </w:pPr>
    </w:p>
    <w:p w:rsidR="000E69DA" w:rsidRPr="003E5ED2" w:rsidRDefault="000E69DA" w:rsidP="003A42B4">
      <w:pPr>
        <w:tabs>
          <w:tab w:val="left" w:pos="284"/>
          <w:tab w:val="left" w:pos="567"/>
          <w:tab w:val="left" w:pos="851"/>
        </w:tabs>
        <w:jc w:val="both"/>
        <w:rPr>
          <w:rFonts w:ascii="Arial" w:hAnsi="Arial" w:cs="Arial"/>
          <w:b/>
          <w:sz w:val="22"/>
          <w:szCs w:val="22"/>
        </w:rPr>
      </w:pPr>
      <w:r w:rsidRPr="003E5ED2">
        <w:rPr>
          <w:rFonts w:ascii="Arial" w:hAnsi="Arial" w:cs="Arial"/>
          <w:b/>
          <w:sz w:val="22"/>
          <w:szCs w:val="22"/>
        </w:rPr>
        <w:t>Bilješka broj 1</w:t>
      </w:r>
      <w:r w:rsidR="00B02DC9" w:rsidRPr="003E5ED2">
        <w:rPr>
          <w:rFonts w:ascii="Arial" w:hAnsi="Arial" w:cs="Arial"/>
          <w:b/>
          <w:sz w:val="22"/>
          <w:szCs w:val="22"/>
        </w:rPr>
        <w:t>4</w:t>
      </w:r>
      <w:r w:rsidR="00EC0558" w:rsidRPr="003E5ED2">
        <w:rPr>
          <w:rFonts w:ascii="Arial" w:hAnsi="Arial" w:cs="Arial"/>
          <w:b/>
          <w:sz w:val="22"/>
          <w:szCs w:val="22"/>
        </w:rPr>
        <w:t xml:space="preserve"> – </w:t>
      </w:r>
      <w:r w:rsidR="00C14104" w:rsidRPr="003E5ED2">
        <w:rPr>
          <w:rFonts w:ascii="Arial" w:hAnsi="Arial" w:cs="Arial"/>
          <w:b/>
          <w:sz w:val="22"/>
          <w:szCs w:val="22"/>
        </w:rPr>
        <w:t>7</w:t>
      </w:r>
      <w:r w:rsidRPr="003E5ED2">
        <w:rPr>
          <w:rFonts w:ascii="Arial" w:hAnsi="Arial" w:cs="Arial"/>
          <w:b/>
          <w:sz w:val="22"/>
          <w:szCs w:val="22"/>
        </w:rPr>
        <w:t xml:space="preserve">  PRIHODI OD PRODAJE NEFINANCIJSKE IMOVINE</w:t>
      </w:r>
    </w:p>
    <w:p w:rsidR="000E69DA" w:rsidRPr="003E5ED2" w:rsidRDefault="000E69DA" w:rsidP="000E69DA">
      <w:pPr>
        <w:jc w:val="both"/>
        <w:rPr>
          <w:rFonts w:ascii="Arial" w:hAnsi="Arial" w:cs="Arial"/>
          <w:sz w:val="22"/>
          <w:szCs w:val="22"/>
        </w:rPr>
      </w:pPr>
    </w:p>
    <w:p w:rsidR="000E69DA" w:rsidRPr="003E5ED2" w:rsidRDefault="000E69DA" w:rsidP="000E69DA">
      <w:pPr>
        <w:jc w:val="both"/>
        <w:rPr>
          <w:rFonts w:ascii="Arial" w:hAnsi="Arial" w:cs="Arial"/>
          <w:sz w:val="22"/>
          <w:szCs w:val="22"/>
        </w:rPr>
      </w:pPr>
      <w:r w:rsidRPr="003E5ED2">
        <w:rPr>
          <w:rFonts w:ascii="Arial" w:hAnsi="Arial" w:cs="Arial"/>
          <w:b/>
          <w:sz w:val="22"/>
          <w:szCs w:val="22"/>
        </w:rPr>
        <w:t>Prihodi od prodaj</w:t>
      </w:r>
      <w:r w:rsidR="00BA28AD" w:rsidRPr="003E5ED2">
        <w:rPr>
          <w:rFonts w:ascii="Arial" w:hAnsi="Arial" w:cs="Arial"/>
          <w:b/>
          <w:sz w:val="22"/>
          <w:szCs w:val="22"/>
        </w:rPr>
        <w:t>e nefinancijske imovine (</w:t>
      </w:r>
      <w:r w:rsidR="00624B85" w:rsidRPr="003E5ED2">
        <w:rPr>
          <w:rFonts w:ascii="Arial" w:hAnsi="Arial" w:cs="Arial"/>
          <w:b/>
          <w:sz w:val="22"/>
          <w:szCs w:val="22"/>
        </w:rPr>
        <w:t>7</w:t>
      </w:r>
      <w:r w:rsidRPr="003E5ED2">
        <w:rPr>
          <w:rFonts w:ascii="Arial" w:hAnsi="Arial" w:cs="Arial"/>
          <w:b/>
          <w:sz w:val="22"/>
          <w:szCs w:val="22"/>
        </w:rPr>
        <w:t>)</w:t>
      </w:r>
      <w:r w:rsidRPr="003E5ED2">
        <w:rPr>
          <w:rFonts w:ascii="Arial" w:hAnsi="Arial" w:cs="Arial"/>
          <w:sz w:val="22"/>
          <w:szCs w:val="22"/>
        </w:rPr>
        <w:t xml:space="preserve"> ostvareni su u iznosu </w:t>
      </w:r>
      <w:r w:rsidR="00911EB0" w:rsidRPr="003E5ED2">
        <w:rPr>
          <w:rFonts w:ascii="Arial" w:hAnsi="Arial" w:cs="Arial"/>
          <w:sz w:val="22"/>
          <w:szCs w:val="22"/>
        </w:rPr>
        <w:t>5.490.679,81</w:t>
      </w:r>
      <w:r w:rsidR="00B724CC" w:rsidRPr="003E5ED2">
        <w:rPr>
          <w:rFonts w:ascii="Arial" w:hAnsi="Arial" w:cs="Arial"/>
          <w:sz w:val="22"/>
          <w:szCs w:val="22"/>
        </w:rPr>
        <w:t xml:space="preserve"> eura</w:t>
      </w:r>
      <w:r w:rsidRPr="003E5ED2">
        <w:rPr>
          <w:rFonts w:ascii="Arial" w:hAnsi="Arial" w:cs="Arial"/>
          <w:sz w:val="22"/>
          <w:szCs w:val="22"/>
        </w:rPr>
        <w:t xml:space="preserve"> što u odnosu na prethod</w:t>
      </w:r>
      <w:r w:rsidR="00C72072" w:rsidRPr="003E5ED2">
        <w:rPr>
          <w:rFonts w:ascii="Arial" w:hAnsi="Arial" w:cs="Arial"/>
          <w:sz w:val="22"/>
          <w:szCs w:val="22"/>
        </w:rPr>
        <w:t xml:space="preserve">nu godinu, čini </w:t>
      </w:r>
      <w:r w:rsidR="00911EB0" w:rsidRPr="003E5ED2">
        <w:rPr>
          <w:rFonts w:ascii="Arial" w:hAnsi="Arial" w:cs="Arial"/>
          <w:sz w:val="22"/>
          <w:szCs w:val="22"/>
        </w:rPr>
        <w:t>povećanje</w:t>
      </w:r>
      <w:r w:rsidRPr="003E5ED2">
        <w:rPr>
          <w:rFonts w:ascii="Arial" w:hAnsi="Arial" w:cs="Arial"/>
          <w:sz w:val="22"/>
          <w:szCs w:val="22"/>
        </w:rPr>
        <w:t xml:space="preserve"> za </w:t>
      </w:r>
      <w:r w:rsidR="00911EB0" w:rsidRPr="003E5ED2">
        <w:rPr>
          <w:rFonts w:ascii="Arial" w:hAnsi="Arial" w:cs="Arial"/>
          <w:sz w:val="22"/>
          <w:szCs w:val="22"/>
        </w:rPr>
        <w:t>1.018.792,21</w:t>
      </w:r>
      <w:r w:rsidR="00BA28AD" w:rsidRPr="003E5ED2">
        <w:rPr>
          <w:rFonts w:ascii="Arial" w:hAnsi="Arial" w:cs="Arial"/>
          <w:sz w:val="22"/>
          <w:szCs w:val="22"/>
        </w:rPr>
        <w:t xml:space="preserve"> ili </w:t>
      </w:r>
      <w:r w:rsidR="00911EB0" w:rsidRPr="003E5ED2">
        <w:rPr>
          <w:rFonts w:ascii="Arial" w:hAnsi="Arial" w:cs="Arial"/>
          <w:sz w:val="22"/>
          <w:szCs w:val="22"/>
        </w:rPr>
        <w:t>22,8</w:t>
      </w:r>
      <w:r w:rsidRPr="003E5ED2">
        <w:rPr>
          <w:rFonts w:ascii="Arial" w:hAnsi="Arial" w:cs="Arial"/>
          <w:sz w:val="22"/>
          <w:szCs w:val="22"/>
        </w:rPr>
        <w:t>%. Ovi prihodi odnose se na ostvarene prihode od prodaje</w:t>
      </w:r>
      <w:r w:rsidR="008F0877" w:rsidRPr="003E5ED2">
        <w:rPr>
          <w:rFonts w:ascii="Arial" w:hAnsi="Arial" w:cs="Arial"/>
          <w:sz w:val="22"/>
          <w:szCs w:val="22"/>
        </w:rPr>
        <w:t xml:space="preserve"> zemljišta, prihode od naknada za pravo</w:t>
      </w:r>
      <w:r w:rsidRPr="003E5ED2">
        <w:rPr>
          <w:rFonts w:ascii="Arial" w:hAnsi="Arial" w:cs="Arial"/>
          <w:sz w:val="22"/>
          <w:szCs w:val="22"/>
        </w:rPr>
        <w:t xml:space="preserve"> građenja te od prodaje stanova i poslovnih prostora.</w:t>
      </w:r>
    </w:p>
    <w:p w:rsidR="000E69DA" w:rsidRPr="003E5ED2" w:rsidRDefault="000E69DA" w:rsidP="000E69DA">
      <w:pPr>
        <w:jc w:val="both"/>
        <w:rPr>
          <w:rFonts w:ascii="Arial" w:hAnsi="Arial" w:cs="Arial"/>
          <w:sz w:val="22"/>
          <w:szCs w:val="22"/>
        </w:rPr>
      </w:pPr>
    </w:p>
    <w:p w:rsidR="00435AFD" w:rsidRPr="003E5ED2" w:rsidRDefault="000E69DA" w:rsidP="000E69DA">
      <w:pPr>
        <w:jc w:val="both"/>
        <w:rPr>
          <w:rFonts w:ascii="Arial" w:hAnsi="Arial" w:cs="Arial"/>
          <w:sz w:val="22"/>
          <w:szCs w:val="22"/>
        </w:rPr>
      </w:pPr>
      <w:r w:rsidRPr="003E5ED2">
        <w:rPr>
          <w:rFonts w:ascii="Arial" w:hAnsi="Arial" w:cs="Arial"/>
          <w:i/>
          <w:sz w:val="22"/>
          <w:szCs w:val="22"/>
          <w:u w:val="single"/>
        </w:rPr>
        <w:t>Prihodi od prodaj</w:t>
      </w:r>
      <w:r w:rsidR="00BA28AD" w:rsidRPr="003E5ED2">
        <w:rPr>
          <w:rFonts w:ascii="Arial" w:hAnsi="Arial" w:cs="Arial"/>
          <w:i/>
          <w:sz w:val="22"/>
          <w:szCs w:val="22"/>
          <w:u w:val="single"/>
        </w:rPr>
        <w:t xml:space="preserve">e </w:t>
      </w:r>
      <w:proofErr w:type="spellStart"/>
      <w:r w:rsidR="00BA28AD" w:rsidRPr="003E5ED2">
        <w:rPr>
          <w:rFonts w:ascii="Arial" w:hAnsi="Arial" w:cs="Arial"/>
          <w:i/>
          <w:sz w:val="22"/>
          <w:szCs w:val="22"/>
          <w:u w:val="single"/>
        </w:rPr>
        <w:t>neproizvedene</w:t>
      </w:r>
      <w:proofErr w:type="spellEnd"/>
      <w:r w:rsidR="00BA28AD" w:rsidRPr="003E5ED2">
        <w:rPr>
          <w:rFonts w:ascii="Arial" w:hAnsi="Arial" w:cs="Arial"/>
          <w:i/>
          <w:sz w:val="22"/>
          <w:szCs w:val="22"/>
          <w:u w:val="single"/>
        </w:rPr>
        <w:t xml:space="preserve"> </w:t>
      </w:r>
      <w:r w:rsidR="001A69B4" w:rsidRPr="003E5ED2">
        <w:rPr>
          <w:rFonts w:ascii="Arial" w:hAnsi="Arial" w:cs="Arial"/>
          <w:i/>
          <w:sz w:val="22"/>
          <w:szCs w:val="22"/>
          <w:u w:val="single"/>
        </w:rPr>
        <w:t xml:space="preserve">dugotrajne </w:t>
      </w:r>
      <w:r w:rsidR="00BA28AD" w:rsidRPr="003E5ED2">
        <w:rPr>
          <w:rFonts w:ascii="Arial" w:hAnsi="Arial" w:cs="Arial"/>
          <w:i/>
          <w:sz w:val="22"/>
          <w:szCs w:val="22"/>
          <w:u w:val="single"/>
        </w:rPr>
        <w:t>imovine (</w:t>
      </w:r>
      <w:r w:rsidR="00C14104" w:rsidRPr="003E5ED2">
        <w:rPr>
          <w:rFonts w:ascii="Arial" w:hAnsi="Arial" w:cs="Arial"/>
          <w:i/>
          <w:sz w:val="22"/>
          <w:szCs w:val="22"/>
          <w:u w:val="single"/>
        </w:rPr>
        <w:t>71</w:t>
      </w:r>
      <w:r w:rsidRPr="003E5ED2">
        <w:rPr>
          <w:rFonts w:ascii="Arial" w:hAnsi="Arial" w:cs="Arial"/>
          <w:i/>
          <w:sz w:val="22"/>
          <w:szCs w:val="22"/>
          <w:u w:val="single"/>
        </w:rPr>
        <w:t>)</w:t>
      </w:r>
      <w:r w:rsidRPr="003E5ED2">
        <w:rPr>
          <w:rFonts w:ascii="Arial" w:hAnsi="Arial" w:cs="Arial"/>
          <w:sz w:val="22"/>
          <w:szCs w:val="22"/>
        </w:rPr>
        <w:t xml:space="preserve"> ostvareni su u iznosu </w:t>
      </w:r>
      <w:r w:rsidR="00911EB0" w:rsidRPr="003E5ED2">
        <w:rPr>
          <w:rFonts w:ascii="Arial" w:hAnsi="Arial" w:cs="Arial"/>
          <w:sz w:val="22"/>
          <w:szCs w:val="22"/>
        </w:rPr>
        <w:t>2.733.211,99</w:t>
      </w:r>
      <w:r w:rsidR="00716C00" w:rsidRPr="003E5ED2">
        <w:rPr>
          <w:rFonts w:ascii="Arial" w:hAnsi="Arial" w:cs="Arial"/>
          <w:sz w:val="22"/>
          <w:szCs w:val="22"/>
        </w:rPr>
        <w:t xml:space="preserve"> eura</w:t>
      </w:r>
      <w:r w:rsidR="00C97B5C" w:rsidRPr="003E5ED2">
        <w:rPr>
          <w:rFonts w:ascii="Arial" w:hAnsi="Arial" w:cs="Arial"/>
          <w:sz w:val="22"/>
          <w:szCs w:val="22"/>
        </w:rPr>
        <w:t xml:space="preserve">, </w:t>
      </w:r>
      <w:r w:rsidR="00911EB0" w:rsidRPr="003E5ED2">
        <w:rPr>
          <w:rFonts w:ascii="Arial" w:hAnsi="Arial" w:cs="Arial"/>
          <w:sz w:val="22"/>
          <w:szCs w:val="22"/>
        </w:rPr>
        <w:t>32</w:t>
      </w:r>
      <w:r w:rsidRPr="003E5ED2">
        <w:rPr>
          <w:rFonts w:ascii="Arial" w:hAnsi="Arial" w:cs="Arial"/>
          <w:sz w:val="22"/>
          <w:szCs w:val="22"/>
        </w:rPr>
        <w:t xml:space="preserve">% </w:t>
      </w:r>
      <w:r w:rsidR="00911EB0" w:rsidRPr="003E5ED2">
        <w:rPr>
          <w:rFonts w:ascii="Arial" w:hAnsi="Arial" w:cs="Arial"/>
          <w:sz w:val="22"/>
          <w:szCs w:val="22"/>
        </w:rPr>
        <w:t>više</w:t>
      </w:r>
      <w:r w:rsidR="00C97B5C" w:rsidRPr="003E5ED2">
        <w:rPr>
          <w:rFonts w:ascii="Arial" w:hAnsi="Arial" w:cs="Arial"/>
          <w:sz w:val="22"/>
          <w:szCs w:val="22"/>
        </w:rPr>
        <w:t xml:space="preserve"> </w:t>
      </w:r>
      <w:r w:rsidRPr="003E5ED2">
        <w:rPr>
          <w:rFonts w:ascii="Arial" w:hAnsi="Arial" w:cs="Arial"/>
          <w:sz w:val="22"/>
          <w:szCs w:val="22"/>
        </w:rPr>
        <w:t>u odnosu na prethodnu godinu. Najznačajniji prihod</w:t>
      </w:r>
      <w:r w:rsidR="00B5691D" w:rsidRPr="003E5ED2">
        <w:rPr>
          <w:rFonts w:ascii="Arial" w:hAnsi="Arial" w:cs="Arial"/>
          <w:sz w:val="22"/>
          <w:szCs w:val="22"/>
        </w:rPr>
        <w:t>i</w:t>
      </w:r>
      <w:r w:rsidRPr="003E5ED2">
        <w:rPr>
          <w:rFonts w:ascii="Arial" w:hAnsi="Arial" w:cs="Arial"/>
          <w:sz w:val="22"/>
          <w:szCs w:val="22"/>
        </w:rPr>
        <w:t xml:space="preserve"> u ovoj podskupini</w:t>
      </w:r>
      <w:r w:rsidR="00B5691D" w:rsidRPr="003E5ED2">
        <w:rPr>
          <w:rFonts w:ascii="Arial" w:hAnsi="Arial" w:cs="Arial"/>
          <w:sz w:val="22"/>
          <w:szCs w:val="22"/>
        </w:rPr>
        <w:t xml:space="preserve"> </w:t>
      </w:r>
      <w:r w:rsidR="006816C8" w:rsidRPr="003E5ED2">
        <w:rPr>
          <w:rFonts w:ascii="Arial" w:hAnsi="Arial" w:cs="Arial"/>
          <w:sz w:val="22"/>
          <w:szCs w:val="22"/>
        </w:rPr>
        <w:t xml:space="preserve">ostvareni su </w:t>
      </w:r>
      <w:r w:rsidR="00716C00" w:rsidRPr="003E5ED2">
        <w:rPr>
          <w:rFonts w:ascii="Arial" w:hAnsi="Arial" w:cs="Arial"/>
          <w:sz w:val="22"/>
          <w:szCs w:val="22"/>
        </w:rPr>
        <w:t xml:space="preserve">po osnovi </w:t>
      </w:r>
      <w:r w:rsidR="000B4516" w:rsidRPr="003E5ED2">
        <w:rPr>
          <w:rFonts w:ascii="Arial" w:hAnsi="Arial" w:cs="Arial"/>
          <w:sz w:val="22"/>
          <w:szCs w:val="22"/>
        </w:rPr>
        <w:t xml:space="preserve">prodaje </w:t>
      </w:r>
      <w:r w:rsidR="00716C00" w:rsidRPr="003E5ED2">
        <w:rPr>
          <w:rFonts w:ascii="Arial" w:hAnsi="Arial" w:cs="Arial"/>
          <w:sz w:val="22"/>
          <w:szCs w:val="22"/>
        </w:rPr>
        <w:t xml:space="preserve">građevinskog zemljišta radi izgradnje Kompleksa Žabica </w:t>
      </w:r>
      <w:r w:rsidR="00AF33E0" w:rsidRPr="003E5ED2">
        <w:rPr>
          <w:rFonts w:ascii="Arial" w:hAnsi="Arial" w:cs="Arial"/>
          <w:sz w:val="22"/>
          <w:szCs w:val="22"/>
        </w:rPr>
        <w:t xml:space="preserve">s ostvarenim prihodom od </w:t>
      </w:r>
      <w:r w:rsidR="00716C00" w:rsidRPr="003E5ED2">
        <w:rPr>
          <w:rFonts w:ascii="Arial" w:hAnsi="Arial" w:cs="Arial"/>
          <w:sz w:val="22"/>
          <w:szCs w:val="22"/>
        </w:rPr>
        <w:t xml:space="preserve"> </w:t>
      </w:r>
      <w:r w:rsidR="000B4516" w:rsidRPr="003E5ED2">
        <w:rPr>
          <w:rFonts w:ascii="Arial" w:hAnsi="Arial" w:cs="Arial"/>
          <w:sz w:val="22"/>
          <w:szCs w:val="22"/>
        </w:rPr>
        <w:t>1.830.979,49</w:t>
      </w:r>
      <w:r w:rsidR="00716C00" w:rsidRPr="003E5ED2">
        <w:rPr>
          <w:rFonts w:ascii="Arial" w:hAnsi="Arial" w:cs="Arial"/>
          <w:sz w:val="22"/>
          <w:szCs w:val="22"/>
        </w:rPr>
        <w:t xml:space="preserve"> eura</w:t>
      </w:r>
      <w:r w:rsidR="00AF33E0" w:rsidRPr="003E5ED2">
        <w:rPr>
          <w:rFonts w:ascii="Arial" w:hAnsi="Arial" w:cs="Arial"/>
          <w:sz w:val="22"/>
          <w:szCs w:val="22"/>
        </w:rPr>
        <w:t xml:space="preserve"> u ovoj izvještajnoj godini.</w:t>
      </w:r>
      <w:r w:rsidR="006816C8" w:rsidRPr="003E5ED2">
        <w:rPr>
          <w:rFonts w:ascii="Arial" w:hAnsi="Arial" w:cs="Arial"/>
          <w:sz w:val="22"/>
          <w:szCs w:val="22"/>
        </w:rPr>
        <w:t xml:space="preserve"> </w:t>
      </w:r>
    </w:p>
    <w:p w:rsidR="00E96ED4" w:rsidRPr="003E5ED2" w:rsidRDefault="00E96ED4" w:rsidP="00D93521">
      <w:pPr>
        <w:jc w:val="both"/>
        <w:rPr>
          <w:rFonts w:ascii="Arial" w:hAnsi="Arial" w:cs="Arial"/>
          <w:i/>
          <w:sz w:val="22"/>
          <w:szCs w:val="22"/>
          <w:u w:val="single"/>
        </w:rPr>
      </w:pPr>
    </w:p>
    <w:p w:rsidR="00C14104" w:rsidRPr="003E5ED2" w:rsidRDefault="000E69DA" w:rsidP="00D93521">
      <w:pPr>
        <w:jc w:val="both"/>
        <w:rPr>
          <w:rFonts w:ascii="Arial" w:hAnsi="Arial" w:cs="Arial"/>
          <w:sz w:val="22"/>
          <w:szCs w:val="22"/>
        </w:rPr>
      </w:pPr>
      <w:r w:rsidRPr="003E5ED2">
        <w:rPr>
          <w:rFonts w:ascii="Arial" w:hAnsi="Arial" w:cs="Arial"/>
          <w:i/>
          <w:sz w:val="22"/>
          <w:szCs w:val="22"/>
          <w:u w:val="single"/>
        </w:rPr>
        <w:t xml:space="preserve">Prihodi od prodaje proizvedene </w:t>
      </w:r>
      <w:r w:rsidR="001C0CD4" w:rsidRPr="003E5ED2">
        <w:rPr>
          <w:rFonts w:ascii="Arial" w:hAnsi="Arial" w:cs="Arial"/>
          <w:i/>
          <w:sz w:val="22"/>
          <w:szCs w:val="22"/>
          <w:u w:val="single"/>
        </w:rPr>
        <w:t>dugotrajne imovine (</w:t>
      </w:r>
      <w:r w:rsidR="00C14104" w:rsidRPr="003E5ED2">
        <w:rPr>
          <w:rFonts w:ascii="Arial" w:hAnsi="Arial" w:cs="Arial"/>
          <w:i/>
          <w:sz w:val="22"/>
          <w:szCs w:val="22"/>
          <w:u w:val="single"/>
        </w:rPr>
        <w:t>72</w:t>
      </w:r>
      <w:r w:rsidRPr="003E5ED2">
        <w:rPr>
          <w:rFonts w:ascii="Arial" w:hAnsi="Arial" w:cs="Arial"/>
          <w:i/>
          <w:sz w:val="22"/>
          <w:szCs w:val="22"/>
          <w:u w:val="single"/>
        </w:rPr>
        <w:t>)</w:t>
      </w:r>
      <w:r w:rsidRPr="003E5ED2">
        <w:rPr>
          <w:rFonts w:ascii="Arial" w:hAnsi="Arial" w:cs="Arial"/>
          <w:sz w:val="22"/>
          <w:szCs w:val="22"/>
        </w:rPr>
        <w:t xml:space="preserve"> ostvareni su u iznosu </w:t>
      </w:r>
      <w:r w:rsidR="00911EB0" w:rsidRPr="003E5ED2">
        <w:rPr>
          <w:rFonts w:ascii="Arial" w:hAnsi="Arial" w:cs="Arial"/>
          <w:sz w:val="22"/>
          <w:szCs w:val="22"/>
        </w:rPr>
        <w:t>2.757.467,82</w:t>
      </w:r>
      <w:r w:rsidR="00B5691D" w:rsidRPr="003E5ED2">
        <w:rPr>
          <w:rFonts w:ascii="Arial" w:hAnsi="Arial" w:cs="Arial"/>
          <w:sz w:val="22"/>
          <w:szCs w:val="22"/>
        </w:rPr>
        <w:t xml:space="preserve"> eura </w:t>
      </w:r>
      <w:r w:rsidRPr="003E5ED2">
        <w:rPr>
          <w:rFonts w:ascii="Arial" w:hAnsi="Arial" w:cs="Arial"/>
          <w:sz w:val="22"/>
          <w:szCs w:val="22"/>
        </w:rPr>
        <w:t xml:space="preserve">što u odnosu na ostvarenje prošle godine čini </w:t>
      </w:r>
      <w:r w:rsidR="00B5691D" w:rsidRPr="003E5ED2">
        <w:rPr>
          <w:rFonts w:ascii="Arial" w:hAnsi="Arial" w:cs="Arial"/>
          <w:sz w:val="22"/>
          <w:szCs w:val="22"/>
        </w:rPr>
        <w:t xml:space="preserve">povećanje </w:t>
      </w:r>
      <w:r w:rsidRPr="003E5ED2">
        <w:rPr>
          <w:rFonts w:ascii="Arial" w:hAnsi="Arial" w:cs="Arial"/>
          <w:sz w:val="22"/>
          <w:szCs w:val="22"/>
        </w:rPr>
        <w:t xml:space="preserve">od </w:t>
      </w:r>
      <w:r w:rsidR="00911EB0" w:rsidRPr="003E5ED2">
        <w:rPr>
          <w:rFonts w:ascii="Arial" w:hAnsi="Arial" w:cs="Arial"/>
          <w:sz w:val="22"/>
          <w:szCs w:val="22"/>
        </w:rPr>
        <w:t>356.339,97</w:t>
      </w:r>
      <w:r w:rsidR="00B5691D" w:rsidRPr="003E5ED2">
        <w:rPr>
          <w:rFonts w:ascii="Arial" w:hAnsi="Arial" w:cs="Arial"/>
          <w:sz w:val="22"/>
          <w:szCs w:val="22"/>
        </w:rPr>
        <w:t xml:space="preserve"> eura</w:t>
      </w:r>
      <w:r w:rsidR="00BA28AD" w:rsidRPr="003E5ED2">
        <w:rPr>
          <w:rFonts w:ascii="Arial" w:hAnsi="Arial" w:cs="Arial"/>
          <w:sz w:val="22"/>
          <w:szCs w:val="22"/>
        </w:rPr>
        <w:t xml:space="preserve"> ili </w:t>
      </w:r>
      <w:r w:rsidR="00911EB0" w:rsidRPr="003E5ED2">
        <w:rPr>
          <w:rFonts w:ascii="Arial" w:hAnsi="Arial" w:cs="Arial"/>
          <w:sz w:val="22"/>
          <w:szCs w:val="22"/>
        </w:rPr>
        <w:t>14,9</w:t>
      </w:r>
      <w:r w:rsidR="00AE4C2C" w:rsidRPr="003E5ED2">
        <w:rPr>
          <w:rFonts w:ascii="Arial" w:hAnsi="Arial" w:cs="Arial"/>
          <w:sz w:val="22"/>
          <w:szCs w:val="22"/>
        </w:rPr>
        <w:t>%.</w:t>
      </w:r>
      <w:r w:rsidR="00BA28AD" w:rsidRPr="003E5ED2">
        <w:rPr>
          <w:rFonts w:ascii="Arial" w:hAnsi="Arial" w:cs="Arial"/>
          <w:sz w:val="22"/>
          <w:szCs w:val="22"/>
        </w:rPr>
        <w:t xml:space="preserve"> </w:t>
      </w:r>
      <w:r w:rsidR="00B5691D" w:rsidRPr="003E5ED2">
        <w:rPr>
          <w:rFonts w:ascii="Arial" w:hAnsi="Arial" w:cs="Arial"/>
          <w:sz w:val="22"/>
          <w:szCs w:val="22"/>
        </w:rPr>
        <w:t>Povećanje</w:t>
      </w:r>
      <w:r w:rsidR="00ED6501" w:rsidRPr="003E5ED2">
        <w:rPr>
          <w:rFonts w:ascii="Arial" w:hAnsi="Arial" w:cs="Arial"/>
          <w:sz w:val="22"/>
          <w:szCs w:val="22"/>
        </w:rPr>
        <w:t xml:space="preserve"> se bilježi kod prihoda od prodaje </w:t>
      </w:r>
      <w:r w:rsidR="00BA28AD" w:rsidRPr="003E5ED2">
        <w:rPr>
          <w:rFonts w:ascii="Arial" w:hAnsi="Arial" w:cs="Arial"/>
          <w:sz w:val="22"/>
          <w:szCs w:val="22"/>
        </w:rPr>
        <w:t>stambenih</w:t>
      </w:r>
      <w:r w:rsidR="00C14104" w:rsidRPr="003E5ED2">
        <w:rPr>
          <w:rFonts w:ascii="Arial" w:hAnsi="Arial" w:cs="Arial"/>
          <w:sz w:val="22"/>
          <w:szCs w:val="22"/>
        </w:rPr>
        <w:t xml:space="preserve"> i poslovnih</w:t>
      </w:r>
      <w:r w:rsidR="00BA28AD" w:rsidRPr="003E5ED2">
        <w:rPr>
          <w:rFonts w:ascii="Arial" w:hAnsi="Arial" w:cs="Arial"/>
          <w:sz w:val="22"/>
          <w:szCs w:val="22"/>
        </w:rPr>
        <w:t xml:space="preserve"> objekata</w:t>
      </w:r>
      <w:r w:rsidR="00AC7D96" w:rsidRPr="003E5ED2">
        <w:rPr>
          <w:rFonts w:ascii="Arial" w:hAnsi="Arial" w:cs="Arial"/>
          <w:sz w:val="22"/>
          <w:szCs w:val="22"/>
        </w:rPr>
        <w:t>.</w:t>
      </w:r>
      <w:r w:rsidR="00067375" w:rsidRPr="003E5ED2">
        <w:rPr>
          <w:rFonts w:ascii="Arial" w:hAnsi="Arial" w:cs="Arial"/>
          <w:sz w:val="22"/>
          <w:szCs w:val="22"/>
        </w:rPr>
        <w:t xml:space="preserve"> </w:t>
      </w:r>
    </w:p>
    <w:p w:rsidR="002677ED" w:rsidRPr="003E5ED2" w:rsidRDefault="002677ED" w:rsidP="00D93521">
      <w:pPr>
        <w:jc w:val="both"/>
        <w:rPr>
          <w:rFonts w:ascii="Arial" w:hAnsi="Arial" w:cs="Arial"/>
          <w:sz w:val="22"/>
          <w:szCs w:val="22"/>
        </w:rPr>
      </w:pPr>
    </w:p>
    <w:p w:rsidR="000E69DA" w:rsidRPr="003E5ED2" w:rsidRDefault="009F3513" w:rsidP="00D93521">
      <w:pPr>
        <w:jc w:val="both"/>
        <w:rPr>
          <w:rFonts w:ascii="Arial" w:hAnsi="Arial" w:cs="Arial"/>
          <w:sz w:val="22"/>
          <w:szCs w:val="22"/>
        </w:rPr>
      </w:pPr>
      <w:r w:rsidRPr="003E5ED2">
        <w:rPr>
          <w:rFonts w:ascii="Arial" w:hAnsi="Arial" w:cs="Arial"/>
          <w:sz w:val="22"/>
          <w:szCs w:val="22"/>
        </w:rPr>
        <w:t xml:space="preserve"> </w:t>
      </w:r>
    </w:p>
    <w:p w:rsidR="000E69DA" w:rsidRPr="003E5ED2" w:rsidRDefault="000E69DA" w:rsidP="000E69DA">
      <w:pPr>
        <w:tabs>
          <w:tab w:val="left" w:pos="284"/>
          <w:tab w:val="left" w:pos="567"/>
          <w:tab w:val="left" w:pos="851"/>
        </w:tabs>
        <w:ind w:left="1440" w:hanging="1440"/>
        <w:jc w:val="both"/>
        <w:rPr>
          <w:rFonts w:ascii="Arial" w:hAnsi="Arial" w:cs="Arial"/>
          <w:b/>
          <w:sz w:val="22"/>
          <w:szCs w:val="22"/>
        </w:rPr>
      </w:pPr>
      <w:r w:rsidRPr="003E5ED2">
        <w:rPr>
          <w:rFonts w:ascii="Arial" w:hAnsi="Arial" w:cs="Arial"/>
          <w:b/>
          <w:sz w:val="22"/>
          <w:szCs w:val="22"/>
        </w:rPr>
        <w:t>Bilješka broj 1</w:t>
      </w:r>
      <w:r w:rsidR="002D41E3" w:rsidRPr="003E5ED2">
        <w:rPr>
          <w:rFonts w:ascii="Arial" w:hAnsi="Arial" w:cs="Arial"/>
          <w:b/>
          <w:sz w:val="22"/>
          <w:szCs w:val="22"/>
        </w:rPr>
        <w:t>5</w:t>
      </w:r>
      <w:r w:rsidR="00810C6D" w:rsidRPr="003E5ED2">
        <w:rPr>
          <w:rFonts w:ascii="Arial" w:hAnsi="Arial" w:cs="Arial"/>
          <w:b/>
          <w:sz w:val="22"/>
          <w:szCs w:val="22"/>
        </w:rPr>
        <w:t xml:space="preserve"> – </w:t>
      </w:r>
      <w:r w:rsidR="00C14104" w:rsidRPr="003E5ED2">
        <w:rPr>
          <w:rFonts w:ascii="Arial" w:hAnsi="Arial" w:cs="Arial"/>
          <w:b/>
          <w:sz w:val="22"/>
          <w:szCs w:val="22"/>
        </w:rPr>
        <w:t>4</w:t>
      </w:r>
      <w:r w:rsidRPr="003E5ED2">
        <w:rPr>
          <w:rFonts w:ascii="Arial" w:hAnsi="Arial" w:cs="Arial"/>
          <w:b/>
          <w:sz w:val="22"/>
          <w:szCs w:val="22"/>
        </w:rPr>
        <w:t xml:space="preserve">  RASHODI ZA NABAVU NEFINANCIJSKE IMOVINE</w:t>
      </w:r>
    </w:p>
    <w:p w:rsidR="000E69DA" w:rsidRPr="003E5ED2" w:rsidRDefault="000E69DA" w:rsidP="000E69DA">
      <w:pPr>
        <w:keepNext/>
        <w:jc w:val="both"/>
        <w:outlineLvl w:val="3"/>
        <w:rPr>
          <w:rFonts w:ascii="Arial" w:hAnsi="Arial" w:cs="Arial"/>
          <w:b/>
          <w:sz w:val="22"/>
          <w:szCs w:val="22"/>
        </w:rPr>
      </w:pPr>
    </w:p>
    <w:p w:rsidR="000E69DA" w:rsidRPr="003E5ED2" w:rsidRDefault="000E69DA" w:rsidP="000E69DA">
      <w:pPr>
        <w:jc w:val="both"/>
        <w:rPr>
          <w:rFonts w:ascii="Arial" w:hAnsi="Arial" w:cs="Arial"/>
          <w:sz w:val="22"/>
          <w:szCs w:val="22"/>
        </w:rPr>
      </w:pPr>
      <w:r w:rsidRPr="003E5ED2">
        <w:rPr>
          <w:rFonts w:ascii="Arial" w:hAnsi="Arial" w:cs="Arial"/>
          <w:b/>
          <w:sz w:val="22"/>
          <w:szCs w:val="22"/>
        </w:rPr>
        <w:t>Rashodi za nabav</w:t>
      </w:r>
      <w:r w:rsidR="00D93521" w:rsidRPr="003E5ED2">
        <w:rPr>
          <w:rFonts w:ascii="Arial" w:hAnsi="Arial" w:cs="Arial"/>
          <w:b/>
          <w:sz w:val="22"/>
          <w:szCs w:val="22"/>
        </w:rPr>
        <w:t>u nefinancijske imovine (</w:t>
      </w:r>
      <w:r w:rsidR="00C14104" w:rsidRPr="003E5ED2">
        <w:rPr>
          <w:rFonts w:ascii="Arial" w:hAnsi="Arial" w:cs="Arial"/>
          <w:b/>
          <w:sz w:val="22"/>
          <w:szCs w:val="22"/>
        </w:rPr>
        <w:t>4</w:t>
      </w:r>
      <w:r w:rsidRPr="003E5ED2">
        <w:rPr>
          <w:rFonts w:ascii="Arial" w:hAnsi="Arial" w:cs="Arial"/>
          <w:b/>
          <w:sz w:val="22"/>
          <w:szCs w:val="22"/>
        </w:rPr>
        <w:t>)</w:t>
      </w:r>
      <w:r w:rsidRPr="003E5ED2">
        <w:rPr>
          <w:rFonts w:ascii="Arial" w:hAnsi="Arial" w:cs="Arial"/>
          <w:sz w:val="22"/>
          <w:szCs w:val="22"/>
        </w:rPr>
        <w:t xml:space="preserve"> izvršeni su u iznosu </w:t>
      </w:r>
      <w:r w:rsidR="00911EB0" w:rsidRPr="003E5ED2">
        <w:rPr>
          <w:rFonts w:ascii="Arial" w:hAnsi="Arial" w:cs="Arial"/>
          <w:sz w:val="22"/>
          <w:szCs w:val="22"/>
        </w:rPr>
        <w:t>14.148.504,60</w:t>
      </w:r>
      <w:r w:rsidR="00B5691D" w:rsidRPr="003E5ED2">
        <w:rPr>
          <w:rFonts w:ascii="Arial" w:hAnsi="Arial" w:cs="Arial"/>
          <w:sz w:val="22"/>
          <w:szCs w:val="22"/>
        </w:rPr>
        <w:t xml:space="preserve"> eura</w:t>
      </w:r>
      <w:r w:rsidRPr="003E5ED2">
        <w:rPr>
          <w:rFonts w:ascii="Arial" w:hAnsi="Arial" w:cs="Arial"/>
          <w:sz w:val="22"/>
          <w:szCs w:val="22"/>
        </w:rPr>
        <w:t xml:space="preserve"> i u odnosu na ostvarenje u istom razdoblju pretho</w:t>
      </w:r>
      <w:r w:rsidR="00D93521" w:rsidRPr="003E5ED2">
        <w:rPr>
          <w:rFonts w:ascii="Arial" w:hAnsi="Arial" w:cs="Arial"/>
          <w:sz w:val="22"/>
          <w:szCs w:val="22"/>
        </w:rPr>
        <w:t xml:space="preserve">dne godine </w:t>
      </w:r>
      <w:r w:rsidR="00911EB0" w:rsidRPr="003E5ED2">
        <w:rPr>
          <w:rFonts w:ascii="Arial" w:hAnsi="Arial" w:cs="Arial"/>
          <w:sz w:val="22"/>
          <w:szCs w:val="22"/>
        </w:rPr>
        <w:t>manje</w:t>
      </w:r>
      <w:r w:rsidR="00DF0690" w:rsidRPr="003E5ED2">
        <w:rPr>
          <w:rFonts w:ascii="Arial" w:hAnsi="Arial" w:cs="Arial"/>
          <w:sz w:val="22"/>
          <w:szCs w:val="22"/>
        </w:rPr>
        <w:t xml:space="preserve"> su ostvareni </w:t>
      </w:r>
      <w:r w:rsidR="00BB1D5D" w:rsidRPr="003E5ED2">
        <w:rPr>
          <w:rFonts w:ascii="Arial" w:hAnsi="Arial" w:cs="Arial"/>
          <w:sz w:val="22"/>
          <w:szCs w:val="22"/>
        </w:rPr>
        <w:t xml:space="preserve">za </w:t>
      </w:r>
      <w:r w:rsidR="00911EB0" w:rsidRPr="003E5ED2">
        <w:rPr>
          <w:rFonts w:ascii="Arial" w:hAnsi="Arial" w:cs="Arial"/>
          <w:sz w:val="22"/>
          <w:szCs w:val="22"/>
        </w:rPr>
        <w:t>6.186.763,20</w:t>
      </w:r>
      <w:r w:rsidR="00B5691D" w:rsidRPr="003E5ED2">
        <w:rPr>
          <w:rFonts w:ascii="Arial" w:hAnsi="Arial" w:cs="Arial"/>
          <w:sz w:val="22"/>
          <w:szCs w:val="22"/>
        </w:rPr>
        <w:t xml:space="preserve"> eura </w:t>
      </w:r>
      <w:r w:rsidR="00C14104" w:rsidRPr="003E5ED2">
        <w:rPr>
          <w:rFonts w:ascii="Arial" w:hAnsi="Arial" w:cs="Arial"/>
          <w:sz w:val="22"/>
          <w:szCs w:val="22"/>
        </w:rPr>
        <w:t xml:space="preserve">ili </w:t>
      </w:r>
      <w:r w:rsidR="00911EB0" w:rsidRPr="003E5ED2">
        <w:rPr>
          <w:rFonts w:ascii="Arial" w:hAnsi="Arial" w:cs="Arial"/>
          <w:sz w:val="22"/>
          <w:szCs w:val="22"/>
        </w:rPr>
        <w:t>30,4</w:t>
      </w:r>
      <w:r w:rsidRPr="003E5ED2">
        <w:rPr>
          <w:rFonts w:ascii="Arial" w:hAnsi="Arial" w:cs="Arial"/>
          <w:sz w:val="22"/>
          <w:szCs w:val="22"/>
        </w:rPr>
        <w:t>%.</w:t>
      </w:r>
    </w:p>
    <w:p w:rsidR="00E63E2D" w:rsidRPr="003E5ED2" w:rsidRDefault="00E63E2D" w:rsidP="000E69DA">
      <w:pPr>
        <w:jc w:val="both"/>
        <w:rPr>
          <w:rFonts w:ascii="Arial" w:hAnsi="Arial" w:cs="Arial"/>
          <w:sz w:val="22"/>
          <w:szCs w:val="22"/>
        </w:rPr>
      </w:pPr>
    </w:p>
    <w:p w:rsidR="000E69DA" w:rsidRPr="003E5ED2" w:rsidRDefault="00E63E2D" w:rsidP="000E69DA">
      <w:pPr>
        <w:jc w:val="both"/>
        <w:rPr>
          <w:rFonts w:ascii="Arial" w:hAnsi="Arial" w:cs="Arial"/>
          <w:sz w:val="22"/>
          <w:szCs w:val="22"/>
        </w:rPr>
      </w:pPr>
      <w:r w:rsidRPr="003E5ED2">
        <w:rPr>
          <w:rFonts w:ascii="Arial" w:hAnsi="Arial" w:cs="Arial"/>
          <w:i/>
          <w:sz w:val="22"/>
          <w:szCs w:val="22"/>
          <w:u w:val="single"/>
        </w:rPr>
        <w:t xml:space="preserve">Rashodi za nabavu </w:t>
      </w:r>
      <w:proofErr w:type="spellStart"/>
      <w:r w:rsidR="00810C6D" w:rsidRPr="003E5ED2">
        <w:rPr>
          <w:rFonts w:ascii="Arial" w:hAnsi="Arial" w:cs="Arial"/>
          <w:i/>
          <w:sz w:val="22"/>
          <w:szCs w:val="22"/>
          <w:u w:val="single"/>
        </w:rPr>
        <w:t>ne</w:t>
      </w:r>
      <w:r w:rsidRPr="003E5ED2">
        <w:rPr>
          <w:rFonts w:ascii="Arial" w:hAnsi="Arial" w:cs="Arial"/>
          <w:i/>
          <w:sz w:val="22"/>
          <w:szCs w:val="22"/>
          <w:u w:val="single"/>
        </w:rPr>
        <w:t>proizvedene</w:t>
      </w:r>
      <w:proofErr w:type="spellEnd"/>
      <w:r w:rsidRPr="003E5ED2">
        <w:rPr>
          <w:rFonts w:ascii="Arial" w:hAnsi="Arial" w:cs="Arial"/>
          <w:i/>
          <w:sz w:val="22"/>
          <w:szCs w:val="22"/>
          <w:u w:val="single"/>
        </w:rPr>
        <w:t xml:space="preserve"> dugotrajne imovine (</w:t>
      </w:r>
      <w:r w:rsidR="00C14104" w:rsidRPr="003E5ED2">
        <w:rPr>
          <w:rFonts w:ascii="Arial" w:hAnsi="Arial" w:cs="Arial"/>
          <w:i/>
          <w:sz w:val="22"/>
          <w:szCs w:val="22"/>
          <w:u w:val="single"/>
        </w:rPr>
        <w:t>41</w:t>
      </w:r>
      <w:r w:rsidRPr="003E5ED2">
        <w:rPr>
          <w:rFonts w:ascii="Arial" w:hAnsi="Arial" w:cs="Arial"/>
          <w:i/>
          <w:sz w:val="22"/>
          <w:szCs w:val="22"/>
          <w:u w:val="single"/>
        </w:rPr>
        <w:t>)</w:t>
      </w:r>
      <w:r w:rsidRPr="003E5ED2">
        <w:rPr>
          <w:rFonts w:ascii="Arial" w:hAnsi="Arial" w:cs="Arial"/>
          <w:i/>
          <w:sz w:val="22"/>
          <w:szCs w:val="22"/>
        </w:rPr>
        <w:t xml:space="preserve"> </w:t>
      </w:r>
      <w:r w:rsidR="00C14104" w:rsidRPr="003E5ED2">
        <w:rPr>
          <w:rFonts w:ascii="Arial" w:hAnsi="Arial" w:cs="Arial"/>
          <w:sz w:val="22"/>
          <w:szCs w:val="22"/>
        </w:rPr>
        <w:t xml:space="preserve">bilježe </w:t>
      </w:r>
      <w:r w:rsidR="00911EB0" w:rsidRPr="003E5ED2">
        <w:rPr>
          <w:rFonts w:ascii="Arial" w:hAnsi="Arial" w:cs="Arial"/>
          <w:sz w:val="22"/>
          <w:szCs w:val="22"/>
        </w:rPr>
        <w:t>rast</w:t>
      </w:r>
      <w:r w:rsidR="00B5691D" w:rsidRPr="003E5ED2">
        <w:rPr>
          <w:rFonts w:ascii="Arial" w:hAnsi="Arial" w:cs="Arial"/>
          <w:sz w:val="22"/>
          <w:szCs w:val="22"/>
        </w:rPr>
        <w:t xml:space="preserve"> </w:t>
      </w:r>
      <w:r w:rsidRPr="003E5ED2">
        <w:rPr>
          <w:rFonts w:ascii="Arial" w:hAnsi="Arial" w:cs="Arial"/>
          <w:sz w:val="22"/>
          <w:szCs w:val="22"/>
        </w:rPr>
        <w:t xml:space="preserve">od </w:t>
      </w:r>
      <w:r w:rsidR="00911EB0" w:rsidRPr="003E5ED2">
        <w:rPr>
          <w:rFonts w:ascii="Arial" w:hAnsi="Arial" w:cs="Arial"/>
          <w:sz w:val="22"/>
          <w:szCs w:val="22"/>
        </w:rPr>
        <w:t>65</w:t>
      </w:r>
      <w:r w:rsidRPr="003E5ED2">
        <w:rPr>
          <w:rFonts w:ascii="Arial" w:hAnsi="Arial" w:cs="Arial"/>
          <w:sz w:val="22"/>
          <w:szCs w:val="22"/>
        </w:rPr>
        <w:t xml:space="preserve">% </w:t>
      </w:r>
      <w:r w:rsidR="00AD4171" w:rsidRPr="003E5ED2">
        <w:rPr>
          <w:rFonts w:ascii="Arial" w:hAnsi="Arial" w:cs="Arial"/>
          <w:sz w:val="22"/>
          <w:szCs w:val="22"/>
        </w:rPr>
        <w:t xml:space="preserve">u izvršenju </w:t>
      </w:r>
      <w:r w:rsidRPr="003E5ED2">
        <w:rPr>
          <w:rFonts w:ascii="Arial" w:hAnsi="Arial" w:cs="Arial"/>
          <w:sz w:val="22"/>
          <w:szCs w:val="22"/>
        </w:rPr>
        <w:t>i to kod sta</w:t>
      </w:r>
      <w:r w:rsidR="00D65DC7" w:rsidRPr="003E5ED2">
        <w:rPr>
          <w:rFonts w:ascii="Arial" w:hAnsi="Arial" w:cs="Arial"/>
          <w:sz w:val="22"/>
          <w:szCs w:val="22"/>
        </w:rPr>
        <w:t>vke rashoda za nabavu zemljišta</w:t>
      </w:r>
      <w:r w:rsidR="00F0238E" w:rsidRPr="003E5ED2">
        <w:rPr>
          <w:rFonts w:ascii="Arial" w:hAnsi="Arial" w:cs="Arial"/>
          <w:sz w:val="22"/>
          <w:szCs w:val="22"/>
        </w:rPr>
        <w:t xml:space="preserve"> </w:t>
      </w:r>
      <w:r w:rsidR="00911EB0" w:rsidRPr="003E5ED2">
        <w:rPr>
          <w:rFonts w:ascii="Arial" w:hAnsi="Arial" w:cs="Arial"/>
          <w:sz w:val="22"/>
          <w:szCs w:val="22"/>
        </w:rPr>
        <w:t>i nabave licenci.</w:t>
      </w:r>
    </w:p>
    <w:p w:rsidR="003807C0" w:rsidRPr="003E5ED2" w:rsidRDefault="003807C0" w:rsidP="000E69DA">
      <w:pPr>
        <w:jc w:val="both"/>
        <w:rPr>
          <w:rFonts w:ascii="Arial" w:hAnsi="Arial" w:cs="Arial"/>
          <w:i/>
          <w:sz w:val="22"/>
          <w:szCs w:val="22"/>
          <w:u w:val="single"/>
        </w:rPr>
      </w:pPr>
    </w:p>
    <w:p w:rsidR="00BC5147" w:rsidRPr="003E5ED2" w:rsidRDefault="000E69DA" w:rsidP="000E69DA">
      <w:pPr>
        <w:jc w:val="both"/>
        <w:rPr>
          <w:rFonts w:ascii="Arial" w:hAnsi="Arial" w:cs="Arial"/>
          <w:b/>
          <w:sz w:val="22"/>
          <w:szCs w:val="22"/>
        </w:rPr>
      </w:pPr>
      <w:r w:rsidRPr="003E5ED2">
        <w:rPr>
          <w:rFonts w:ascii="Arial" w:hAnsi="Arial" w:cs="Arial"/>
          <w:i/>
          <w:sz w:val="22"/>
          <w:szCs w:val="22"/>
          <w:u w:val="single"/>
        </w:rPr>
        <w:t>Rashodi za nabavu proizvedene dugotrajne i</w:t>
      </w:r>
      <w:r w:rsidR="00E63E2D" w:rsidRPr="003E5ED2">
        <w:rPr>
          <w:rFonts w:ascii="Arial" w:hAnsi="Arial" w:cs="Arial"/>
          <w:i/>
          <w:sz w:val="22"/>
          <w:szCs w:val="22"/>
          <w:u w:val="single"/>
        </w:rPr>
        <w:t>movine (</w:t>
      </w:r>
      <w:r w:rsidR="00C14104" w:rsidRPr="003E5ED2">
        <w:rPr>
          <w:rFonts w:ascii="Arial" w:hAnsi="Arial" w:cs="Arial"/>
          <w:i/>
          <w:sz w:val="22"/>
          <w:szCs w:val="22"/>
          <w:u w:val="single"/>
        </w:rPr>
        <w:t>42</w:t>
      </w:r>
      <w:r w:rsidRPr="003E5ED2">
        <w:rPr>
          <w:rFonts w:ascii="Arial" w:hAnsi="Arial" w:cs="Arial"/>
          <w:i/>
          <w:sz w:val="22"/>
          <w:szCs w:val="22"/>
          <w:u w:val="single"/>
        </w:rPr>
        <w:t>)</w:t>
      </w:r>
      <w:r w:rsidRPr="003E5ED2">
        <w:rPr>
          <w:rFonts w:ascii="Arial" w:hAnsi="Arial" w:cs="Arial"/>
          <w:b/>
          <w:sz w:val="22"/>
          <w:szCs w:val="22"/>
        </w:rPr>
        <w:t xml:space="preserve"> </w:t>
      </w:r>
    </w:p>
    <w:p w:rsidR="000B4516" w:rsidRPr="003E5ED2" w:rsidRDefault="000E69DA" w:rsidP="000E69DA">
      <w:pPr>
        <w:jc w:val="both"/>
        <w:rPr>
          <w:rFonts w:ascii="Arial" w:hAnsi="Arial" w:cs="Arial"/>
          <w:sz w:val="22"/>
          <w:szCs w:val="22"/>
        </w:rPr>
      </w:pPr>
      <w:r w:rsidRPr="003E5ED2">
        <w:rPr>
          <w:rFonts w:ascii="Arial" w:hAnsi="Arial" w:cs="Arial"/>
          <w:sz w:val="22"/>
          <w:szCs w:val="22"/>
        </w:rPr>
        <w:t>Rashodi za n</w:t>
      </w:r>
      <w:r w:rsidR="00C14104" w:rsidRPr="003E5ED2">
        <w:rPr>
          <w:rFonts w:ascii="Arial" w:hAnsi="Arial" w:cs="Arial"/>
          <w:sz w:val="22"/>
          <w:szCs w:val="22"/>
        </w:rPr>
        <w:t>abavu građevinskih objekata</w:t>
      </w:r>
      <w:r w:rsidR="005B16D2" w:rsidRPr="003E5ED2">
        <w:rPr>
          <w:rFonts w:ascii="Arial" w:hAnsi="Arial" w:cs="Arial"/>
          <w:sz w:val="22"/>
          <w:szCs w:val="22"/>
        </w:rPr>
        <w:t xml:space="preserve"> (421)</w:t>
      </w:r>
      <w:r w:rsidR="00C14104" w:rsidRPr="003E5ED2">
        <w:rPr>
          <w:rFonts w:ascii="Arial" w:hAnsi="Arial" w:cs="Arial"/>
          <w:sz w:val="22"/>
          <w:szCs w:val="22"/>
        </w:rPr>
        <w:t xml:space="preserve"> </w:t>
      </w:r>
      <w:r w:rsidR="000B4516" w:rsidRPr="003E5ED2">
        <w:rPr>
          <w:rFonts w:ascii="Arial" w:hAnsi="Arial" w:cs="Arial"/>
          <w:sz w:val="22"/>
          <w:szCs w:val="22"/>
        </w:rPr>
        <w:t xml:space="preserve">manje </w:t>
      </w:r>
      <w:r w:rsidRPr="003E5ED2">
        <w:rPr>
          <w:rFonts w:ascii="Arial" w:hAnsi="Arial" w:cs="Arial"/>
          <w:sz w:val="22"/>
          <w:szCs w:val="22"/>
        </w:rPr>
        <w:t>su ostvareni (</w:t>
      </w:r>
      <w:r w:rsidR="000B4516" w:rsidRPr="003E5ED2">
        <w:rPr>
          <w:rFonts w:ascii="Arial" w:hAnsi="Arial" w:cs="Arial"/>
          <w:sz w:val="22"/>
          <w:szCs w:val="22"/>
        </w:rPr>
        <w:t>14,9</w:t>
      </w:r>
      <w:r w:rsidRPr="003E5ED2">
        <w:rPr>
          <w:rFonts w:ascii="Arial" w:hAnsi="Arial" w:cs="Arial"/>
          <w:sz w:val="22"/>
          <w:szCs w:val="22"/>
        </w:rPr>
        <w:t xml:space="preserve">%) </w:t>
      </w:r>
      <w:r w:rsidR="00BB1D5D" w:rsidRPr="003E5ED2">
        <w:rPr>
          <w:rFonts w:ascii="Arial" w:hAnsi="Arial" w:cs="Arial"/>
          <w:sz w:val="22"/>
          <w:szCs w:val="22"/>
        </w:rPr>
        <w:t xml:space="preserve">u </w:t>
      </w:r>
      <w:r w:rsidR="000B4516" w:rsidRPr="003E5ED2">
        <w:rPr>
          <w:rFonts w:ascii="Arial" w:hAnsi="Arial" w:cs="Arial"/>
          <w:sz w:val="22"/>
          <w:szCs w:val="22"/>
        </w:rPr>
        <w:t xml:space="preserve">tekućoj godini i to na rashodima za </w:t>
      </w:r>
      <w:r w:rsidR="00377510" w:rsidRPr="003E5ED2">
        <w:rPr>
          <w:rFonts w:ascii="Arial" w:hAnsi="Arial" w:cs="Arial"/>
          <w:sz w:val="22"/>
          <w:szCs w:val="22"/>
        </w:rPr>
        <w:t>stambene i poslovne objekte.</w:t>
      </w:r>
    </w:p>
    <w:p w:rsidR="00AD5540" w:rsidRPr="003E5ED2" w:rsidRDefault="004F10FF" w:rsidP="000E69DA">
      <w:pPr>
        <w:jc w:val="both"/>
        <w:rPr>
          <w:rFonts w:ascii="Arial" w:hAnsi="Arial" w:cs="Arial"/>
          <w:sz w:val="22"/>
          <w:szCs w:val="22"/>
        </w:rPr>
      </w:pPr>
      <w:r w:rsidRPr="003E5ED2">
        <w:rPr>
          <w:rFonts w:ascii="Arial" w:hAnsi="Arial" w:cs="Arial"/>
          <w:sz w:val="22"/>
          <w:szCs w:val="22"/>
        </w:rPr>
        <w:t>Rashodi za c</w:t>
      </w:r>
      <w:r w:rsidR="00AD5540" w:rsidRPr="003E5ED2">
        <w:rPr>
          <w:rFonts w:ascii="Arial" w:hAnsi="Arial" w:cs="Arial"/>
          <w:sz w:val="22"/>
          <w:szCs w:val="22"/>
        </w:rPr>
        <w:t>est</w:t>
      </w:r>
      <w:r w:rsidR="0000794B" w:rsidRPr="003E5ED2">
        <w:rPr>
          <w:rFonts w:ascii="Arial" w:hAnsi="Arial" w:cs="Arial"/>
          <w:sz w:val="22"/>
          <w:szCs w:val="22"/>
        </w:rPr>
        <w:t>e</w:t>
      </w:r>
      <w:r w:rsidRPr="003E5ED2">
        <w:rPr>
          <w:rFonts w:ascii="Arial" w:hAnsi="Arial" w:cs="Arial"/>
          <w:sz w:val="22"/>
          <w:szCs w:val="22"/>
        </w:rPr>
        <w:t xml:space="preserve"> </w:t>
      </w:r>
      <w:r w:rsidR="00AD5540" w:rsidRPr="003E5ED2">
        <w:rPr>
          <w:rFonts w:ascii="Arial" w:hAnsi="Arial" w:cs="Arial"/>
          <w:sz w:val="22"/>
          <w:szCs w:val="22"/>
        </w:rPr>
        <w:t xml:space="preserve">i </w:t>
      </w:r>
      <w:r w:rsidR="002C7509" w:rsidRPr="003E5ED2">
        <w:rPr>
          <w:rFonts w:ascii="Arial" w:hAnsi="Arial" w:cs="Arial"/>
          <w:sz w:val="22"/>
          <w:szCs w:val="22"/>
        </w:rPr>
        <w:t>ostal</w:t>
      </w:r>
      <w:r w:rsidRPr="003E5ED2">
        <w:rPr>
          <w:rFonts w:ascii="Arial" w:hAnsi="Arial" w:cs="Arial"/>
          <w:sz w:val="22"/>
          <w:szCs w:val="22"/>
        </w:rPr>
        <w:t>e</w:t>
      </w:r>
      <w:r w:rsidR="00AD5540" w:rsidRPr="003E5ED2">
        <w:rPr>
          <w:rFonts w:ascii="Arial" w:hAnsi="Arial" w:cs="Arial"/>
          <w:sz w:val="22"/>
          <w:szCs w:val="22"/>
        </w:rPr>
        <w:t xml:space="preserve"> pro</w:t>
      </w:r>
      <w:r w:rsidR="002C7509" w:rsidRPr="003E5ED2">
        <w:rPr>
          <w:rFonts w:ascii="Arial" w:hAnsi="Arial" w:cs="Arial"/>
          <w:sz w:val="22"/>
          <w:szCs w:val="22"/>
        </w:rPr>
        <w:t>metn</w:t>
      </w:r>
      <w:r w:rsidRPr="003E5ED2">
        <w:rPr>
          <w:rFonts w:ascii="Arial" w:hAnsi="Arial" w:cs="Arial"/>
          <w:sz w:val="22"/>
          <w:szCs w:val="22"/>
        </w:rPr>
        <w:t>e</w:t>
      </w:r>
      <w:r w:rsidR="002C7509" w:rsidRPr="003E5ED2">
        <w:rPr>
          <w:rFonts w:ascii="Arial" w:hAnsi="Arial" w:cs="Arial"/>
          <w:sz w:val="22"/>
          <w:szCs w:val="22"/>
        </w:rPr>
        <w:t xml:space="preserve"> objekt</w:t>
      </w:r>
      <w:r w:rsidRPr="003E5ED2">
        <w:rPr>
          <w:rFonts w:ascii="Arial" w:hAnsi="Arial" w:cs="Arial"/>
          <w:sz w:val="22"/>
          <w:szCs w:val="22"/>
        </w:rPr>
        <w:t>e</w:t>
      </w:r>
      <w:r w:rsidR="002C7509" w:rsidRPr="003E5ED2">
        <w:rPr>
          <w:rFonts w:ascii="Arial" w:hAnsi="Arial" w:cs="Arial"/>
          <w:sz w:val="22"/>
          <w:szCs w:val="22"/>
        </w:rPr>
        <w:t xml:space="preserve"> bilježe rast u odnosu na prethodnu godinu</w:t>
      </w:r>
      <w:r w:rsidR="005B16D2" w:rsidRPr="003E5ED2">
        <w:rPr>
          <w:rFonts w:ascii="Arial" w:hAnsi="Arial" w:cs="Arial"/>
          <w:sz w:val="22"/>
          <w:szCs w:val="22"/>
        </w:rPr>
        <w:t xml:space="preserve"> i najvećim dijelom se odnose</w:t>
      </w:r>
      <w:r w:rsidR="002C7509" w:rsidRPr="003E5ED2">
        <w:rPr>
          <w:rFonts w:ascii="Arial" w:hAnsi="Arial" w:cs="Arial"/>
          <w:sz w:val="22"/>
          <w:szCs w:val="22"/>
        </w:rPr>
        <w:t xml:space="preserve"> na radove na uređenju javnih površina</w:t>
      </w:r>
      <w:r w:rsidR="000B4516" w:rsidRPr="003E5ED2">
        <w:rPr>
          <w:rFonts w:ascii="Arial" w:hAnsi="Arial" w:cs="Arial"/>
          <w:sz w:val="22"/>
          <w:szCs w:val="22"/>
        </w:rPr>
        <w:t>, rekonstrukcije raskrižja</w:t>
      </w:r>
      <w:r w:rsidR="002C7509" w:rsidRPr="003E5ED2">
        <w:rPr>
          <w:rFonts w:ascii="Arial" w:hAnsi="Arial" w:cs="Arial"/>
          <w:sz w:val="22"/>
          <w:szCs w:val="22"/>
        </w:rPr>
        <w:t xml:space="preserve"> i izgradnj</w:t>
      </w:r>
      <w:r w:rsidRPr="003E5ED2">
        <w:rPr>
          <w:rFonts w:ascii="Arial" w:hAnsi="Arial" w:cs="Arial"/>
          <w:sz w:val="22"/>
          <w:szCs w:val="22"/>
        </w:rPr>
        <w:t>u</w:t>
      </w:r>
      <w:r w:rsidR="002C7509" w:rsidRPr="003E5ED2">
        <w:rPr>
          <w:rFonts w:ascii="Arial" w:hAnsi="Arial" w:cs="Arial"/>
          <w:sz w:val="22"/>
          <w:szCs w:val="22"/>
        </w:rPr>
        <w:t xml:space="preserve"> </w:t>
      </w:r>
      <w:r w:rsidR="00BF0275" w:rsidRPr="003E5ED2">
        <w:rPr>
          <w:rFonts w:ascii="Arial" w:hAnsi="Arial" w:cs="Arial"/>
          <w:sz w:val="22"/>
          <w:szCs w:val="22"/>
        </w:rPr>
        <w:t xml:space="preserve">pripadajuće </w:t>
      </w:r>
      <w:r w:rsidR="002C7509" w:rsidRPr="003E5ED2">
        <w:rPr>
          <w:rFonts w:ascii="Arial" w:hAnsi="Arial" w:cs="Arial"/>
          <w:sz w:val="22"/>
          <w:szCs w:val="22"/>
        </w:rPr>
        <w:t xml:space="preserve">infrastrukture </w:t>
      </w:r>
      <w:r w:rsidR="00BF0275" w:rsidRPr="003E5ED2">
        <w:rPr>
          <w:rFonts w:ascii="Arial" w:hAnsi="Arial" w:cs="Arial"/>
          <w:sz w:val="22"/>
          <w:szCs w:val="22"/>
        </w:rPr>
        <w:t>unutar bivšeg tvorničkog kompleksa Rikard Benčić.</w:t>
      </w:r>
      <w:r w:rsidR="00E96880" w:rsidRPr="003E5ED2">
        <w:rPr>
          <w:rFonts w:ascii="Arial" w:hAnsi="Arial" w:cs="Arial"/>
          <w:sz w:val="22"/>
          <w:szCs w:val="22"/>
        </w:rPr>
        <w:t xml:space="preserve"> </w:t>
      </w:r>
      <w:r w:rsidR="002F4BA0" w:rsidRPr="003E5ED2">
        <w:rPr>
          <w:rFonts w:ascii="Arial" w:hAnsi="Arial" w:cs="Arial"/>
          <w:sz w:val="22"/>
          <w:szCs w:val="22"/>
        </w:rPr>
        <w:t>Rashodi za nabavu o</w:t>
      </w:r>
      <w:r w:rsidR="000B4516" w:rsidRPr="003E5ED2">
        <w:rPr>
          <w:rFonts w:ascii="Arial" w:hAnsi="Arial" w:cs="Arial"/>
          <w:sz w:val="22"/>
          <w:szCs w:val="22"/>
        </w:rPr>
        <w:t>stali</w:t>
      </w:r>
      <w:r w:rsidR="002F4BA0" w:rsidRPr="003E5ED2">
        <w:rPr>
          <w:rFonts w:ascii="Arial" w:hAnsi="Arial" w:cs="Arial"/>
          <w:sz w:val="22"/>
          <w:szCs w:val="22"/>
        </w:rPr>
        <w:t>h</w:t>
      </w:r>
      <w:r w:rsidR="000B4516" w:rsidRPr="003E5ED2">
        <w:rPr>
          <w:rFonts w:ascii="Arial" w:hAnsi="Arial" w:cs="Arial"/>
          <w:sz w:val="22"/>
          <w:szCs w:val="22"/>
        </w:rPr>
        <w:t xml:space="preserve"> građevinski</w:t>
      </w:r>
      <w:r w:rsidR="002F4BA0" w:rsidRPr="003E5ED2">
        <w:rPr>
          <w:rFonts w:ascii="Arial" w:hAnsi="Arial" w:cs="Arial"/>
          <w:sz w:val="22"/>
          <w:szCs w:val="22"/>
        </w:rPr>
        <w:t>h</w:t>
      </w:r>
      <w:r w:rsidR="000B4516" w:rsidRPr="003E5ED2">
        <w:rPr>
          <w:rFonts w:ascii="Arial" w:hAnsi="Arial" w:cs="Arial"/>
          <w:sz w:val="22"/>
          <w:szCs w:val="22"/>
        </w:rPr>
        <w:t xml:space="preserve"> objek</w:t>
      </w:r>
      <w:r w:rsidR="002F4BA0" w:rsidRPr="003E5ED2">
        <w:rPr>
          <w:rFonts w:ascii="Arial" w:hAnsi="Arial" w:cs="Arial"/>
          <w:sz w:val="22"/>
          <w:szCs w:val="22"/>
        </w:rPr>
        <w:t>a</w:t>
      </w:r>
      <w:r w:rsidR="000B4516" w:rsidRPr="003E5ED2">
        <w:rPr>
          <w:rFonts w:ascii="Arial" w:hAnsi="Arial" w:cs="Arial"/>
          <w:sz w:val="22"/>
          <w:szCs w:val="22"/>
        </w:rPr>
        <w:t>t</w:t>
      </w:r>
      <w:r w:rsidR="002F4BA0" w:rsidRPr="003E5ED2">
        <w:rPr>
          <w:rFonts w:ascii="Arial" w:hAnsi="Arial" w:cs="Arial"/>
          <w:sz w:val="22"/>
          <w:szCs w:val="22"/>
        </w:rPr>
        <w:t>a</w:t>
      </w:r>
      <w:r w:rsidR="000B4516" w:rsidRPr="003E5ED2">
        <w:rPr>
          <w:rFonts w:ascii="Arial" w:hAnsi="Arial" w:cs="Arial"/>
          <w:sz w:val="22"/>
          <w:szCs w:val="22"/>
        </w:rPr>
        <w:t xml:space="preserve"> bilježe </w:t>
      </w:r>
      <w:r w:rsidR="006C75C1" w:rsidRPr="003E5ED2">
        <w:rPr>
          <w:rFonts w:ascii="Arial" w:hAnsi="Arial" w:cs="Arial"/>
          <w:sz w:val="22"/>
          <w:szCs w:val="22"/>
        </w:rPr>
        <w:t xml:space="preserve">rast </w:t>
      </w:r>
      <w:r w:rsidR="000B4516" w:rsidRPr="003E5ED2">
        <w:rPr>
          <w:rFonts w:ascii="Arial" w:hAnsi="Arial" w:cs="Arial"/>
          <w:sz w:val="22"/>
          <w:szCs w:val="22"/>
        </w:rPr>
        <w:t>najvećim dijelom zbog ulaganja u javnu rasvjetu.</w:t>
      </w:r>
    </w:p>
    <w:p w:rsidR="000B4516" w:rsidRPr="003E5ED2" w:rsidRDefault="000B4516" w:rsidP="000E69DA">
      <w:pPr>
        <w:jc w:val="both"/>
        <w:rPr>
          <w:rFonts w:ascii="Arial" w:hAnsi="Arial" w:cs="Arial"/>
          <w:sz w:val="22"/>
          <w:szCs w:val="22"/>
        </w:rPr>
      </w:pPr>
    </w:p>
    <w:p w:rsidR="005B16D2" w:rsidRPr="003E5ED2" w:rsidRDefault="005B16D2" w:rsidP="000E69DA">
      <w:pPr>
        <w:jc w:val="both"/>
        <w:rPr>
          <w:rFonts w:ascii="Arial" w:hAnsi="Arial" w:cs="Arial"/>
          <w:sz w:val="22"/>
          <w:szCs w:val="22"/>
        </w:rPr>
      </w:pPr>
      <w:r w:rsidRPr="003E5ED2">
        <w:rPr>
          <w:rFonts w:ascii="Arial" w:hAnsi="Arial" w:cs="Arial"/>
          <w:i/>
          <w:sz w:val="22"/>
          <w:szCs w:val="22"/>
          <w:u w:val="single"/>
        </w:rPr>
        <w:t>Postrojenja i oprema (422)</w:t>
      </w:r>
      <w:r w:rsidRPr="003E5ED2">
        <w:rPr>
          <w:rFonts w:ascii="Arial" w:hAnsi="Arial" w:cs="Arial"/>
          <w:sz w:val="22"/>
          <w:szCs w:val="22"/>
        </w:rPr>
        <w:t xml:space="preserve"> bilježe </w:t>
      </w:r>
      <w:r w:rsidR="000B4516" w:rsidRPr="003E5ED2">
        <w:rPr>
          <w:rFonts w:ascii="Arial" w:hAnsi="Arial" w:cs="Arial"/>
          <w:sz w:val="22"/>
          <w:szCs w:val="22"/>
        </w:rPr>
        <w:t>pad</w:t>
      </w:r>
      <w:r w:rsidRPr="003E5ED2">
        <w:rPr>
          <w:rFonts w:ascii="Arial" w:hAnsi="Arial" w:cs="Arial"/>
          <w:sz w:val="22"/>
          <w:szCs w:val="22"/>
        </w:rPr>
        <w:t xml:space="preserve"> </w:t>
      </w:r>
      <w:r w:rsidR="00F51D9F" w:rsidRPr="003E5ED2">
        <w:rPr>
          <w:rFonts w:ascii="Arial" w:hAnsi="Arial" w:cs="Arial"/>
          <w:sz w:val="22"/>
          <w:szCs w:val="22"/>
        </w:rPr>
        <w:t xml:space="preserve">u dijelu </w:t>
      </w:r>
      <w:r w:rsidR="00977D5F" w:rsidRPr="003E5ED2">
        <w:rPr>
          <w:rFonts w:ascii="Arial" w:hAnsi="Arial" w:cs="Arial"/>
          <w:sz w:val="22"/>
          <w:szCs w:val="22"/>
        </w:rPr>
        <w:t>rashoda</w:t>
      </w:r>
      <w:r w:rsidR="00F51D9F" w:rsidRPr="003E5ED2">
        <w:rPr>
          <w:rFonts w:ascii="Arial" w:hAnsi="Arial" w:cs="Arial"/>
          <w:sz w:val="22"/>
          <w:szCs w:val="22"/>
        </w:rPr>
        <w:t xml:space="preserve"> </w:t>
      </w:r>
      <w:r w:rsidR="00EF71BB" w:rsidRPr="003E5ED2">
        <w:rPr>
          <w:rFonts w:ascii="Arial" w:hAnsi="Arial" w:cs="Arial"/>
          <w:sz w:val="22"/>
          <w:szCs w:val="22"/>
        </w:rPr>
        <w:t xml:space="preserve">uredske opreme i namještaja, </w:t>
      </w:r>
      <w:r w:rsidRPr="003E5ED2">
        <w:rPr>
          <w:rFonts w:ascii="Arial" w:hAnsi="Arial" w:cs="Arial"/>
          <w:sz w:val="22"/>
          <w:szCs w:val="22"/>
        </w:rPr>
        <w:t>komun</w:t>
      </w:r>
      <w:r w:rsidR="00EF71BB" w:rsidRPr="003E5ED2">
        <w:rPr>
          <w:rFonts w:ascii="Arial" w:hAnsi="Arial" w:cs="Arial"/>
          <w:sz w:val="22"/>
          <w:szCs w:val="22"/>
        </w:rPr>
        <w:t xml:space="preserve">ikacijske opreme i uređaja, </w:t>
      </w:r>
      <w:r w:rsidRPr="003E5ED2">
        <w:rPr>
          <w:rFonts w:ascii="Arial" w:hAnsi="Arial" w:cs="Arial"/>
          <w:sz w:val="22"/>
          <w:szCs w:val="22"/>
        </w:rPr>
        <w:t>strojeva i opreme za os</w:t>
      </w:r>
      <w:r w:rsidR="001F7908" w:rsidRPr="003E5ED2">
        <w:rPr>
          <w:rFonts w:ascii="Arial" w:hAnsi="Arial" w:cs="Arial"/>
          <w:sz w:val="22"/>
          <w:szCs w:val="22"/>
        </w:rPr>
        <w:t>tale namjen</w:t>
      </w:r>
      <w:r w:rsidR="000B4516" w:rsidRPr="003E5ED2">
        <w:rPr>
          <w:rFonts w:ascii="Arial" w:hAnsi="Arial" w:cs="Arial"/>
          <w:sz w:val="22"/>
          <w:szCs w:val="22"/>
        </w:rPr>
        <w:t xml:space="preserve">e, dok se povećanje bilježi </w:t>
      </w:r>
      <w:r w:rsidR="00977D5F" w:rsidRPr="003E5ED2">
        <w:rPr>
          <w:rFonts w:ascii="Arial" w:hAnsi="Arial" w:cs="Arial"/>
          <w:sz w:val="22"/>
          <w:szCs w:val="22"/>
        </w:rPr>
        <w:t>na rashodima za nabavu</w:t>
      </w:r>
      <w:r w:rsidR="000B4516" w:rsidRPr="003E5ED2">
        <w:rPr>
          <w:rFonts w:ascii="Arial" w:hAnsi="Arial" w:cs="Arial"/>
          <w:sz w:val="22"/>
          <w:szCs w:val="22"/>
        </w:rPr>
        <w:t xml:space="preserve"> sportske</w:t>
      </w:r>
      <w:r w:rsidR="00977D5F" w:rsidRPr="003E5ED2">
        <w:rPr>
          <w:rFonts w:ascii="Arial" w:hAnsi="Arial" w:cs="Arial"/>
          <w:sz w:val="22"/>
          <w:szCs w:val="22"/>
        </w:rPr>
        <w:t xml:space="preserve"> opreme</w:t>
      </w:r>
      <w:r w:rsidR="006C75C1" w:rsidRPr="003E5ED2">
        <w:rPr>
          <w:rFonts w:ascii="Arial" w:hAnsi="Arial" w:cs="Arial"/>
          <w:sz w:val="22"/>
          <w:szCs w:val="22"/>
        </w:rPr>
        <w:t xml:space="preserve"> </w:t>
      </w:r>
      <w:r w:rsidR="000B4516" w:rsidRPr="003E5ED2">
        <w:rPr>
          <w:rFonts w:ascii="Arial" w:hAnsi="Arial" w:cs="Arial"/>
          <w:sz w:val="22"/>
          <w:szCs w:val="22"/>
        </w:rPr>
        <w:t>i opreme za održavanje i zaštitu.</w:t>
      </w:r>
    </w:p>
    <w:p w:rsidR="00886199" w:rsidRPr="003E5ED2" w:rsidRDefault="00886199" w:rsidP="00E109F9">
      <w:pPr>
        <w:jc w:val="both"/>
        <w:rPr>
          <w:rFonts w:ascii="Arial" w:hAnsi="Arial" w:cs="Arial"/>
          <w:i/>
          <w:sz w:val="22"/>
          <w:szCs w:val="22"/>
          <w:u w:val="single"/>
        </w:rPr>
      </w:pPr>
    </w:p>
    <w:p w:rsidR="00B566DA" w:rsidRPr="003E5ED2" w:rsidRDefault="00AD5540" w:rsidP="00B566DA">
      <w:pPr>
        <w:jc w:val="both"/>
        <w:rPr>
          <w:rFonts w:ascii="Arial" w:hAnsi="Arial" w:cs="Arial"/>
          <w:noProof/>
          <w:sz w:val="22"/>
          <w:szCs w:val="22"/>
        </w:rPr>
      </w:pPr>
      <w:r w:rsidRPr="003E5ED2">
        <w:rPr>
          <w:rFonts w:ascii="Arial" w:hAnsi="Arial" w:cs="Arial"/>
          <w:i/>
          <w:sz w:val="22"/>
          <w:szCs w:val="22"/>
          <w:u w:val="single"/>
        </w:rPr>
        <w:t>Nematerijalna proizvedena imovina (426)</w:t>
      </w:r>
      <w:r w:rsidRPr="003E5ED2">
        <w:rPr>
          <w:rFonts w:ascii="Arial" w:hAnsi="Arial" w:cs="Arial"/>
          <w:sz w:val="22"/>
          <w:szCs w:val="22"/>
        </w:rPr>
        <w:t xml:space="preserve"> </w:t>
      </w:r>
      <w:r w:rsidR="009F30F0" w:rsidRPr="003E5ED2">
        <w:rPr>
          <w:rFonts w:ascii="Arial" w:hAnsi="Arial" w:cs="Arial"/>
          <w:sz w:val="22"/>
          <w:szCs w:val="22"/>
        </w:rPr>
        <w:t xml:space="preserve">ovi rashodi </w:t>
      </w:r>
      <w:r w:rsidR="00605BDE" w:rsidRPr="003E5ED2">
        <w:rPr>
          <w:rFonts w:ascii="Arial" w:hAnsi="Arial" w:cs="Arial"/>
          <w:sz w:val="22"/>
          <w:szCs w:val="22"/>
        </w:rPr>
        <w:t>ostvareni su u iznosu od 607.426,21 eur</w:t>
      </w:r>
      <w:r w:rsidR="009F30F0" w:rsidRPr="003E5ED2">
        <w:rPr>
          <w:rFonts w:ascii="Arial" w:hAnsi="Arial" w:cs="Arial"/>
          <w:sz w:val="22"/>
          <w:szCs w:val="22"/>
        </w:rPr>
        <w:t>a</w:t>
      </w:r>
      <w:r w:rsidR="00605BDE" w:rsidRPr="003E5ED2">
        <w:rPr>
          <w:rFonts w:ascii="Arial" w:hAnsi="Arial" w:cs="Arial"/>
          <w:sz w:val="22"/>
          <w:szCs w:val="22"/>
        </w:rPr>
        <w:t xml:space="preserve"> i </w:t>
      </w:r>
      <w:r w:rsidRPr="003E5ED2">
        <w:rPr>
          <w:rFonts w:ascii="Arial" w:hAnsi="Arial" w:cs="Arial"/>
          <w:sz w:val="22"/>
          <w:szCs w:val="22"/>
        </w:rPr>
        <w:t>biljež</w:t>
      </w:r>
      <w:r w:rsidR="00605BDE" w:rsidRPr="003E5ED2">
        <w:rPr>
          <w:rFonts w:ascii="Arial" w:hAnsi="Arial" w:cs="Arial"/>
          <w:sz w:val="22"/>
          <w:szCs w:val="22"/>
        </w:rPr>
        <w:t>e rast</w:t>
      </w:r>
      <w:r w:rsidR="00BA7F08" w:rsidRPr="003E5ED2">
        <w:rPr>
          <w:rFonts w:ascii="Arial" w:hAnsi="Arial" w:cs="Arial"/>
          <w:sz w:val="22"/>
          <w:szCs w:val="22"/>
        </w:rPr>
        <w:t xml:space="preserve"> </w:t>
      </w:r>
      <w:r w:rsidRPr="003E5ED2">
        <w:rPr>
          <w:rFonts w:ascii="Arial" w:hAnsi="Arial" w:cs="Arial"/>
          <w:sz w:val="22"/>
          <w:szCs w:val="22"/>
        </w:rPr>
        <w:t xml:space="preserve">za </w:t>
      </w:r>
      <w:r w:rsidR="000B4516" w:rsidRPr="003E5ED2">
        <w:rPr>
          <w:rFonts w:ascii="Arial" w:hAnsi="Arial" w:cs="Arial"/>
          <w:sz w:val="22"/>
          <w:szCs w:val="22"/>
        </w:rPr>
        <w:t>198,4</w:t>
      </w:r>
      <w:r w:rsidR="00492B78" w:rsidRPr="003E5ED2">
        <w:rPr>
          <w:rFonts w:ascii="Arial" w:hAnsi="Arial" w:cs="Arial"/>
          <w:sz w:val="22"/>
          <w:szCs w:val="22"/>
        </w:rPr>
        <w:t>%</w:t>
      </w:r>
      <w:r w:rsidR="009F30F0" w:rsidRPr="003E5ED2">
        <w:rPr>
          <w:rFonts w:ascii="Arial" w:hAnsi="Arial" w:cs="Arial"/>
          <w:sz w:val="22"/>
          <w:szCs w:val="22"/>
        </w:rPr>
        <w:t xml:space="preserve"> u odnosu na ostvarenje u prethodnoj godini</w:t>
      </w:r>
      <w:r w:rsidR="00605BDE" w:rsidRPr="003E5ED2">
        <w:rPr>
          <w:rFonts w:ascii="Arial" w:hAnsi="Arial" w:cs="Arial"/>
          <w:sz w:val="22"/>
          <w:szCs w:val="22"/>
        </w:rPr>
        <w:t>.</w:t>
      </w:r>
      <w:r w:rsidR="0025112F" w:rsidRPr="003E5ED2">
        <w:rPr>
          <w:rFonts w:ascii="Arial" w:hAnsi="Arial" w:cs="Arial"/>
          <w:sz w:val="22"/>
          <w:szCs w:val="22"/>
        </w:rPr>
        <w:t xml:space="preserve"> </w:t>
      </w:r>
      <w:r w:rsidR="00B566DA" w:rsidRPr="003E5ED2">
        <w:rPr>
          <w:rFonts w:ascii="Arial" w:hAnsi="Arial" w:cs="Arial"/>
          <w:noProof/>
          <w:sz w:val="22"/>
          <w:szCs w:val="22"/>
        </w:rPr>
        <w:t>Ovdje je značajno spomenuti rashode koji su ostvareni za izradu projektne dokumentacije za produžetak ulice Riva</w:t>
      </w:r>
      <w:r w:rsidR="00605BDE" w:rsidRPr="003E5ED2">
        <w:rPr>
          <w:rFonts w:ascii="Arial" w:hAnsi="Arial" w:cs="Arial"/>
          <w:noProof/>
          <w:sz w:val="22"/>
          <w:szCs w:val="22"/>
        </w:rPr>
        <w:t xml:space="preserve"> i uređenja trga Žabica</w:t>
      </w:r>
      <w:r w:rsidR="00B566DA" w:rsidRPr="003E5ED2">
        <w:rPr>
          <w:rFonts w:ascii="Arial" w:hAnsi="Arial" w:cs="Arial"/>
          <w:noProof/>
          <w:sz w:val="22"/>
          <w:szCs w:val="22"/>
        </w:rPr>
        <w:t xml:space="preserve">, za projekt premještanja spomenika radi izgradnje stanova u Zametskoj ulici, za izradu eleborata za dogradnju dječjeg vrtića Galeb, </w:t>
      </w:r>
      <w:r w:rsidR="005B4E45" w:rsidRPr="003E5ED2">
        <w:rPr>
          <w:rFonts w:ascii="Arial" w:hAnsi="Arial" w:cs="Arial"/>
          <w:noProof/>
          <w:sz w:val="22"/>
          <w:szCs w:val="22"/>
        </w:rPr>
        <w:t xml:space="preserve">zatim </w:t>
      </w:r>
      <w:r w:rsidR="00B566DA" w:rsidRPr="003E5ED2">
        <w:rPr>
          <w:rFonts w:ascii="Arial" w:hAnsi="Arial" w:cs="Arial"/>
          <w:noProof/>
          <w:sz w:val="22"/>
          <w:szCs w:val="22"/>
        </w:rPr>
        <w:t>idejno rješenje za energetsku obnovu Hrv</w:t>
      </w:r>
      <w:r w:rsidR="00CB0F29" w:rsidRPr="003E5ED2">
        <w:rPr>
          <w:rFonts w:ascii="Arial" w:hAnsi="Arial" w:cs="Arial"/>
          <w:noProof/>
          <w:sz w:val="22"/>
          <w:szCs w:val="22"/>
        </w:rPr>
        <w:t>atskog kulturnog doma na Sušaku i</w:t>
      </w:r>
      <w:r w:rsidR="00B566DA" w:rsidRPr="003E5ED2">
        <w:rPr>
          <w:rFonts w:ascii="Arial" w:hAnsi="Arial" w:cs="Arial"/>
          <w:noProof/>
          <w:sz w:val="22"/>
          <w:szCs w:val="22"/>
        </w:rPr>
        <w:t xml:space="preserve"> </w:t>
      </w:r>
      <w:r w:rsidR="00605BDE" w:rsidRPr="003E5ED2">
        <w:rPr>
          <w:rFonts w:ascii="Arial" w:hAnsi="Arial" w:cs="Arial"/>
          <w:sz w:val="22"/>
          <w:szCs w:val="22"/>
        </w:rPr>
        <w:t xml:space="preserve">izrada projektne dokumentacije </w:t>
      </w:r>
      <w:r w:rsidR="00B566DA" w:rsidRPr="003E5ED2">
        <w:rPr>
          <w:rFonts w:ascii="Arial" w:hAnsi="Arial" w:cs="Arial"/>
          <w:noProof/>
          <w:sz w:val="22"/>
          <w:szCs w:val="22"/>
        </w:rPr>
        <w:t>za rekonstrukciju D</w:t>
      </w:r>
      <w:r w:rsidR="00CB0F29" w:rsidRPr="003E5ED2">
        <w:rPr>
          <w:rFonts w:ascii="Arial" w:hAnsi="Arial" w:cs="Arial"/>
          <w:noProof/>
          <w:sz w:val="22"/>
          <w:szCs w:val="22"/>
        </w:rPr>
        <w:t>vorane mladosti</w:t>
      </w:r>
      <w:r w:rsidR="00B566DA" w:rsidRPr="003E5ED2">
        <w:rPr>
          <w:rFonts w:ascii="Arial" w:hAnsi="Arial" w:cs="Arial"/>
          <w:noProof/>
          <w:sz w:val="22"/>
          <w:szCs w:val="22"/>
        </w:rPr>
        <w:t>.</w:t>
      </w:r>
    </w:p>
    <w:p w:rsidR="00CB0F29" w:rsidRPr="003E5ED2" w:rsidRDefault="00CB0F29" w:rsidP="00B566DA">
      <w:pPr>
        <w:jc w:val="both"/>
        <w:rPr>
          <w:rFonts w:ascii="Arial" w:hAnsi="Arial" w:cs="Arial"/>
          <w:noProof/>
          <w:sz w:val="22"/>
          <w:szCs w:val="22"/>
        </w:rPr>
      </w:pPr>
    </w:p>
    <w:p w:rsidR="009507AE" w:rsidRPr="003E5ED2" w:rsidRDefault="009507AE" w:rsidP="00BA3E3E">
      <w:pPr>
        <w:jc w:val="both"/>
        <w:rPr>
          <w:rFonts w:ascii="Arial" w:hAnsi="Arial" w:cs="Arial"/>
          <w:sz w:val="22"/>
          <w:szCs w:val="22"/>
        </w:rPr>
      </w:pPr>
      <w:r w:rsidRPr="003E5ED2">
        <w:rPr>
          <w:rFonts w:ascii="Arial" w:hAnsi="Arial" w:cs="Arial"/>
          <w:i/>
          <w:sz w:val="22"/>
          <w:szCs w:val="22"/>
          <w:u w:val="single"/>
        </w:rPr>
        <w:t xml:space="preserve">Rashodi za dodatna ulaganja na nefinancijskoj imovini (45) </w:t>
      </w:r>
      <w:r w:rsidR="00107FD7" w:rsidRPr="003E5ED2">
        <w:rPr>
          <w:rFonts w:ascii="Arial" w:hAnsi="Arial" w:cs="Arial"/>
          <w:sz w:val="22"/>
          <w:szCs w:val="22"/>
        </w:rPr>
        <w:t xml:space="preserve">iznose 5.827.135,25 eura i </w:t>
      </w:r>
      <w:r w:rsidR="00412A33" w:rsidRPr="003E5ED2">
        <w:rPr>
          <w:rFonts w:ascii="Arial" w:hAnsi="Arial" w:cs="Arial"/>
          <w:sz w:val="22"/>
          <w:szCs w:val="22"/>
        </w:rPr>
        <w:t xml:space="preserve">bilježe </w:t>
      </w:r>
      <w:r w:rsidR="000B4516" w:rsidRPr="003E5ED2">
        <w:rPr>
          <w:rFonts w:ascii="Arial" w:hAnsi="Arial" w:cs="Arial"/>
          <w:sz w:val="22"/>
          <w:szCs w:val="22"/>
        </w:rPr>
        <w:t>pad</w:t>
      </w:r>
      <w:r w:rsidR="00412A33" w:rsidRPr="003E5ED2">
        <w:rPr>
          <w:rFonts w:ascii="Arial" w:hAnsi="Arial" w:cs="Arial"/>
          <w:sz w:val="22"/>
          <w:szCs w:val="22"/>
        </w:rPr>
        <w:t xml:space="preserve"> od </w:t>
      </w:r>
      <w:r w:rsidR="00BF13D6" w:rsidRPr="003E5ED2">
        <w:rPr>
          <w:rFonts w:ascii="Arial" w:hAnsi="Arial" w:cs="Arial"/>
          <w:sz w:val="22"/>
          <w:szCs w:val="22"/>
        </w:rPr>
        <w:t>45,1</w:t>
      </w:r>
      <w:r w:rsidR="00107FD7" w:rsidRPr="003E5ED2">
        <w:rPr>
          <w:rFonts w:ascii="Arial" w:hAnsi="Arial" w:cs="Arial"/>
          <w:sz w:val="22"/>
          <w:szCs w:val="22"/>
        </w:rPr>
        <w:t xml:space="preserve">%, </w:t>
      </w:r>
      <w:r w:rsidR="00107FD7" w:rsidRPr="003E5ED2">
        <w:rPr>
          <w:rFonts w:ascii="Arial" w:hAnsi="Arial" w:cs="Arial"/>
          <w:noProof/>
          <w:sz w:val="22"/>
          <w:szCs w:val="22"/>
        </w:rPr>
        <w:t>odnosno smanjenje rashoda na dodatnim ulaganjima na građevinskim objektima</w:t>
      </w:r>
      <w:r w:rsidR="00CB0F29" w:rsidRPr="003E5ED2">
        <w:rPr>
          <w:rFonts w:ascii="Arial" w:hAnsi="Arial" w:cs="Arial"/>
          <w:sz w:val="22"/>
          <w:szCs w:val="22"/>
        </w:rPr>
        <w:t xml:space="preserve"> u odnosu na ostvarenje prethodne godine</w:t>
      </w:r>
      <w:r w:rsidR="002B5C49" w:rsidRPr="003E5ED2">
        <w:rPr>
          <w:rFonts w:ascii="Arial" w:hAnsi="Arial" w:cs="Arial"/>
          <w:noProof/>
          <w:sz w:val="22"/>
          <w:szCs w:val="22"/>
        </w:rPr>
        <w:t xml:space="preserve">. </w:t>
      </w:r>
      <w:r w:rsidR="00CB0F29" w:rsidRPr="003E5ED2">
        <w:rPr>
          <w:rFonts w:ascii="Arial" w:hAnsi="Arial" w:cs="Arial"/>
          <w:noProof/>
          <w:sz w:val="22"/>
          <w:szCs w:val="22"/>
        </w:rPr>
        <w:t xml:space="preserve">Značajnija ulaganja tijekom </w:t>
      </w:r>
      <w:r w:rsidR="00BF13D6" w:rsidRPr="003E5ED2">
        <w:rPr>
          <w:rFonts w:ascii="Arial" w:hAnsi="Arial" w:cs="Arial"/>
          <w:sz w:val="22"/>
          <w:szCs w:val="22"/>
        </w:rPr>
        <w:t xml:space="preserve">2024. godine </w:t>
      </w:r>
      <w:r w:rsidR="00CB0F29" w:rsidRPr="003E5ED2">
        <w:rPr>
          <w:rFonts w:ascii="Arial" w:hAnsi="Arial" w:cs="Arial"/>
          <w:sz w:val="22"/>
          <w:szCs w:val="22"/>
        </w:rPr>
        <w:t>su: ulaganja</w:t>
      </w:r>
      <w:r w:rsidR="002B5C49" w:rsidRPr="003E5ED2">
        <w:rPr>
          <w:rFonts w:ascii="Arial" w:hAnsi="Arial" w:cs="Arial"/>
          <w:sz w:val="22"/>
          <w:szCs w:val="22"/>
        </w:rPr>
        <w:t xml:space="preserve"> u </w:t>
      </w:r>
      <w:r w:rsidR="00BF13D6" w:rsidRPr="003E5ED2">
        <w:rPr>
          <w:rFonts w:ascii="Arial" w:hAnsi="Arial" w:cs="Arial"/>
          <w:sz w:val="22"/>
          <w:szCs w:val="22"/>
        </w:rPr>
        <w:t xml:space="preserve">projekt Energana-Start </w:t>
      </w:r>
      <w:proofErr w:type="spellStart"/>
      <w:r w:rsidR="00BF13D6" w:rsidRPr="003E5ED2">
        <w:rPr>
          <w:rFonts w:ascii="Arial" w:hAnsi="Arial" w:cs="Arial"/>
          <w:sz w:val="22"/>
          <w:szCs w:val="22"/>
        </w:rPr>
        <w:t>up</w:t>
      </w:r>
      <w:proofErr w:type="spellEnd"/>
      <w:r w:rsidR="00BF13D6" w:rsidRPr="003E5ED2">
        <w:rPr>
          <w:rFonts w:ascii="Arial" w:hAnsi="Arial" w:cs="Arial"/>
          <w:sz w:val="22"/>
          <w:szCs w:val="22"/>
        </w:rPr>
        <w:t xml:space="preserve"> inkubator za kreativne tehnologije i IT industriju, zatim ulaganja u projekt Turistička valorizacija reprezentativnih spomenika riječke industrijske baštine - Brod Galeb</w:t>
      </w:r>
      <w:r w:rsidR="00C30A4B" w:rsidRPr="003E5ED2">
        <w:rPr>
          <w:rFonts w:ascii="Arial" w:hAnsi="Arial" w:cs="Arial"/>
          <w:sz w:val="22"/>
          <w:szCs w:val="22"/>
        </w:rPr>
        <w:t>, ulaganja u dječje vrtiće i škole, zgradu HNK I.</w:t>
      </w:r>
      <w:r w:rsidR="00F90887" w:rsidRPr="003E5ED2">
        <w:rPr>
          <w:rFonts w:ascii="Arial" w:hAnsi="Arial" w:cs="Arial"/>
          <w:sz w:val="22"/>
          <w:szCs w:val="22"/>
        </w:rPr>
        <w:t xml:space="preserve"> </w:t>
      </w:r>
      <w:r w:rsidR="00C30A4B" w:rsidRPr="003E5ED2">
        <w:rPr>
          <w:rFonts w:ascii="Arial" w:hAnsi="Arial" w:cs="Arial"/>
          <w:sz w:val="22"/>
          <w:szCs w:val="22"/>
        </w:rPr>
        <w:t>pl</w:t>
      </w:r>
      <w:r w:rsidR="00DC689A" w:rsidRPr="003E5ED2">
        <w:rPr>
          <w:rFonts w:ascii="Arial" w:hAnsi="Arial" w:cs="Arial"/>
          <w:sz w:val="22"/>
          <w:szCs w:val="22"/>
        </w:rPr>
        <w:t xml:space="preserve">. </w:t>
      </w:r>
      <w:r w:rsidR="00C30A4B" w:rsidRPr="003E5ED2">
        <w:rPr>
          <w:rFonts w:ascii="Arial" w:hAnsi="Arial" w:cs="Arial"/>
          <w:sz w:val="22"/>
          <w:szCs w:val="22"/>
        </w:rPr>
        <w:t xml:space="preserve">Zajca, nogometni stadion Kantrida, boćarski dom </w:t>
      </w:r>
      <w:proofErr w:type="spellStart"/>
      <w:r w:rsidR="00C30A4B" w:rsidRPr="003E5ED2">
        <w:rPr>
          <w:rFonts w:ascii="Arial" w:hAnsi="Arial" w:cs="Arial"/>
          <w:sz w:val="22"/>
          <w:szCs w:val="22"/>
        </w:rPr>
        <w:t>Podvežica</w:t>
      </w:r>
      <w:proofErr w:type="spellEnd"/>
      <w:r w:rsidR="00C30A4B" w:rsidRPr="003E5ED2">
        <w:rPr>
          <w:rFonts w:ascii="Arial" w:hAnsi="Arial" w:cs="Arial"/>
          <w:sz w:val="22"/>
          <w:szCs w:val="22"/>
        </w:rPr>
        <w:t>, sportske dvorane 3.</w:t>
      </w:r>
      <w:r w:rsidR="00F90887" w:rsidRPr="003E5ED2">
        <w:rPr>
          <w:rFonts w:ascii="Arial" w:hAnsi="Arial" w:cs="Arial"/>
          <w:sz w:val="22"/>
          <w:szCs w:val="22"/>
        </w:rPr>
        <w:t xml:space="preserve"> </w:t>
      </w:r>
      <w:r w:rsidR="00C30A4B" w:rsidRPr="003E5ED2">
        <w:rPr>
          <w:rFonts w:ascii="Arial" w:hAnsi="Arial" w:cs="Arial"/>
          <w:sz w:val="22"/>
          <w:szCs w:val="22"/>
        </w:rPr>
        <w:t xml:space="preserve">maj i SRC Zamet, ulaganja u groblja </w:t>
      </w:r>
      <w:proofErr w:type="spellStart"/>
      <w:r w:rsidR="00C30A4B" w:rsidRPr="003E5ED2">
        <w:rPr>
          <w:rFonts w:ascii="Arial" w:hAnsi="Arial" w:cs="Arial"/>
          <w:sz w:val="22"/>
          <w:szCs w:val="22"/>
        </w:rPr>
        <w:t>Kozala</w:t>
      </w:r>
      <w:proofErr w:type="spellEnd"/>
      <w:r w:rsidR="00C30A4B" w:rsidRPr="003E5ED2">
        <w:rPr>
          <w:rFonts w:ascii="Arial" w:hAnsi="Arial" w:cs="Arial"/>
          <w:sz w:val="22"/>
          <w:szCs w:val="22"/>
        </w:rPr>
        <w:t xml:space="preserve"> i Trsat</w:t>
      </w:r>
      <w:r w:rsidR="00F90887" w:rsidRPr="003E5ED2">
        <w:rPr>
          <w:rFonts w:ascii="Arial" w:hAnsi="Arial" w:cs="Arial"/>
          <w:sz w:val="22"/>
          <w:szCs w:val="22"/>
        </w:rPr>
        <w:t xml:space="preserve"> - </w:t>
      </w:r>
      <w:r w:rsidR="00C30A4B" w:rsidRPr="003E5ED2">
        <w:rPr>
          <w:rFonts w:ascii="Arial" w:hAnsi="Arial" w:cs="Arial"/>
          <w:sz w:val="22"/>
          <w:szCs w:val="22"/>
        </w:rPr>
        <w:t>konze</w:t>
      </w:r>
      <w:r w:rsidR="004C3F51" w:rsidRPr="003E5ED2">
        <w:rPr>
          <w:rFonts w:ascii="Arial" w:hAnsi="Arial" w:cs="Arial"/>
          <w:sz w:val="22"/>
          <w:szCs w:val="22"/>
        </w:rPr>
        <w:t>r</w:t>
      </w:r>
      <w:r w:rsidR="00C30A4B" w:rsidRPr="003E5ED2">
        <w:rPr>
          <w:rFonts w:ascii="Arial" w:hAnsi="Arial" w:cs="Arial"/>
          <w:sz w:val="22"/>
          <w:szCs w:val="22"/>
        </w:rPr>
        <w:t>vatorske podloge i dr.</w:t>
      </w:r>
    </w:p>
    <w:p w:rsidR="009507AE" w:rsidRPr="003E5ED2" w:rsidRDefault="009507AE" w:rsidP="00E109F9">
      <w:pPr>
        <w:jc w:val="both"/>
        <w:rPr>
          <w:rFonts w:ascii="Arial" w:hAnsi="Arial" w:cs="Arial"/>
          <w:sz w:val="22"/>
          <w:szCs w:val="22"/>
        </w:rPr>
      </w:pPr>
    </w:p>
    <w:p w:rsidR="00CB6CE6" w:rsidRPr="003E5ED2" w:rsidRDefault="00CB6CE6" w:rsidP="000E69DA">
      <w:pPr>
        <w:tabs>
          <w:tab w:val="left" w:pos="284"/>
          <w:tab w:val="left" w:pos="567"/>
          <w:tab w:val="left" w:pos="851"/>
        </w:tabs>
        <w:ind w:left="1440" w:hanging="1440"/>
        <w:jc w:val="both"/>
        <w:rPr>
          <w:rFonts w:ascii="Arial" w:hAnsi="Arial" w:cs="Arial"/>
          <w:b/>
          <w:sz w:val="22"/>
          <w:szCs w:val="22"/>
          <w:highlight w:val="yellow"/>
        </w:rPr>
      </w:pPr>
    </w:p>
    <w:p w:rsidR="000E69DA" w:rsidRPr="003E5ED2" w:rsidRDefault="000E69DA" w:rsidP="000E69DA">
      <w:pPr>
        <w:tabs>
          <w:tab w:val="left" w:pos="284"/>
          <w:tab w:val="left" w:pos="567"/>
          <w:tab w:val="left" w:pos="851"/>
        </w:tabs>
        <w:ind w:left="1440" w:hanging="1440"/>
        <w:jc w:val="both"/>
        <w:rPr>
          <w:rFonts w:ascii="Arial" w:hAnsi="Arial" w:cs="Arial"/>
          <w:b/>
          <w:sz w:val="22"/>
          <w:szCs w:val="22"/>
        </w:rPr>
      </w:pPr>
      <w:r w:rsidRPr="003E5ED2">
        <w:rPr>
          <w:rFonts w:ascii="Arial" w:hAnsi="Arial" w:cs="Arial"/>
          <w:b/>
          <w:sz w:val="22"/>
          <w:szCs w:val="22"/>
        </w:rPr>
        <w:t>Bilješka broj 1</w:t>
      </w:r>
      <w:r w:rsidR="00A5605F" w:rsidRPr="003E5ED2">
        <w:rPr>
          <w:rFonts w:ascii="Arial" w:hAnsi="Arial" w:cs="Arial"/>
          <w:b/>
          <w:sz w:val="22"/>
          <w:szCs w:val="22"/>
        </w:rPr>
        <w:t>6</w:t>
      </w:r>
      <w:r w:rsidR="00E07808" w:rsidRPr="003E5ED2">
        <w:rPr>
          <w:rFonts w:ascii="Arial" w:hAnsi="Arial" w:cs="Arial"/>
          <w:b/>
          <w:sz w:val="22"/>
          <w:szCs w:val="22"/>
        </w:rPr>
        <w:t xml:space="preserve"> – </w:t>
      </w:r>
      <w:r w:rsidR="00505082" w:rsidRPr="003E5ED2">
        <w:rPr>
          <w:rFonts w:ascii="Arial" w:hAnsi="Arial" w:cs="Arial"/>
          <w:b/>
          <w:sz w:val="22"/>
          <w:szCs w:val="22"/>
        </w:rPr>
        <w:t>8</w:t>
      </w:r>
      <w:r w:rsidRPr="003E5ED2">
        <w:rPr>
          <w:rFonts w:ascii="Arial" w:hAnsi="Arial" w:cs="Arial"/>
          <w:b/>
          <w:sz w:val="22"/>
          <w:szCs w:val="22"/>
        </w:rPr>
        <w:t xml:space="preserve">  PRIMICI OD FINANCIJSKE IMOVINE I ZADUŽIVANJA</w:t>
      </w:r>
    </w:p>
    <w:p w:rsidR="000E69DA" w:rsidRPr="003E5ED2" w:rsidRDefault="000E69DA" w:rsidP="000E69DA">
      <w:pPr>
        <w:keepNext/>
        <w:jc w:val="both"/>
        <w:outlineLvl w:val="3"/>
        <w:rPr>
          <w:rFonts w:ascii="Arial" w:hAnsi="Arial" w:cs="Arial"/>
          <w:b/>
          <w:sz w:val="22"/>
          <w:szCs w:val="22"/>
        </w:rPr>
      </w:pPr>
    </w:p>
    <w:p w:rsidR="00C62151" w:rsidRPr="003E5ED2" w:rsidRDefault="000E69DA" w:rsidP="00C62151">
      <w:pPr>
        <w:pStyle w:val="BodyText"/>
        <w:jc w:val="both"/>
        <w:rPr>
          <w:rFonts w:ascii="Arial" w:hAnsi="Arial" w:cs="Arial"/>
          <w:sz w:val="22"/>
          <w:szCs w:val="22"/>
        </w:rPr>
      </w:pPr>
      <w:r w:rsidRPr="003E5ED2">
        <w:rPr>
          <w:rFonts w:ascii="Arial" w:hAnsi="Arial" w:cs="Arial"/>
          <w:b/>
          <w:sz w:val="22"/>
          <w:szCs w:val="22"/>
        </w:rPr>
        <w:t>Primici od financijske imovine i zaduživanja</w:t>
      </w:r>
      <w:r w:rsidRPr="003E5ED2">
        <w:rPr>
          <w:rFonts w:ascii="Arial" w:hAnsi="Arial" w:cs="Arial"/>
          <w:sz w:val="22"/>
          <w:szCs w:val="22"/>
        </w:rPr>
        <w:t xml:space="preserve"> ostvareni su u iznosu od </w:t>
      </w:r>
      <w:r w:rsidR="00C30A4B" w:rsidRPr="003E5ED2">
        <w:rPr>
          <w:rFonts w:ascii="Arial" w:hAnsi="Arial" w:cs="Arial"/>
          <w:sz w:val="22"/>
          <w:szCs w:val="22"/>
        </w:rPr>
        <w:t>281.946,09</w:t>
      </w:r>
      <w:r w:rsidR="00412A33" w:rsidRPr="003E5ED2">
        <w:rPr>
          <w:rFonts w:ascii="Arial" w:hAnsi="Arial" w:cs="Arial"/>
          <w:sz w:val="22"/>
          <w:szCs w:val="22"/>
        </w:rPr>
        <w:t xml:space="preserve"> eura</w:t>
      </w:r>
      <w:r w:rsidR="00C62151" w:rsidRPr="003E5ED2">
        <w:rPr>
          <w:rFonts w:ascii="Arial" w:hAnsi="Arial" w:cs="Arial"/>
          <w:sz w:val="22"/>
          <w:szCs w:val="22"/>
        </w:rPr>
        <w:t>,</w:t>
      </w:r>
      <w:r w:rsidRPr="003E5ED2">
        <w:rPr>
          <w:rFonts w:ascii="Arial" w:hAnsi="Arial" w:cs="Arial"/>
          <w:sz w:val="22"/>
          <w:szCs w:val="22"/>
        </w:rPr>
        <w:t xml:space="preserve"> </w:t>
      </w:r>
      <w:r w:rsidR="00C62151" w:rsidRPr="003E5ED2">
        <w:rPr>
          <w:rFonts w:ascii="Arial" w:hAnsi="Arial" w:cs="Arial"/>
          <w:sz w:val="22"/>
          <w:szCs w:val="22"/>
        </w:rPr>
        <w:t xml:space="preserve">96,7% manje </w:t>
      </w:r>
      <w:r w:rsidRPr="003E5ED2">
        <w:rPr>
          <w:rFonts w:ascii="Arial" w:hAnsi="Arial" w:cs="Arial"/>
          <w:sz w:val="22"/>
          <w:szCs w:val="22"/>
        </w:rPr>
        <w:t>u odnosu na ostvarenje u istom razdoblju prethodne godine</w:t>
      </w:r>
      <w:r w:rsidR="00C62151" w:rsidRPr="003E5ED2">
        <w:rPr>
          <w:rFonts w:ascii="Arial" w:hAnsi="Arial" w:cs="Arial"/>
          <w:sz w:val="22"/>
          <w:szCs w:val="22"/>
        </w:rPr>
        <w:t>.</w:t>
      </w:r>
    </w:p>
    <w:p w:rsidR="00C62151" w:rsidRPr="003E5ED2" w:rsidRDefault="00C62151" w:rsidP="00C62151">
      <w:pPr>
        <w:pStyle w:val="BodyText"/>
        <w:spacing w:after="0"/>
        <w:jc w:val="both"/>
        <w:rPr>
          <w:rFonts w:ascii="Arial" w:hAnsi="Arial" w:cs="Arial"/>
          <w:sz w:val="22"/>
          <w:szCs w:val="22"/>
        </w:rPr>
      </w:pPr>
    </w:p>
    <w:p w:rsidR="000E69DA" w:rsidRPr="003E5ED2" w:rsidRDefault="005D0B7E" w:rsidP="00C15208">
      <w:pPr>
        <w:jc w:val="both"/>
        <w:rPr>
          <w:rFonts w:ascii="Arial" w:hAnsi="Arial" w:cs="Arial"/>
          <w:sz w:val="22"/>
          <w:szCs w:val="22"/>
        </w:rPr>
      </w:pPr>
      <w:r w:rsidRPr="003E5ED2">
        <w:rPr>
          <w:rFonts w:ascii="Arial" w:hAnsi="Arial" w:cs="Arial"/>
          <w:i/>
          <w:sz w:val="22"/>
          <w:szCs w:val="22"/>
          <w:u w:val="single"/>
        </w:rPr>
        <w:t>Primljeni povrati glavnica</w:t>
      </w:r>
      <w:r w:rsidR="000E69DA" w:rsidRPr="003E5ED2">
        <w:rPr>
          <w:rFonts w:ascii="Arial" w:hAnsi="Arial" w:cs="Arial"/>
          <w:i/>
          <w:sz w:val="22"/>
          <w:szCs w:val="22"/>
          <w:u w:val="single"/>
        </w:rPr>
        <w:t xml:space="preserve"> d</w:t>
      </w:r>
      <w:r w:rsidR="00E07808" w:rsidRPr="003E5ED2">
        <w:rPr>
          <w:rFonts w:ascii="Arial" w:hAnsi="Arial" w:cs="Arial"/>
          <w:i/>
          <w:sz w:val="22"/>
          <w:szCs w:val="22"/>
          <w:u w:val="single"/>
        </w:rPr>
        <w:t>anih zajmova i depozita (</w:t>
      </w:r>
      <w:r w:rsidR="00505082" w:rsidRPr="003E5ED2">
        <w:rPr>
          <w:rFonts w:ascii="Arial" w:hAnsi="Arial" w:cs="Arial"/>
          <w:i/>
          <w:sz w:val="22"/>
          <w:szCs w:val="22"/>
          <w:u w:val="single"/>
        </w:rPr>
        <w:t>81</w:t>
      </w:r>
      <w:r w:rsidR="000E69DA" w:rsidRPr="003E5ED2">
        <w:rPr>
          <w:rFonts w:ascii="Arial" w:hAnsi="Arial" w:cs="Arial"/>
          <w:i/>
          <w:sz w:val="22"/>
          <w:szCs w:val="22"/>
          <w:u w:val="single"/>
        </w:rPr>
        <w:t>)</w:t>
      </w:r>
      <w:r w:rsidR="000E69DA" w:rsidRPr="003E5ED2">
        <w:rPr>
          <w:rFonts w:ascii="Arial" w:hAnsi="Arial" w:cs="Arial"/>
          <w:sz w:val="22"/>
          <w:szCs w:val="22"/>
        </w:rPr>
        <w:t xml:space="preserve"> ostvareni su u iznosu od </w:t>
      </w:r>
      <w:r w:rsidR="00C30A4B" w:rsidRPr="003E5ED2">
        <w:rPr>
          <w:rFonts w:ascii="Arial" w:hAnsi="Arial" w:cs="Arial"/>
          <w:sz w:val="22"/>
          <w:szCs w:val="22"/>
        </w:rPr>
        <w:t>281.946,09</w:t>
      </w:r>
      <w:r w:rsidR="00E008ED" w:rsidRPr="003E5ED2">
        <w:rPr>
          <w:rFonts w:ascii="Arial" w:hAnsi="Arial" w:cs="Arial"/>
          <w:sz w:val="22"/>
          <w:szCs w:val="22"/>
        </w:rPr>
        <w:t xml:space="preserve"> eura</w:t>
      </w:r>
      <w:r w:rsidR="008469AC" w:rsidRPr="003E5ED2">
        <w:rPr>
          <w:rFonts w:ascii="Arial" w:hAnsi="Arial" w:cs="Arial"/>
          <w:sz w:val="22"/>
          <w:szCs w:val="22"/>
        </w:rPr>
        <w:t xml:space="preserve"> po osnovi </w:t>
      </w:r>
      <w:r w:rsidR="0009618F" w:rsidRPr="003E5ED2">
        <w:rPr>
          <w:rFonts w:ascii="Arial" w:hAnsi="Arial" w:cs="Arial"/>
          <w:sz w:val="22"/>
          <w:szCs w:val="22"/>
        </w:rPr>
        <w:t>povrat</w:t>
      </w:r>
      <w:r w:rsidR="008469AC" w:rsidRPr="003E5ED2">
        <w:rPr>
          <w:rFonts w:ascii="Arial" w:hAnsi="Arial" w:cs="Arial"/>
          <w:sz w:val="22"/>
          <w:szCs w:val="22"/>
        </w:rPr>
        <w:t>a</w:t>
      </w:r>
      <w:r w:rsidR="00206285" w:rsidRPr="003E5ED2">
        <w:rPr>
          <w:rFonts w:ascii="Arial" w:hAnsi="Arial" w:cs="Arial"/>
          <w:sz w:val="22"/>
          <w:szCs w:val="22"/>
        </w:rPr>
        <w:t xml:space="preserve"> depozita </w:t>
      </w:r>
      <w:r w:rsidR="0009618F" w:rsidRPr="003E5ED2">
        <w:rPr>
          <w:rFonts w:ascii="Arial" w:hAnsi="Arial" w:cs="Arial"/>
          <w:sz w:val="22"/>
          <w:szCs w:val="22"/>
        </w:rPr>
        <w:t xml:space="preserve">(8153) u iznosu od </w:t>
      </w:r>
      <w:r w:rsidR="00206285" w:rsidRPr="003E5ED2">
        <w:rPr>
          <w:rFonts w:ascii="Arial" w:hAnsi="Arial" w:cs="Arial"/>
          <w:sz w:val="22"/>
          <w:szCs w:val="22"/>
        </w:rPr>
        <w:t>126.581,33</w:t>
      </w:r>
      <w:r w:rsidR="00A90D7F" w:rsidRPr="003E5ED2">
        <w:rPr>
          <w:rFonts w:ascii="Arial" w:hAnsi="Arial" w:cs="Arial"/>
          <w:sz w:val="22"/>
          <w:szCs w:val="22"/>
        </w:rPr>
        <w:t xml:space="preserve"> eura,</w:t>
      </w:r>
      <w:r w:rsidR="00553555" w:rsidRPr="003E5ED2">
        <w:rPr>
          <w:rFonts w:ascii="Arial" w:hAnsi="Arial" w:cs="Arial"/>
          <w:sz w:val="22"/>
          <w:szCs w:val="22"/>
        </w:rPr>
        <w:t xml:space="preserve"> povrat</w:t>
      </w:r>
      <w:r w:rsidR="006A2C1B" w:rsidRPr="003E5ED2">
        <w:rPr>
          <w:rFonts w:ascii="Arial" w:hAnsi="Arial" w:cs="Arial"/>
          <w:sz w:val="22"/>
          <w:szCs w:val="22"/>
        </w:rPr>
        <w:t>a</w:t>
      </w:r>
      <w:r w:rsidR="00553555" w:rsidRPr="003E5ED2">
        <w:rPr>
          <w:rFonts w:ascii="Arial" w:hAnsi="Arial" w:cs="Arial"/>
          <w:sz w:val="22"/>
          <w:szCs w:val="22"/>
        </w:rPr>
        <w:t xml:space="preserve"> zajmova danih</w:t>
      </w:r>
      <w:r w:rsidR="00206285" w:rsidRPr="003E5ED2">
        <w:rPr>
          <w:rFonts w:ascii="Arial" w:hAnsi="Arial" w:cs="Arial"/>
          <w:sz w:val="22"/>
          <w:szCs w:val="22"/>
        </w:rPr>
        <w:t xml:space="preserve"> tuzemnim trgovačkim društvima izvan javnog sek</w:t>
      </w:r>
      <w:r w:rsidR="00A90D7F" w:rsidRPr="003E5ED2">
        <w:rPr>
          <w:rFonts w:ascii="Arial" w:hAnsi="Arial" w:cs="Arial"/>
          <w:sz w:val="22"/>
          <w:szCs w:val="22"/>
        </w:rPr>
        <w:t>tora</w:t>
      </w:r>
      <w:r w:rsidR="00501734" w:rsidRPr="003E5ED2">
        <w:rPr>
          <w:rFonts w:ascii="Arial" w:hAnsi="Arial" w:cs="Arial"/>
          <w:sz w:val="22"/>
          <w:szCs w:val="22"/>
        </w:rPr>
        <w:t xml:space="preserve"> (8163)</w:t>
      </w:r>
      <w:r w:rsidR="00A90D7F" w:rsidRPr="003E5ED2">
        <w:rPr>
          <w:rFonts w:ascii="Arial" w:hAnsi="Arial" w:cs="Arial"/>
          <w:sz w:val="22"/>
          <w:szCs w:val="22"/>
        </w:rPr>
        <w:t xml:space="preserve"> u iznosu od 27.656,57 eura i povrat zajma Agenciji za društveno poticanu stanogradnju Grada Rijeke u iznosu od 127.708,19 eura.</w:t>
      </w:r>
    </w:p>
    <w:p w:rsidR="00501734" w:rsidRPr="003E5ED2" w:rsidRDefault="00501734" w:rsidP="00C15208">
      <w:pPr>
        <w:jc w:val="both"/>
        <w:rPr>
          <w:rFonts w:ascii="Arial" w:hAnsi="Arial" w:cs="Arial"/>
          <w:sz w:val="22"/>
          <w:szCs w:val="22"/>
        </w:rPr>
      </w:pPr>
    </w:p>
    <w:p w:rsidR="0039384E" w:rsidRPr="003E5ED2" w:rsidRDefault="000E69DA" w:rsidP="00AC73C4">
      <w:pPr>
        <w:jc w:val="both"/>
        <w:rPr>
          <w:rFonts w:ascii="Arial" w:hAnsi="Arial" w:cs="Arial"/>
          <w:sz w:val="22"/>
          <w:szCs w:val="22"/>
          <w:highlight w:val="yellow"/>
        </w:rPr>
      </w:pPr>
      <w:r w:rsidRPr="003E5ED2">
        <w:rPr>
          <w:rFonts w:ascii="Arial" w:hAnsi="Arial" w:cs="Arial"/>
          <w:i/>
          <w:sz w:val="22"/>
          <w:szCs w:val="22"/>
          <w:u w:val="single"/>
        </w:rPr>
        <w:t>Primici od z</w:t>
      </w:r>
      <w:r w:rsidR="001C0CD4" w:rsidRPr="003E5ED2">
        <w:rPr>
          <w:rFonts w:ascii="Arial" w:hAnsi="Arial" w:cs="Arial"/>
          <w:i/>
          <w:sz w:val="22"/>
          <w:szCs w:val="22"/>
          <w:u w:val="single"/>
        </w:rPr>
        <w:t>aduživanja (</w:t>
      </w:r>
      <w:r w:rsidR="00505082" w:rsidRPr="003E5ED2">
        <w:rPr>
          <w:rFonts w:ascii="Arial" w:hAnsi="Arial" w:cs="Arial"/>
          <w:i/>
          <w:sz w:val="22"/>
          <w:szCs w:val="22"/>
          <w:u w:val="single"/>
        </w:rPr>
        <w:t>84</w:t>
      </w:r>
      <w:r w:rsidRPr="003E5ED2">
        <w:rPr>
          <w:rFonts w:ascii="Arial" w:hAnsi="Arial" w:cs="Arial"/>
          <w:i/>
          <w:sz w:val="22"/>
          <w:szCs w:val="22"/>
          <w:u w:val="single"/>
        </w:rPr>
        <w:t>)</w:t>
      </w:r>
      <w:r w:rsidRPr="003E5ED2">
        <w:rPr>
          <w:rFonts w:ascii="Arial" w:hAnsi="Arial" w:cs="Arial"/>
          <w:sz w:val="22"/>
          <w:szCs w:val="22"/>
        </w:rPr>
        <w:t xml:space="preserve"> </w:t>
      </w:r>
      <w:r w:rsidR="00206285" w:rsidRPr="003E5ED2">
        <w:rPr>
          <w:rFonts w:ascii="Arial" w:hAnsi="Arial" w:cs="Arial"/>
          <w:sz w:val="22"/>
          <w:szCs w:val="22"/>
        </w:rPr>
        <w:t>nisu ostvareni</w:t>
      </w:r>
      <w:r w:rsidR="00055980" w:rsidRPr="003E5ED2">
        <w:rPr>
          <w:rFonts w:ascii="Arial" w:hAnsi="Arial" w:cs="Arial"/>
          <w:sz w:val="22"/>
          <w:szCs w:val="22"/>
        </w:rPr>
        <w:t xml:space="preserve"> u ovom obračunskom razdoblju.</w:t>
      </w:r>
      <w:r w:rsidR="00206285" w:rsidRPr="003E5ED2">
        <w:rPr>
          <w:rFonts w:ascii="Arial" w:hAnsi="Arial" w:cs="Arial"/>
          <w:sz w:val="22"/>
          <w:szCs w:val="22"/>
        </w:rPr>
        <w:t xml:space="preserve"> </w:t>
      </w:r>
    </w:p>
    <w:p w:rsidR="00CF6E47" w:rsidRPr="003E5ED2" w:rsidRDefault="00CF6E47" w:rsidP="000E69DA">
      <w:pPr>
        <w:tabs>
          <w:tab w:val="left" w:pos="284"/>
          <w:tab w:val="left" w:pos="567"/>
          <w:tab w:val="left" w:pos="851"/>
        </w:tabs>
        <w:ind w:left="1440"/>
        <w:jc w:val="both"/>
        <w:rPr>
          <w:rFonts w:ascii="Arial" w:hAnsi="Arial" w:cs="Arial"/>
          <w:sz w:val="22"/>
          <w:szCs w:val="22"/>
        </w:rPr>
      </w:pPr>
    </w:p>
    <w:p w:rsidR="001E590F" w:rsidRPr="003E5ED2" w:rsidRDefault="001E590F" w:rsidP="000E69DA">
      <w:pPr>
        <w:tabs>
          <w:tab w:val="left" w:pos="284"/>
          <w:tab w:val="left" w:pos="567"/>
          <w:tab w:val="left" w:pos="851"/>
        </w:tabs>
        <w:ind w:left="1440" w:hanging="1440"/>
        <w:jc w:val="both"/>
        <w:rPr>
          <w:rFonts w:ascii="Arial" w:hAnsi="Arial" w:cs="Arial"/>
          <w:b/>
          <w:sz w:val="22"/>
          <w:szCs w:val="22"/>
        </w:rPr>
      </w:pPr>
    </w:p>
    <w:p w:rsidR="000E69DA" w:rsidRPr="003E5ED2" w:rsidRDefault="000E69DA" w:rsidP="000E69DA">
      <w:pPr>
        <w:tabs>
          <w:tab w:val="left" w:pos="284"/>
          <w:tab w:val="left" w:pos="567"/>
          <w:tab w:val="left" w:pos="851"/>
        </w:tabs>
        <w:ind w:left="1440" w:hanging="1440"/>
        <w:jc w:val="both"/>
        <w:rPr>
          <w:rFonts w:ascii="Arial" w:hAnsi="Arial" w:cs="Arial"/>
          <w:b/>
          <w:sz w:val="22"/>
          <w:szCs w:val="22"/>
        </w:rPr>
      </w:pPr>
      <w:r w:rsidRPr="003E5ED2">
        <w:rPr>
          <w:rFonts w:ascii="Arial" w:hAnsi="Arial" w:cs="Arial"/>
          <w:b/>
          <w:sz w:val="22"/>
          <w:szCs w:val="22"/>
        </w:rPr>
        <w:t>Bilješka broj 1</w:t>
      </w:r>
      <w:r w:rsidR="002E521E" w:rsidRPr="003E5ED2">
        <w:rPr>
          <w:rFonts w:ascii="Arial" w:hAnsi="Arial" w:cs="Arial"/>
          <w:b/>
          <w:sz w:val="22"/>
          <w:szCs w:val="22"/>
        </w:rPr>
        <w:t>7</w:t>
      </w:r>
      <w:r w:rsidR="00E07808" w:rsidRPr="003E5ED2">
        <w:rPr>
          <w:rFonts w:ascii="Arial" w:hAnsi="Arial" w:cs="Arial"/>
          <w:b/>
          <w:sz w:val="22"/>
          <w:szCs w:val="22"/>
        </w:rPr>
        <w:t xml:space="preserve"> – </w:t>
      </w:r>
      <w:r w:rsidR="00505082" w:rsidRPr="003E5ED2">
        <w:rPr>
          <w:rFonts w:ascii="Arial" w:hAnsi="Arial" w:cs="Arial"/>
          <w:b/>
          <w:sz w:val="22"/>
          <w:szCs w:val="22"/>
        </w:rPr>
        <w:t>5</w:t>
      </w:r>
      <w:r w:rsidRPr="003E5ED2">
        <w:rPr>
          <w:rFonts w:ascii="Arial" w:hAnsi="Arial" w:cs="Arial"/>
          <w:b/>
          <w:sz w:val="22"/>
          <w:szCs w:val="22"/>
        </w:rPr>
        <w:t xml:space="preserve">  IZDACI ZA FINANCIJSKU IMOVINU I OTPLATE ZAJMOVA</w:t>
      </w:r>
    </w:p>
    <w:p w:rsidR="000E69DA" w:rsidRPr="003E5ED2" w:rsidRDefault="000E69DA" w:rsidP="000E69DA">
      <w:pPr>
        <w:rPr>
          <w:rFonts w:ascii="Arial" w:hAnsi="Arial" w:cs="Arial"/>
          <w:sz w:val="22"/>
          <w:szCs w:val="22"/>
        </w:rPr>
      </w:pPr>
    </w:p>
    <w:p w:rsidR="00505082" w:rsidRPr="003E5ED2" w:rsidRDefault="000E69DA" w:rsidP="000E69DA">
      <w:pPr>
        <w:jc w:val="both"/>
        <w:rPr>
          <w:rFonts w:ascii="Arial" w:hAnsi="Arial" w:cs="Arial"/>
          <w:sz w:val="22"/>
          <w:szCs w:val="22"/>
        </w:rPr>
      </w:pPr>
      <w:r w:rsidRPr="003E5ED2">
        <w:rPr>
          <w:rFonts w:ascii="Arial" w:hAnsi="Arial" w:cs="Arial"/>
          <w:b/>
          <w:sz w:val="22"/>
          <w:szCs w:val="22"/>
        </w:rPr>
        <w:t>Izdaci za financijsku imovinu i otplate zajmova</w:t>
      </w:r>
      <w:r w:rsidRPr="003E5ED2">
        <w:rPr>
          <w:rFonts w:ascii="Arial" w:hAnsi="Arial" w:cs="Arial"/>
          <w:sz w:val="22"/>
          <w:szCs w:val="22"/>
        </w:rPr>
        <w:t xml:space="preserve"> ostvareni su u iznosu od </w:t>
      </w:r>
      <w:r w:rsidR="00206285" w:rsidRPr="003E5ED2">
        <w:rPr>
          <w:rFonts w:ascii="Arial" w:hAnsi="Arial" w:cs="Arial"/>
          <w:sz w:val="22"/>
          <w:szCs w:val="22"/>
        </w:rPr>
        <w:t>3.604.089,34</w:t>
      </w:r>
      <w:r w:rsidR="000D5E00" w:rsidRPr="003E5ED2">
        <w:rPr>
          <w:rFonts w:ascii="Arial" w:hAnsi="Arial" w:cs="Arial"/>
          <w:sz w:val="22"/>
          <w:szCs w:val="22"/>
        </w:rPr>
        <w:t xml:space="preserve"> eura</w:t>
      </w:r>
      <w:r w:rsidRPr="003E5ED2">
        <w:rPr>
          <w:rFonts w:ascii="Arial" w:hAnsi="Arial" w:cs="Arial"/>
          <w:sz w:val="22"/>
          <w:szCs w:val="22"/>
        </w:rPr>
        <w:t xml:space="preserve"> što</w:t>
      </w:r>
      <w:r w:rsidR="00DB61F1" w:rsidRPr="003E5ED2">
        <w:rPr>
          <w:rFonts w:ascii="Arial" w:hAnsi="Arial" w:cs="Arial"/>
          <w:sz w:val="22"/>
          <w:szCs w:val="22"/>
        </w:rPr>
        <w:t>,</w:t>
      </w:r>
      <w:r w:rsidRPr="003E5ED2">
        <w:rPr>
          <w:rFonts w:ascii="Arial" w:hAnsi="Arial" w:cs="Arial"/>
          <w:sz w:val="22"/>
          <w:szCs w:val="22"/>
        </w:rPr>
        <w:t xml:space="preserve"> u odnosu na prethodnu godinu</w:t>
      </w:r>
      <w:r w:rsidR="00DB61F1" w:rsidRPr="003E5ED2">
        <w:rPr>
          <w:rFonts w:ascii="Arial" w:hAnsi="Arial" w:cs="Arial"/>
          <w:sz w:val="22"/>
          <w:szCs w:val="22"/>
        </w:rPr>
        <w:t>,</w:t>
      </w:r>
      <w:r w:rsidRPr="003E5ED2">
        <w:rPr>
          <w:rFonts w:ascii="Arial" w:hAnsi="Arial" w:cs="Arial"/>
          <w:sz w:val="22"/>
          <w:szCs w:val="22"/>
        </w:rPr>
        <w:t xml:space="preserve"> predstavlja </w:t>
      </w:r>
      <w:r w:rsidR="000D5E00" w:rsidRPr="003E5ED2">
        <w:rPr>
          <w:rFonts w:ascii="Arial" w:hAnsi="Arial" w:cs="Arial"/>
          <w:sz w:val="22"/>
          <w:szCs w:val="22"/>
        </w:rPr>
        <w:t>smanjenje</w:t>
      </w:r>
      <w:r w:rsidRPr="003E5ED2">
        <w:rPr>
          <w:rFonts w:ascii="Arial" w:hAnsi="Arial" w:cs="Arial"/>
          <w:sz w:val="22"/>
          <w:szCs w:val="22"/>
        </w:rPr>
        <w:t xml:space="preserve"> za </w:t>
      </w:r>
      <w:r w:rsidR="00206285" w:rsidRPr="003E5ED2">
        <w:rPr>
          <w:rFonts w:ascii="Arial" w:hAnsi="Arial" w:cs="Arial"/>
          <w:sz w:val="22"/>
          <w:szCs w:val="22"/>
        </w:rPr>
        <w:t>1.150.048,05</w:t>
      </w:r>
      <w:r w:rsidR="000D5E00" w:rsidRPr="003E5ED2">
        <w:rPr>
          <w:rFonts w:ascii="Arial" w:hAnsi="Arial" w:cs="Arial"/>
          <w:sz w:val="22"/>
          <w:szCs w:val="22"/>
        </w:rPr>
        <w:t xml:space="preserve"> eura</w:t>
      </w:r>
      <w:r w:rsidR="00E07808" w:rsidRPr="003E5ED2">
        <w:rPr>
          <w:rFonts w:ascii="Arial" w:hAnsi="Arial" w:cs="Arial"/>
          <w:sz w:val="22"/>
          <w:szCs w:val="22"/>
        </w:rPr>
        <w:t xml:space="preserve"> </w:t>
      </w:r>
      <w:r w:rsidR="00DB61F1" w:rsidRPr="003E5ED2">
        <w:rPr>
          <w:rFonts w:ascii="Arial" w:hAnsi="Arial" w:cs="Arial"/>
          <w:sz w:val="22"/>
          <w:szCs w:val="22"/>
        </w:rPr>
        <w:t>(</w:t>
      </w:r>
      <w:r w:rsidR="00206285" w:rsidRPr="003E5ED2">
        <w:rPr>
          <w:rFonts w:ascii="Arial" w:hAnsi="Arial" w:cs="Arial"/>
          <w:sz w:val="22"/>
          <w:szCs w:val="22"/>
        </w:rPr>
        <w:t>24,2</w:t>
      </w:r>
      <w:r w:rsidR="00E07808" w:rsidRPr="003E5ED2">
        <w:rPr>
          <w:rFonts w:ascii="Arial" w:hAnsi="Arial" w:cs="Arial"/>
          <w:sz w:val="22"/>
          <w:szCs w:val="22"/>
        </w:rPr>
        <w:t>%</w:t>
      </w:r>
      <w:r w:rsidR="00DB61F1" w:rsidRPr="003E5ED2">
        <w:rPr>
          <w:rFonts w:ascii="Arial" w:hAnsi="Arial" w:cs="Arial"/>
          <w:sz w:val="22"/>
          <w:szCs w:val="22"/>
        </w:rPr>
        <w:t>)</w:t>
      </w:r>
      <w:r w:rsidR="00C133A4" w:rsidRPr="003E5ED2">
        <w:rPr>
          <w:rFonts w:ascii="Arial" w:hAnsi="Arial" w:cs="Arial"/>
          <w:sz w:val="22"/>
          <w:szCs w:val="22"/>
        </w:rPr>
        <w:t xml:space="preserve">. </w:t>
      </w:r>
    </w:p>
    <w:p w:rsidR="00C133A4" w:rsidRPr="003E5ED2" w:rsidRDefault="00C133A4" w:rsidP="000E69DA">
      <w:pPr>
        <w:jc w:val="both"/>
        <w:rPr>
          <w:rFonts w:ascii="Arial" w:hAnsi="Arial" w:cs="Arial"/>
          <w:sz w:val="22"/>
          <w:szCs w:val="22"/>
        </w:rPr>
      </w:pPr>
    </w:p>
    <w:p w:rsidR="00E443CB" w:rsidRPr="003E5ED2" w:rsidRDefault="00505082" w:rsidP="00E443CB">
      <w:pPr>
        <w:jc w:val="both"/>
        <w:rPr>
          <w:rFonts w:ascii="Arial" w:hAnsi="Arial" w:cs="Arial"/>
          <w:sz w:val="22"/>
          <w:szCs w:val="22"/>
        </w:rPr>
      </w:pPr>
      <w:r w:rsidRPr="003E5ED2">
        <w:rPr>
          <w:rFonts w:ascii="Arial" w:hAnsi="Arial" w:cs="Arial"/>
          <w:i/>
          <w:sz w:val="22"/>
          <w:szCs w:val="22"/>
          <w:u w:val="single"/>
        </w:rPr>
        <w:t>Izdaci za dane zajmove</w:t>
      </w:r>
      <w:r w:rsidR="00285A5F" w:rsidRPr="003E5ED2">
        <w:rPr>
          <w:rFonts w:ascii="Arial" w:hAnsi="Arial" w:cs="Arial"/>
          <w:i/>
          <w:sz w:val="22"/>
          <w:szCs w:val="22"/>
          <w:u w:val="single"/>
        </w:rPr>
        <w:t xml:space="preserve"> i depozite (51</w:t>
      </w:r>
      <w:r w:rsidR="00E443CB" w:rsidRPr="003E5ED2">
        <w:rPr>
          <w:rFonts w:ascii="Arial" w:hAnsi="Arial" w:cs="Arial"/>
          <w:i/>
          <w:sz w:val="22"/>
          <w:szCs w:val="22"/>
          <w:u w:val="single"/>
        </w:rPr>
        <w:t xml:space="preserve">) </w:t>
      </w:r>
      <w:r w:rsidR="00E443CB" w:rsidRPr="003E5ED2">
        <w:rPr>
          <w:rFonts w:ascii="Arial" w:hAnsi="Arial" w:cs="Arial"/>
          <w:i/>
          <w:sz w:val="22"/>
          <w:szCs w:val="22"/>
        </w:rPr>
        <w:t>na</w:t>
      </w:r>
      <w:r w:rsidR="00E443CB" w:rsidRPr="003E5ED2">
        <w:rPr>
          <w:rFonts w:ascii="Arial" w:hAnsi="Arial" w:cs="Arial"/>
          <w:sz w:val="22"/>
          <w:szCs w:val="22"/>
        </w:rPr>
        <w:t xml:space="preserve"> poseban račun depozita </w:t>
      </w:r>
      <w:r w:rsidR="00401F23" w:rsidRPr="003E5ED2">
        <w:rPr>
          <w:rFonts w:ascii="Arial" w:hAnsi="Arial" w:cs="Arial"/>
          <w:sz w:val="22"/>
          <w:szCs w:val="22"/>
        </w:rPr>
        <w:t xml:space="preserve">izdvojeno je 60.000,00 eura </w:t>
      </w:r>
      <w:r w:rsidR="00E443CB" w:rsidRPr="003E5ED2">
        <w:rPr>
          <w:rFonts w:ascii="Arial" w:hAnsi="Arial" w:cs="Arial"/>
          <w:sz w:val="22"/>
          <w:szCs w:val="22"/>
        </w:rPr>
        <w:t>radi isplate naknada za izvlaštene nekretnine i troškove postupka na lokaciji ulice OUVI a</w:t>
      </w:r>
      <w:r w:rsidR="00401F23" w:rsidRPr="003E5ED2">
        <w:rPr>
          <w:rFonts w:ascii="Arial" w:hAnsi="Arial" w:cs="Arial"/>
          <w:sz w:val="22"/>
          <w:szCs w:val="22"/>
        </w:rPr>
        <w:t xml:space="preserve"> </w:t>
      </w:r>
      <w:r w:rsidR="00E443CB" w:rsidRPr="003E5ED2">
        <w:rPr>
          <w:rFonts w:ascii="Arial" w:hAnsi="Arial" w:cs="Arial"/>
          <w:sz w:val="22"/>
          <w:szCs w:val="22"/>
        </w:rPr>
        <w:t>-</w:t>
      </w:r>
      <w:r w:rsidR="00401F23" w:rsidRPr="003E5ED2">
        <w:rPr>
          <w:rFonts w:ascii="Arial" w:hAnsi="Arial" w:cs="Arial"/>
          <w:sz w:val="22"/>
          <w:szCs w:val="22"/>
        </w:rPr>
        <w:t xml:space="preserve"> </w:t>
      </w:r>
      <w:r w:rsidR="00E443CB" w:rsidRPr="003E5ED2">
        <w:rPr>
          <w:rFonts w:ascii="Arial" w:hAnsi="Arial" w:cs="Arial"/>
          <w:sz w:val="22"/>
          <w:szCs w:val="22"/>
        </w:rPr>
        <w:t xml:space="preserve">faza 2 na </w:t>
      </w:r>
      <w:proofErr w:type="spellStart"/>
      <w:r w:rsidR="00E443CB" w:rsidRPr="003E5ED2">
        <w:rPr>
          <w:rFonts w:ascii="Arial" w:hAnsi="Arial" w:cs="Arial"/>
          <w:sz w:val="22"/>
          <w:szCs w:val="22"/>
        </w:rPr>
        <w:t>Martinkovcu</w:t>
      </w:r>
      <w:proofErr w:type="spellEnd"/>
      <w:r w:rsidR="00E443CB" w:rsidRPr="003E5ED2">
        <w:rPr>
          <w:rFonts w:ascii="Arial" w:hAnsi="Arial" w:cs="Arial"/>
          <w:sz w:val="22"/>
          <w:szCs w:val="22"/>
        </w:rPr>
        <w:t>.</w:t>
      </w:r>
    </w:p>
    <w:p w:rsidR="007976E6" w:rsidRPr="003E5ED2" w:rsidRDefault="007976E6" w:rsidP="000E69DA">
      <w:pPr>
        <w:jc w:val="both"/>
        <w:rPr>
          <w:rFonts w:ascii="Arial" w:hAnsi="Arial" w:cs="Arial"/>
          <w:sz w:val="22"/>
          <w:szCs w:val="22"/>
        </w:rPr>
      </w:pPr>
    </w:p>
    <w:p w:rsidR="000E69DA" w:rsidRPr="003E5ED2" w:rsidRDefault="000E69DA" w:rsidP="000E69DA">
      <w:pPr>
        <w:jc w:val="both"/>
        <w:rPr>
          <w:rFonts w:ascii="Arial" w:hAnsi="Arial" w:cs="Arial"/>
          <w:color w:val="FF0000"/>
          <w:sz w:val="22"/>
          <w:szCs w:val="22"/>
        </w:rPr>
      </w:pPr>
      <w:r w:rsidRPr="003E5ED2">
        <w:rPr>
          <w:rFonts w:ascii="Arial" w:hAnsi="Arial" w:cs="Arial"/>
          <w:i/>
          <w:color w:val="000000"/>
          <w:sz w:val="22"/>
          <w:szCs w:val="22"/>
          <w:u w:val="single"/>
        </w:rPr>
        <w:t>Izdaci za otplatu glavnice priml</w:t>
      </w:r>
      <w:r w:rsidR="002756BB" w:rsidRPr="003E5ED2">
        <w:rPr>
          <w:rFonts w:ascii="Arial" w:hAnsi="Arial" w:cs="Arial"/>
          <w:i/>
          <w:color w:val="000000"/>
          <w:sz w:val="22"/>
          <w:szCs w:val="22"/>
          <w:u w:val="single"/>
        </w:rPr>
        <w:t>jenih kredita i zajmova (</w:t>
      </w:r>
      <w:r w:rsidR="00702E32" w:rsidRPr="003E5ED2">
        <w:rPr>
          <w:rFonts w:ascii="Arial" w:hAnsi="Arial" w:cs="Arial"/>
          <w:i/>
          <w:color w:val="000000"/>
          <w:sz w:val="22"/>
          <w:szCs w:val="22"/>
          <w:u w:val="single"/>
        </w:rPr>
        <w:t>54</w:t>
      </w:r>
      <w:r w:rsidRPr="003E5ED2">
        <w:rPr>
          <w:rFonts w:ascii="Arial" w:hAnsi="Arial" w:cs="Arial"/>
          <w:i/>
          <w:color w:val="000000"/>
          <w:sz w:val="22"/>
          <w:szCs w:val="22"/>
          <w:u w:val="single"/>
        </w:rPr>
        <w:t>)</w:t>
      </w:r>
      <w:r w:rsidRPr="003E5ED2">
        <w:rPr>
          <w:rFonts w:ascii="Arial" w:hAnsi="Arial" w:cs="Arial"/>
          <w:b/>
          <w:color w:val="000000"/>
          <w:sz w:val="22"/>
          <w:szCs w:val="22"/>
        </w:rPr>
        <w:t xml:space="preserve"> </w:t>
      </w:r>
      <w:r w:rsidRPr="003E5ED2">
        <w:rPr>
          <w:rFonts w:ascii="Arial" w:hAnsi="Arial" w:cs="Arial"/>
          <w:color w:val="000000"/>
          <w:sz w:val="22"/>
          <w:szCs w:val="22"/>
        </w:rPr>
        <w:t xml:space="preserve">odnose se na otplatu glavnice po osnovi primljenih </w:t>
      </w:r>
      <w:r w:rsidR="00290544" w:rsidRPr="003E5ED2">
        <w:rPr>
          <w:rFonts w:ascii="Arial" w:hAnsi="Arial" w:cs="Arial"/>
          <w:color w:val="000000"/>
          <w:sz w:val="22"/>
          <w:szCs w:val="22"/>
        </w:rPr>
        <w:t xml:space="preserve">dugoročnih </w:t>
      </w:r>
      <w:r w:rsidRPr="003E5ED2">
        <w:rPr>
          <w:rFonts w:ascii="Arial" w:hAnsi="Arial" w:cs="Arial"/>
          <w:color w:val="000000"/>
          <w:sz w:val="22"/>
          <w:szCs w:val="22"/>
        </w:rPr>
        <w:t>kredita i zajmova. Više o ovim izdacima opisano je uz Bilješku broj 4 uz Bilancu.</w:t>
      </w:r>
    </w:p>
    <w:p w:rsidR="00CF0BFE" w:rsidRPr="003E5ED2" w:rsidRDefault="00CF0BFE" w:rsidP="000E69DA">
      <w:pPr>
        <w:tabs>
          <w:tab w:val="left" w:pos="284"/>
          <w:tab w:val="left" w:pos="567"/>
          <w:tab w:val="left" w:pos="851"/>
        </w:tabs>
        <w:ind w:left="1440" w:hanging="1440"/>
        <w:jc w:val="both"/>
        <w:rPr>
          <w:rFonts w:ascii="Arial" w:hAnsi="Arial" w:cs="Arial"/>
          <w:b/>
          <w:sz w:val="22"/>
          <w:szCs w:val="22"/>
        </w:rPr>
      </w:pPr>
    </w:p>
    <w:p w:rsidR="00CF6E47" w:rsidRPr="003E5ED2" w:rsidRDefault="00CF6E47" w:rsidP="000E69DA">
      <w:pPr>
        <w:tabs>
          <w:tab w:val="left" w:pos="284"/>
          <w:tab w:val="left" w:pos="567"/>
          <w:tab w:val="left" w:pos="851"/>
        </w:tabs>
        <w:ind w:left="1440" w:hanging="1440"/>
        <w:jc w:val="both"/>
        <w:rPr>
          <w:rFonts w:ascii="Arial" w:hAnsi="Arial" w:cs="Arial"/>
          <w:b/>
          <w:sz w:val="22"/>
          <w:szCs w:val="22"/>
        </w:rPr>
      </w:pPr>
    </w:p>
    <w:p w:rsidR="000E69DA" w:rsidRPr="003E5ED2" w:rsidRDefault="000E69DA" w:rsidP="000E69DA">
      <w:pPr>
        <w:tabs>
          <w:tab w:val="left" w:pos="284"/>
          <w:tab w:val="left" w:pos="567"/>
          <w:tab w:val="left" w:pos="851"/>
        </w:tabs>
        <w:ind w:left="1440" w:hanging="1440"/>
        <w:jc w:val="both"/>
        <w:rPr>
          <w:rFonts w:ascii="Arial" w:hAnsi="Arial" w:cs="Arial"/>
          <w:b/>
          <w:sz w:val="22"/>
          <w:szCs w:val="22"/>
        </w:rPr>
      </w:pPr>
      <w:r w:rsidRPr="003E5ED2">
        <w:rPr>
          <w:rFonts w:ascii="Arial" w:hAnsi="Arial" w:cs="Arial"/>
          <w:b/>
          <w:sz w:val="22"/>
          <w:szCs w:val="22"/>
        </w:rPr>
        <w:t>Bilješka broj 1</w:t>
      </w:r>
      <w:r w:rsidR="00572BF3" w:rsidRPr="003E5ED2">
        <w:rPr>
          <w:rFonts w:ascii="Arial" w:hAnsi="Arial" w:cs="Arial"/>
          <w:b/>
          <w:sz w:val="22"/>
          <w:szCs w:val="22"/>
        </w:rPr>
        <w:t>8</w:t>
      </w:r>
      <w:r w:rsidR="00962B25" w:rsidRPr="003E5ED2">
        <w:rPr>
          <w:rFonts w:ascii="Arial" w:hAnsi="Arial" w:cs="Arial"/>
          <w:b/>
          <w:sz w:val="22"/>
          <w:szCs w:val="22"/>
        </w:rPr>
        <w:t xml:space="preserve"> – </w:t>
      </w:r>
      <w:r w:rsidR="00702E32" w:rsidRPr="003E5ED2">
        <w:rPr>
          <w:rFonts w:ascii="Arial" w:hAnsi="Arial" w:cs="Arial"/>
          <w:b/>
          <w:sz w:val="22"/>
          <w:szCs w:val="22"/>
        </w:rPr>
        <w:t>X005</w:t>
      </w:r>
      <w:r w:rsidRPr="003E5ED2">
        <w:rPr>
          <w:rFonts w:ascii="Arial" w:hAnsi="Arial" w:cs="Arial"/>
          <w:b/>
          <w:sz w:val="22"/>
          <w:szCs w:val="22"/>
        </w:rPr>
        <w:t xml:space="preserve">  VIŠAK PRIHODA I PRIMITAKA </w:t>
      </w:r>
    </w:p>
    <w:p w:rsidR="000E69DA" w:rsidRPr="003E5ED2" w:rsidRDefault="000E69DA" w:rsidP="000E69DA">
      <w:pPr>
        <w:rPr>
          <w:rFonts w:ascii="Arial" w:hAnsi="Arial" w:cs="Arial"/>
          <w:sz w:val="22"/>
          <w:szCs w:val="22"/>
        </w:rPr>
      </w:pPr>
    </w:p>
    <w:p w:rsidR="000E69DA" w:rsidRPr="003E5ED2" w:rsidRDefault="000E69DA" w:rsidP="000E69DA">
      <w:pPr>
        <w:jc w:val="both"/>
        <w:rPr>
          <w:rFonts w:ascii="Arial" w:hAnsi="Arial" w:cs="Arial"/>
          <w:sz w:val="22"/>
          <w:szCs w:val="22"/>
        </w:rPr>
      </w:pPr>
      <w:r w:rsidRPr="003E5ED2">
        <w:rPr>
          <w:rFonts w:ascii="Arial" w:hAnsi="Arial" w:cs="Arial"/>
          <w:sz w:val="22"/>
          <w:szCs w:val="22"/>
        </w:rPr>
        <w:t xml:space="preserve">U izvještajnom razdoblju ostvaren je </w:t>
      </w:r>
      <w:r w:rsidR="005F7928" w:rsidRPr="003E5ED2">
        <w:rPr>
          <w:rFonts w:ascii="Arial" w:hAnsi="Arial" w:cs="Arial"/>
          <w:sz w:val="22"/>
          <w:szCs w:val="22"/>
        </w:rPr>
        <w:t>tekući</w:t>
      </w:r>
      <w:r w:rsidRPr="003E5ED2">
        <w:rPr>
          <w:rFonts w:ascii="Arial" w:hAnsi="Arial" w:cs="Arial"/>
          <w:sz w:val="22"/>
          <w:szCs w:val="22"/>
        </w:rPr>
        <w:t xml:space="preserve"> višak prihoda i primitaka u iznosu </w:t>
      </w:r>
      <w:r w:rsidR="00F8424B" w:rsidRPr="003E5ED2">
        <w:rPr>
          <w:rFonts w:ascii="Arial" w:hAnsi="Arial" w:cs="Arial"/>
          <w:b/>
          <w:sz w:val="22"/>
          <w:szCs w:val="22"/>
        </w:rPr>
        <w:t>11.403.816,55</w:t>
      </w:r>
      <w:r w:rsidR="00170D0D" w:rsidRPr="003E5ED2">
        <w:rPr>
          <w:rFonts w:ascii="Arial" w:hAnsi="Arial" w:cs="Arial"/>
          <w:b/>
          <w:sz w:val="22"/>
          <w:szCs w:val="22"/>
        </w:rPr>
        <w:t xml:space="preserve"> eura</w:t>
      </w:r>
      <w:r w:rsidRPr="003E5ED2">
        <w:rPr>
          <w:rFonts w:ascii="Arial" w:hAnsi="Arial" w:cs="Arial"/>
          <w:sz w:val="22"/>
          <w:szCs w:val="22"/>
        </w:rPr>
        <w:t xml:space="preserve"> </w:t>
      </w:r>
      <w:r w:rsidR="005F7928" w:rsidRPr="003E5ED2">
        <w:rPr>
          <w:rFonts w:ascii="Arial" w:hAnsi="Arial" w:cs="Arial"/>
          <w:sz w:val="22"/>
          <w:szCs w:val="22"/>
        </w:rPr>
        <w:t>koj</w:t>
      </w:r>
      <w:r w:rsidRPr="003E5ED2">
        <w:rPr>
          <w:rFonts w:ascii="Arial" w:hAnsi="Arial" w:cs="Arial"/>
          <w:sz w:val="22"/>
          <w:szCs w:val="22"/>
        </w:rPr>
        <w:t>i proiz</w:t>
      </w:r>
      <w:r w:rsidR="00D916B2" w:rsidRPr="003E5ED2">
        <w:rPr>
          <w:rFonts w:ascii="Arial" w:hAnsi="Arial" w:cs="Arial"/>
          <w:sz w:val="22"/>
          <w:szCs w:val="22"/>
        </w:rPr>
        <w:t>lazi</w:t>
      </w:r>
      <w:r w:rsidRPr="003E5ED2">
        <w:rPr>
          <w:rFonts w:ascii="Arial" w:hAnsi="Arial" w:cs="Arial"/>
          <w:sz w:val="22"/>
          <w:szCs w:val="22"/>
        </w:rPr>
        <w:t xml:space="preserve"> iz:</w:t>
      </w:r>
    </w:p>
    <w:p w:rsidR="000E69DA" w:rsidRPr="003E5ED2" w:rsidRDefault="000E69DA" w:rsidP="000E69DA">
      <w:pPr>
        <w:jc w:val="both"/>
        <w:rPr>
          <w:rFonts w:ascii="Arial" w:hAnsi="Arial" w:cs="Arial"/>
          <w:sz w:val="22"/>
          <w:szCs w:val="22"/>
        </w:rPr>
      </w:pPr>
    </w:p>
    <w:p w:rsidR="000E69DA" w:rsidRPr="003E5ED2" w:rsidRDefault="000E69DA" w:rsidP="00D907B7">
      <w:pPr>
        <w:numPr>
          <w:ilvl w:val="0"/>
          <w:numId w:val="5"/>
        </w:numPr>
        <w:jc w:val="both"/>
        <w:rPr>
          <w:rFonts w:ascii="Arial" w:hAnsi="Arial" w:cs="Arial"/>
          <w:sz w:val="22"/>
          <w:szCs w:val="22"/>
        </w:rPr>
      </w:pPr>
      <w:r w:rsidRPr="003E5ED2">
        <w:rPr>
          <w:rFonts w:ascii="Arial" w:hAnsi="Arial" w:cs="Arial"/>
          <w:sz w:val="22"/>
          <w:szCs w:val="22"/>
        </w:rPr>
        <w:t>višk</w:t>
      </w:r>
      <w:r w:rsidR="002756BB" w:rsidRPr="003E5ED2">
        <w:rPr>
          <w:rFonts w:ascii="Arial" w:hAnsi="Arial" w:cs="Arial"/>
          <w:sz w:val="22"/>
          <w:szCs w:val="22"/>
        </w:rPr>
        <w:t>a prihoda od poslovanja (</w:t>
      </w:r>
      <w:r w:rsidR="00702E32" w:rsidRPr="003E5ED2">
        <w:rPr>
          <w:rFonts w:ascii="Arial" w:hAnsi="Arial" w:cs="Arial"/>
          <w:sz w:val="22"/>
          <w:szCs w:val="22"/>
        </w:rPr>
        <w:t>X001</w:t>
      </w:r>
      <w:r w:rsidRPr="003E5ED2">
        <w:rPr>
          <w:rFonts w:ascii="Arial" w:hAnsi="Arial" w:cs="Arial"/>
          <w:sz w:val="22"/>
          <w:szCs w:val="22"/>
        </w:rPr>
        <w:t>)</w:t>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r>
      <w:r w:rsidRPr="003E5ED2">
        <w:rPr>
          <w:rFonts w:ascii="Arial" w:hAnsi="Arial" w:cs="Arial"/>
          <w:sz w:val="22"/>
          <w:szCs w:val="22"/>
        </w:rPr>
        <w:tab/>
      </w:r>
      <w:r w:rsidR="00840216" w:rsidRPr="003E5ED2">
        <w:rPr>
          <w:rFonts w:ascii="Arial" w:hAnsi="Arial" w:cs="Arial"/>
          <w:sz w:val="22"/>
          <w:szCs w:val="22"/>
        </w:rPr>
        <w:t xml:space="preserve"> </w:t>
      </w:r>
      <w:r w:rsidR="00D5481C" w:rsidRPr="003E5ED2">
        <w:rPr>
          <w:rFonts w:ascii="Arial" w:hAnsi="Arial" w:cs="Arial"/>
          <w:sz w:val="22"/>
          <w:szCs w:val="22"/>
        </w:rPr>
        <w:tab/>
        <w:t xml:space="preserve">   </w:t>
      </w:r>
      <w:r w:rsidR="00F8424B" w:rsidRPr="003E5ED2">
        <w:rPr>
          <w:rFonts w:ascii="Arial" w:hAnsi="Arial" w:cs="Arial"/>
          <w:sz w:val="22"/>
          <w:szCs w:val="22"/>
        </w:rPr>
        <w:t>23.383.784,59</w:t>
      </w:r>
      <w:r w:rsidR="001C5CD4" w:rsidRPr="003E5ED2">
        <w:rPr>
          <w:rFonts w:ascii="Arial" w:hAnsi="Arial" w:cs="Arial"/>
          <w:sz w:val="22"/>
          <w:szCs w:val="22"/>
        </w:rPr>
        <w:t xml:space="preserve"> eura</w:t>
      </w:r>
    </w:p>
    <w:p w:rsidR="000E69DA" w:rsidRPr="003E5ED2" w:rsidRDefault="000E69DA" w:rsidP="00D907B7">
      <w:pPr>
        <w:numPr>
          <w:ilvl w:val="0"/>
          <w:numId w:val="5"/>
        </w:numPr>
        <w:jc w:val="both"/>
        <w:rPr>
          <w:rFonts w:ascii="Arial" w:hAnsi="Arial" w:cs="Arial"/>
          <w:sz w:val="22"/>
          <w:szCs w:val="22"/>
        </w:rPr>
      </w:pPr>
      <w:r w:rsidRPr="003E5ED2">
        <w:rPr>
          <w:rFonts w:ascii="Arial" w:hAnsi="Arial" w:cs="Arial"/>
          <w:sz w:val="22"/>
          <w:szCs w:val="22"/>
        </w:rPr>
        <w:t>manjka prihoda o</w:t>
      </w:r>
      <w:r w:rsidR="002756BB" w:rsidRPr="003E5ED2">
        <w:rPr>
          <w:rFonts w:ascii="Arial" w:hAnsi="Arial" w:cs="Arial"/>
          <w:sz w:val="22"/>
          <w:szCs w:val="22"/>
        </w:rPr>
        <w:t>d nefinancijske imovine (</w:t>
      </w:r>
      <w:r w:rsidR="00702E32" w:rsidRPr="003E5ED2">
        <w:rPr>
          <w:rFonts w:ascii="Arial" w:hAnsi="Arial" w:cs="Arial"/>
          <w:sz w:val="22"/>
          <w:szCs w:val="22"/>
        </w:rPr>
        <w:t>Y002</w:t>
      </w:r>
      <w:r w:rsidRPr="003E5ED2">
        <w:rPr>
          <w:rFonts w:ascii="Arial" w:hAnsi="Arial" w:cs="Arial"/>
          <w:sz w:val="22"/>
          <w:szCs w:val="22"/>
        </w:rPr>
        <w:t>)</w:t>
      </w:r>
      <w:r w:rsidRPr="003E5ED2">
        <w:rPr>
          <w:rFonts w:ascii="Arial" w:hAnsi="Arial" w:cs="Arial"/>
          <w:sz w:val="22"/>
          <w:szCs w:val="22"/>
        </w:rPr>
        <w:tab/>
      </w:r>
      <w:r w:rsidRPr="003E5ED2">
        <w:rPr>
          <w:rFonts w:ascii="Arial" w:hAnsi="Arial" w:cs="Arial"/>
          <w:sz w:val="22"/>
          <w:szCs w:val="22"/>
        </w:rPr>
        <w:tab/>
      </w:r>
      <w:r w:rsidR="002756BB" w:rsidRPr="003E5ED2">
        <w:rPr>
          <w:rFonts w:ascii="Arial" w:hAnsi="Arial" w:cs="Arial"/>
          <w:sz w:val="22"/>
          <w:szCs w:val="22"/>
        </w:rPr>
        <w:t xml:space="preserve"> </w:t>
      </w:r>
      <w:r w:rsidR="00702E32" w:rsidRPr="003E5ED2">
        <w:rPr>
          <w:rFonts w:ascii="Arial" w:hAnsi="Arial" w:cs="Arial"/>
          <w:sz w:val="22"/>
          <w:szCs w:val="22"/>
        </w:rPr>
        <w:t xml:space="preserve">             </w:t>
      </w:r>
      <w:r w:rsidR="00F8424B" w:rsidRPr="003E5ED2">
        <w:rPr>
          <w:rFonts w:ascii="Arial" w:hAnsi="Arial" w:cs="Arial"/>
          <w:sz w:val="22"/>
          <w:szCs w:val="22"/>
        </w:rPr>
        <w:t xml:space="preserve">  -8.657.824,79</w:t>
      </w:r>
      <w:r w:rsidR="001C5CD4" w:rsidRPr="003E5ED2">
        <w:rPr>
          <w:rFonts w:ascii="Arial" w:hAnsi="Arial" w:cs="Arial"/>
          <w:sz w:val="22"/>
          <w:szCs w:val="22"/>
        </w:rPr>
        <w:t xml:space="preserve"> eura</w:t>
      </w:r>
    </w:p>
    <w:p w:rsidR="00F37E34" w:rsidRPr="003E5ED2" w:rsidRDefault="00F8424B" w:rsidP="000F679F">
      <w:pPr>
        <w:numPr>
          <w:ilvl w:val="0"/>
          <w:numId w:val="5"/>
        </w:numPr>
        <w:jc w:val="both"/>
        <w:rPr>
          <w:rFonts w:ascii="Arial" w:hAnsi="Arial" w:cs="Arial"/>
          <w:sz w:val="22"/>
          <w:szCs w:val="22"/>
        </w:rPr>
      </w:pPr>
      <w:r w:rsidRPr="003E5ED2">
        <w:rPr>
          <w:rFonts w:ascii="Arial" w:hAnsi="Arial" w:cs="Arial"/>
          <w:sz w:val="22"/>
          <w:szCs w:val="22"/>
        </w:rPr>
        <w:t>manjka</w:t>
      </w:r>
      <w:r w:rsidR="000E69DA" w:rsidRPr="003E5ED2">
        <w:rPr>
          <w:rFonts w:ascii="Arial" w:hAnsi="Arial" w:cs="Arial"/>
          <w:sz w:val="22"/>
          <w:szCs w:val="22"/>
        </w:rPr>
        <w:t xml:space="preserve"> primitaka od fin</w:t>
      </w:r>
      <w:r w:rsidR="002756BB" w:rsidRPr="003E5ED2">
        <w:rPr>
          <w:rFonts w:ascii="Arial" w:hAnsi="Arial" w:cs="Arial"/>
          <w:sz w:val="22"/>
          <w:szCs w:val="22"/>
        </w:rPr>
        <w:t>ancijske imovine</w:t>
      </w:r>
      <w:r w:rsidR="00994CFF" w:rsidRPr="003E5ED2">
        <w:rPr>
          <w:rFonts w:ascii="Arial" w:hAnsi="Arial" w:cs="Arial"/>
          <w:sz w:val="22"/>
          <w:szCs w:val="22"/>
        </w:rPr>
        <w:t xml:space="preserve"> i zaduživanja</w:t>
      </w:r>
      <w:r w:rsidR="002756BB" w:rsidRPr="003E5ED2">
        <w:rPr>
          <w:rFonts w:ascii="Arial" w:hAnsi="Arial" w:cs="Arial"/>
          <w:sz w:val="22"/>
          <w:szCs w:val="22"/>
        </w:rPr>
        <w:t xml:space="preserve"> (</w:t>
      </w:r>
      <w:r w:rsidR="00BC433B" w:rsidRPr="003E5ED2">
        <w:rPr>
          <w:rFonts w:ascii="Arial" w:hAnsi="Arial" w:cs="Arial"/>
          <w:sz w:val="22"/>
          <w:szCs w:val="22"/>
        </w:rPr>
        <w:t>Y</w:t>
      </w:r>
      <w:r w:rsidR="008D68B2" w:rsidRPr="003E5ED2">
        <w:rPr>
          <w:rFonts w:ascii="Arial" w:hAnsi="Arial" w:cs="Arial"/>
          <w:sz w:val="22"/>
          <w:szCs w:val="22"/>
        </w:rPr>
        <w:t>003</w:t>
      </w:r>
      <w:r w:rsidR="002756BB" w:rsidRPr="003E5ED2">
        <w:rPr>
          <w:rFonts w:ascii="Arial" w:hAnsi="Arial" w:cs="Arial"/>
          <w:sz w:val="22"/>
          <w:szCs w:val="22"/>
        </w:rPr>
        <w:t>)</w:t>
      </w:r>
      <w:r w:rsidR="002756BB" w:rsidRPr="003E5ED2">
        <w:rPr>
          <w:rFonts w:ascii="Arial" w:hAnsi="Arial" w:cs="Arial"/>
          <w:sz w:val="22"/>
          <w:szCs w:val="22"/>
        </w:rPr>
        <w:tab/>
      </w:r>
      <w:r w:rsidR="008D68B2" w:rsidRPr="003E5ED2">
        <w:rPr>
          <w:rFonts w:ascii="Arial" w:hAnsi="Arial" w:cs="Arial"/>
          <w:sz w:val="22"/>
          <w:szCs w:val="22"/>
        </w:rPr>
        <w:t xml:space="preserve"> </w:t>
      </w:r>
      <w:r w:rsidR="00D5481C" w:rsidRPr="003E5ED2">
        <w:rPr>
          <w:rFonts w:ascii="Arial" w:hAnsi="Arial" w:cs="Arial"/>
          <w:sz w:val="22"/>
          <w:szCs w:val="22"/>
        </w:rPr>
        <w:t xml:space="preserve">  </w:t>
      </w:r>
      <w:r w:rsidRPr="003E5ED2">
        <w:rPr>
          <w:rFonts w:ascii="Arial" w:hAnsi="Arial" w:cs="Arial"/>
          <w:sz w:val="22"/>
          <w:szCs w:val="22"/>
        </w:rPr>
        <w:t xml:space="preserve"> -3.322.143,25</w:t>
      </w:r>
      <w:r w:rsidR="001C5CD4" w:rsidRPr="003E5ED2">
        <w:rPr>
          <w:rFonts w:ascii="Arial" w:hAnsi="Arial" w:cs="Arial"/>
          <w:sz w:val="22"/>
          <w:szCs w:val="22"/>
        </w:rPr>
        <w:t xml:space="preserve"> eura</w:t>
      </w:r>
    </w:p>
    <w:p w:rsidR="00F37E34" w:rsidRPr="003E5ED2" w:rsidRDefault="00F37E34" w:rsidP="00F37E34">
      <w:pPr>
        <w:jc w:val="both"/>
        <w:rPr>
          <w:rFonts w:ascii="Arial" w:hAnsi="Arial" w:cs="Arial"/>
          <w:sz w:val="22"/>
          <w:szCs w:val="22"/>
        </w:rPr>
      </w:pPr>
    </w:p>
    <w:p w:rsidR="00F37E34" w:rsidRPr="003E5ED2" w:rsidRDefault="00F37E34" w:rsidP="00F37E34">
      <w:pPr>
        <w:jc w:val="both"/>
        <w:rPr>
          <w:rFonts w:ascii="Arial" w:hAnsi="Arial" w:cs="Arial"/>
          <w:sz w:val="22"/>
          <w:szCs w:val="22"/>
        </w:rPr>
      </w:pPr>
    </w:p>
    <w:p w:rsidR="000E69DA" w:rsidRPr="003E5ED2" w:rsidRDefault="00F8424B" w:rsidP="000E69DA">
      <w:pPr>
        <w:keepNext/>
        <w:jc w:val="both"/>
        <w:outlineLvl w:val="3"/>
        <w:rPr>
          <w:rFonts w:ascii="Arial" w:hAnsi="Arial" w:cs="Arial"/>
          <w:b/>
          <w:sz w:val="22"/>
          <w:szCs w:val="22"/>
        </w:rPr>
      </w:pPr>
      <w:r w:rsidRPr="003E5ED2">
        <w:rPr>
          <w:rFonts w:ascii="Arial" w:hAnsi="Arial" w:cs="Arial"/>
          <w:b/>
          <w:sz w:val="22"/>
          <w:szCs w:val="22"/>
        </w:rPr>
        <w:t>9221-9222</w:t>
      </w:r>
      <w:r w:rsidR="000E69DA" w:rsidRPr="003E5ED2">
        <w:rPr>
          <w:rFonts w:ascii="Arial" w:hAnsi="Arial" w:cs="Arial"/>
          <w:b/>
          <w:sz w:val="22"/>
          <w:szCs w:val="22"/>
        </w:rPr>
        <w:t xml:space="preserve"> – </w:t>
      </w:r>
      <w:r w:rsidRPr="003E5ED2">
        <w:rPr>
          <w:rFonts w:ascii="Arial" w:hAnsi="Arial" w:cs="Arial"/>
          <w:b/>
          <w:sz w:val="22"/>
          <w:szCs w:val="22"/>
        </w:rPr>
        <w:t xml:space="preserve">VIŠAK </w:t>
      </w:r>
      <w:r w:rsidR="000E69DA" w:rsidRPr="003E5ED2">
        <w:rPr>
          <w:rFonts w:ascii="Arial" w:hAnsi="Arial" w:cs="Arial"/>
          <w:b/>
          <w:sz w:val="22"/>
          <w:szCs w:val="22"/>
        </w:rPr>
        <w:t xml:space="preserve">PRIHODA I PRIMITAKA - PRENESENI </w:t>
      </w:r>
    </w:p>
    <w:p w:rsidR="000E69DA" w:rsidRPr="003E5ED2" w:rsidRDefault="000E69DA" w:rsidP="000E69DA">
      <w:pPr>
        <w:jc w:val="both"/>
        <w:rPr>
          <w:rFonts w:ascii="Arial" w:hAnsi="Arial" w:cs="Arial"/>
          <w:sz w:val="22"/>
          <w:szCs w:val="22"/>
        </w:rPr>
      </w:pPr>
    </w:p>
    <w:p w:rsidR="008B2FAB" w:rsidRPr="003E5ED2" w:rsidRDefault="00D30CE8" w:rsidP="00EC7FBF">
      <w:pPr>
        <w:jc w:val="both"/>
        <w:rPr>
          <w:rFonts w:ascii="Arial" w:hAnsi="Arial" w:cs="Arial"/>
          <w:sz w:val="22"/>
          <w:szCs w:val="22"/>
        </w:rPr>
      </w:pPr>
      <w:r w:rsidRPr="003E5ED2">
        <w:rPr>
          <w:rFonts w:ascii="Arial" w:hAnsi="Arial" w:cs="Arial"/>
          <w:sz w:val="22"/>
          <w:szCs w:val="22"/>
        </w:rPr>
        <w:t>Preneseno st</w:t>
      </w:r>
      <w:r w:rsidR="00F8424B" w:rsidRPr="003E5ED2">
        <w:rPr>
          <w:rFonts w:ascii="Arial" w:hAnsi="Arial" w:cs="Arial"/>
          <w:sz w:val="22"/>
          <w:szCs w:val="22"/>
        </w:rPr>
        <w:t>anje financijskog rezultata 2023</w:t>
      </w:r>
      <w:r w:rsidR="008B2FAB" w:rsidRPr="003E5ED2">
        <w:rPr>
          <w:rFonts w:ascii="Arial" w:hAnsi="Arial" w:cs="Arial"/>
          <w:sz w:val="22"/>
          <w:szCs w:val="22"/>
        </w:rPr>
        <w:t xml:space="preserve">. </w:t>
      </w:r>
      <w:r w:rsidRPr="003E5ED2">
        <w:rPr>
          <w:rFonts w:ascii="Arial" w:hAnsi="Arial" w:cs="Arial"/>
          <w:sz w:val="22"/>
          <w:szCs w:val="22"/>
        </w:rPr>
        <w:t>godine</w:t>
      </w:r>
      <w:r w:rsidR="008B2FAB" w:rsidRPr="003E5ED2">
        <w:rPr>
          <w:rFonts w:ascii="Arial" w:hAnsi="Arial" w:cs="Arial"/>
          <w:sz w:val="22"/>
          <w:szCs w:val="22"/>
        </w:rPr>
        <w:t xml:space="preserve"> iznosi 17.152.493,09 eura i</w:t>
      </w:r>
      <w:r w:rsidRPr="003E5ED2">
        <w:rPr>
          <w:rFonts w:ascii="Arial" w:hAnsi="Arial" w:cs="Arial"/>
          <w:sz w:val="22"/>
          <w:szCs w:val="22"/>
        </w:rPr>
        <w:t xml:space="preserve"> korigirano je u svojoj strukturi viškova i manjkova u skladu s Odlukom o raspodjeli financijskog rezu</w:t>
      </w:r>
      <w:r w:rsidR="00F8424B" w:rsidRPr="003E5ED2">
        <w:rPr>
          <w:rFonts w:ascii="Arial" w:hAnsi="Arial" w:cs="Arial"/>
          <w:sz w:val="22"/>
          <w:szCs w:val="22"/>
        </w:rPr>
        <w:t>ltata Grada Rijeke za 2023</w:t>
      </w:r>
      <w:r w:rsidR="00A4369F" w:rsidRPr="003E5ED2">
        <w:rPr>
          <w:rFonts w:ascii="Arial" w:hAnsi="Arial" w:cs="Arial"/>
          <w:sz w:val="22"/>
          <w:szCs w:val="22"/>
        </w:rPr>
        <w:t>. godinu</w:t>
      </w:r>
      <w:r w:rsidRPr="003E5ED2">
        <w:rPr>
          <w:rFonts w:ascii="Arial" w:hAnsi="Arial" w:cs="Arial"/>
          <w:sz w:val="22"/>
          <w:szCs w:val="22"/>
        </w:rPr>
        <w:t xml:space="preserve"> </w:t>
      </w:r>
      <w:r w:rsidR="00F8424B" w:rsidRPr="003E5ED2">
        <w:rPr>
          <w:rFonts w:ascii="Arial" w:hAnsi="Arial" w:cs="Arial"/>
          <w:sz w:val="22"/>
          <w:szCs w:val="22"/>
        </w:rPr>
        <w:t>12. lipnja 2024</w:t>
      </w:r>
      <w:r w:rsidRPr="003E5ED2">
        <w:rPr>
          <w:rFonts w:ascii="Arial" w:hAnsi="Arial" w:cs="Arial"/>
          <w:sz w:val="22"/>
          <w:szCs w:val="22"/>
        </w:rPr>
        <w:t xml:space="preserve">. godine („Službene novine Grada Rijeke“ broj </w:t>
      </w:r>
      <w:r w:rsidR="00F8424B" w:rsidRPr="003E5ED2">
        <w:rPr>
          <w:rFonts w:ascii="Arial" w:hAnsi="Arial" w:cs="Arial"/>
          <w:sz w:val="22"/>
          <w:szCs w:val="22"/>
        </w:rPr>
        <w:t>10/24</w:t>
      </w:r>
      <w:r w:rsidR="002C6556" w:rsidRPr="003E5ED2">
        <w:rPr>
          <w:rFonts w:ascii="Arial" w:hAnsi="Arial" w:cs="Arial"/>
          <w:sz w:val="22"/>
          <w:szCs w:val="22"/>
        </w:rPr>
        <w:t>).</w:t>
      </w:r>
      <w:r w:rsidR="001149D2" w:rsidRPr="003E5ED2">
        <w:rPr>
          <w:rFonts w:ascii="Arial" w:hAnsi="Arial" w:cs="Arial"/>
          <w:sz w:val="22"/>
          <w:szCs w:val="22"/>
        </w:rPr>
        <w:t xml:space="preserve"> </w:t>
      </w:r>
    </w:p>
    <w:p w:rsidR="002C6556" w:rsidRPr="003E5ED2" w:rsidRDefault="000B6806" w:rsidP="00EC7FBF">
      <w:pPr>
        <w:jc w:val="both"/>
        <w:rPr>
          <w:rFonts w:ascii="Arial" w:hAnsi="Arial" w:cs="Arial"/>
          <w:sz w:val="22"/>
          <w:szCs w:val="22"/>
        </w:rPr>
      </w:pPr>
      <w:r w:rsidRPr="003E5ED2">
        <w:rPr>
          <w:rFonts w:ascii="Arial" w:hAnsi="Arial" w:cs="Arial"/>
          <w:sz w:val="22"/>
          <w:szCs w:val="22"/>
        </w:rPr>
        <w:t>Nakon provedene</w:t>
      </w:r>
      <w:r w:rsidR="008B2FAB" w:rsidRPr="003E5ED2">
        <w:rPr>
          <w:rFonts w:ascii="Arial" w:hAnsi="Arial" w:cs="Arial"/>
          <w:sz w:val="22"/>
          <w:szCs w:val="22"/>
        </w:rPr>
        <w:t xml:space="preserve"> preraspodjele preneseni financijski rezultat proizlazi od viška prihoda poslovanja u iznosu 13.804.631,12 eura, viška prihoda od nefinancijske imovine 627.044,79 eura i viška primitaka od </w:t>
      </w:r>
      <w:r w:rsidR="002C6556" w:rsidRPr="003E5ED2">
        <w:rPr>
          <w:rFonts w:ascii="Arial" w:hAnsi="Arial" w:cs="Arial"/>
          <w:sz w:val="22"/>
          <w:szCs w:val="22"/>
        </w:rPr>
        <w:t>f</w:t>
      </w:r>
      <w:r w:rsidR="008B2FAB" w:rsidRPr="003E5ED2">
        <w:rPr>
          <w:rFonts w:ascii="Arial" w:hAnsi="Arial" w:cs="Arial"/>
          <w:sz w:val="22"/>
          <w:szCs w:val="22"/>
        </w:rPr>
        <w:t>inancijske imovine u iznosu 2.720.817,18 eura.</w:t>
      </w:r>
      <w:r w:rsidR="001149D2" w:rsidRPr="003E5ED2">
        <w:rPr>
          <w:rFonts w:ascii="Arial" w:hAnsi="Arial" w:cs="Arial"/>
          <w:sz w:val="22"/>
          <w:szCs w:val="22"/>
        </w:rPr>
        <w:t xml:space="preserve"> </w:t>
      </w:r>
    </w:p>
    <w:p w:rsidR="00EC7FBF" w:rsidRPr="003E5ED2" w:rsidRDefault="002C6556" w:rsidP="00EC7FBF">
      <w:pPr>
        <w:jc w:val="both"/>
        <w:rPr>
          <w:rFonts w:ascii="Arial" w:hAnsi="Arial" w:cs="Arial"/>
          <w:sz w:val="22"/>
          <w:szCs w:val="22"/>
        </w:rPr>
      </w:pPr>
      <w:r w:rsidRPr="003E5ED2">
        <w:rPr>
          <w:rFonts w:ascii="Arial" w:hAnsi="Arial" w:cs="Arial"/>
          <w:sz w:val="22"/>
          <w:szCs w:val="22"/>
        </w:rPr>
        <w:t>Tijekom 2024. godine preneseni višak prihoda poslovanja uvećan je za 15.060,15 eura radi proveden</w:t>
      </w:r>
      <w:r w:rsidR="00A12D19" w:rsidRPr="003E5ED2">
        <w:rPr>
          <w:rFonts w:ascii="Arial" w:hAnsi="Arial" w:cs="Arial"/>
          <w:sz w:val="22"/>
          <w:szCs w:val="22"/>
        </w:rPr>
        <w:t xml:space="preserve">ih korekcija rezultata prilikom otpisa obveza </w:t>
      </w:r>
      <w:r w:rsidRPr="003E5ED2">
        <w:rPr>
          <w:rFonts w:ascii="Arial" w:hAnsi="Arial" w:cs="Arial"/>
          <w:sz w:val="22"/>
          <w:szCs w:val="22"/>
        </w:rPr>
        <w:t xml:space="preserve">iz prethodnih godina </w:t>
      </w:r>
      <w:r w:rsidR="00A12D19" w:rsidRPr="003E5ED2">
        <w:rPr>
          <w:rFonts w:ascii="Arial" w:hAnsi="Arial" w:cs="Arial"/>
          <w:sz w:val="22"/>
          <w:szCs w:val="22"/>
        </w:rPr>
        <w:t>te je</w:t>
      </w:r>
      <w:r w:rsidR="00EC7FBF" w:rsidRPr="003E5ED2">
        <w:rPr>
          <w:rFonts w:ascii="Arial" w:hAnsi="Arial" w:cs="Arial"/>
          <w:sz w:val="22"/>
          <w:szCs w:val="22"/>
        </w:rPr>
        <w:t xml:space="preserve"> </w:t>
      </w:r>
      <w:r w:rsidR="000E6729" w:rsidRPr="003E5ED2">
        <w:rPr>
          <w:rFonts w:ascii="Arial" w:hAnsi="Arial" w:cs="Arial"/>
          <w:sz w:val="22"/>
          <w:szCs w:val="22"/>
        </w:rPr>
        <w:t xml:space="preserve">u obrascima financijskog izvještaja </w:t>
      </w:r>
      <w:r w:rsidR="00EC7FBF" w:rsidRPr="003E5ED2">
        <w:rPr>
          <w:rFonts w:ascii="Arial" w:hAnsi="Arial" w:cs="Arial"/>
          <w:sz w:val="22"/>
          <w:szCs w:val="22"/>
        </w:rPr>
        <w:t>iskazan u iznosu</w:t>
      </w:r>
      <w:r w:rsidR="00A12D19" w:rsidRPr="003E5ED2">
        <w:rPr>
          <w:rFonts w:ascii="Arial" w:hAnsi="Arial" w:cs="Arial"/>
          <w:sz w:val="22"/>
          <w:szCs w:val="22"/>
        </w:rPr>
        <w:t xml:space="preserve"> </w:t>
      </w:r>
      <w:r w:rsidR="000E6729" w:rsidRPr="003E5ED2">
        <w:rPr>
          <w:rFonts w:ascii="Arial" w:hAnsi="Arial" w:cs="Arial"/>
          <w:sz w:val="22"/>
          <w:szCs w:val="22"/>
        </w:rPr>
        <w:t xml:space="preserve">od </w:t>
      </w:r>
      <w:r w:rsidR="00A12D19" w:rsidRPr="003E5ED2">
        <w:rPr>
          <w:rFonts w:ascii="Arial" w:hAnsi="Arial" w:cs="Arial"/>
          <w:sz w:val="22"/>
          <w:szCs w:val="22"/>
        </w:rPr>
        <w:t xml:space="preserve">13.819.691,27 eura. </w:t>
      </w:r>
      <w:r w:rsidRPr="003E5ED2">
        <w:rPr>
          <w:rFonts w:ascii="Arial" w:hAnsi="Arial" w:cs="Arial"/>
          <w:sz w:val="22"/>
          <w:szCs w:val="22"/>
        </w:rPr>
        <w:t>Slijedom navedenog</w:t>
      </w:r>
      <w:r w:rsidR="000E6729" w:rsidRPr="003E5ED2">
        <w:rPr>
          <w:rFonts w:ascii="Arial" w:hAnsi="Arial" w:cs="Arial"/>
          <w:sz w:val="22"/>
          <w:szCs w:val="22"/>
        </w:rPr>
        <w:t>,</w:t>
      </w:r>
      <w:r w:rsidRPr="003E5ED2">
        <w:rPr>
          <w:rFonts w:ascii="Arial" w:hAnsi="Arial" w:cs="Arial"/>
          <w:sz w:val="22"/>
          <w:szCs w:val="22"/>
        </w:rPr>
        <w:t xml:space="preserve"> </w:t>
      </w:r>
      <w:r w:rsidR="00A12D19" w:rsidRPr="003E5ED2">
        <w:rPr>
          <w:rFonts w:ascii="Arial" w:hAnsi="Arial" w:cs="Arial"/>
          <w:sz w:val="22"/>
          <w:szCs w:val="22"/>
        </w:rPr>
        <w:t xml:space="preserve">ukupan </w:t>
      </w:r>
      <w:r w:rsidRPr="003E5ED2">
        <w:rPr>
          <w:rFonts w:ascii="Arial" w:hAnsi="Arial" w:cs="Arial"/>
          <w:sz w:val="22"/>
          <w:szCs w:val="22"/>
        </w:rPr>
        <w:t xml:space="preserve">višak prihoda i primitaka </w:t>
      </w:r>
      <w:r w:rsidR="00EC7FBF" w:rsidRPr="003E5ED2">
        <w:rPr>
          <w:rFonts w:ascii="Arial" w:hAnsi="Arial" w:cs="Arial"/>
          <w:sz w:val="22"/>
          <w:szCs w:val="22"/>
        </w:rPr>
        <w:t xml:space="preserve">– preneseni </w:t>
      </w:r>
      <w:r w:rsidR="00A12D19" w:rsidRPr="003E5ED2">
        <w:rPr>
          <w:rFonts w:ascii="Arial" w:hAnsi="Arial" w:cs="Arial"/>
          <w:sz w:val="22"/>
          <w:szCs w:val="22"/>
        </w:rPr>
        <w:t xml:space="preserve">na dan bilance, iskazan je u iznosu od </w:t>
      </w:r>
      <w:r w:rsidR="00EC7FBF" w:rsidRPr="003E5ED2">
        <w:rPr>
          <w:rFonts w:ascii="Arial" w:hAnsi="Arial" w:cs="Arial"/>
          <w:sz w:val="22"/>
          <w:szCs w:val="22"/>
        </w:rPr>
        <w:t>17.167.553,24 eura.</w:t>
      </w:r>
    </w:p>
    <w:p w:rsidR="002C6556" w:rsidRPr="003E5ED2" w:rsidRDefault="002C6556" w:rsidP="00EC7FBF">
      <w:pPr>
        <w:jc w:val="both"/>
        <w:rPr>
          <w:rFonts w:ascii="Arial" w:hAnsi="Arial" w:cs="Arial"/>
          <w:sz w:val="22"/>
          <w:szCs w:val="22"/>
        </w:rPr>
      </w:pPr>
    </w:p>
    <w:p w:rsidR="00CF6E47" w:rsidRPr="003E5ED2" w:rsidRDefault="00CF6E47" w:rsidP="000E69DA">
      <w:pPr>
        <w:jc w:val="both"/>
        <w:rPr>
          <w:rFonts w:ascii="Arial" w:hAnsi="Arial" w:cs="Arial"/>
          <w:sz w:val="22"/>
          <w:szCs w:val="22"/>
        </w:rPr>
      </w:pPr>
    </w:p>
    <w:p w:rsidR="000E69DA" w:rsidRPr="003E5ED2" w:rsidRDefault="001C5CD4" w:rsidP="000E69DA">
      <w:pPr>
        <w:keepNext/>
        <w:jc w:val="both"/>
        <w:outlineLvl w:val="3"/>
        <w:rPr>
          <w:rFonts w:ascii="Arial" w:hAnsi="Arial" w:cs="Arial"/>
          <w:b/>
          <w:sz w:val="22"/>
          <w:szCs w:val="22"/>
        </w:rPr>
      </w:pPr>
      <w:r w:rsidRPr="003E5ED2">
        <w:rPr>
          <w:rFonts w:ascii="Arial" w:hAnsi="Arial" w:cs="Arial"/>
          <w:b/>
          <w:sz w:val="22"/>
          <w:szCs w:val="22"/>
        </w:rPr>
        <w:t>X</w:t>
      </w:r>
      <w:r w:rsidR="008D68B2" w:rsidRPr="003E5ED2">
        <w:rPr>
          <w:rFonts w:ascii="Arial" w:hAnsi="Arial" w:cs="Arial"/>
          <w:b/>
          <w:sz w:val="22"/>
          <w:szCs w:val="22"/>
        </w:rPr>
        <w:t>006</w:t>
      </w:r>
      <w:r w:rsidR="000E69DA" w:rsidRPr="003E5ED2">
        <w:rPr>
          <w:rFonts w:ascii="Arial" w:hAnsi="Arial" w:cs="Arial"/>
          <w:b/>
          <w:sz w:val="22"/>
          <w:szCs w:val="22"/>
        </w:rPr>
        <w:t xml:space="preserve"> – </w:t>
      </w:r>
      <w:r w:rsidRPr="003E5ED2">
        <w:rPr>
          <w:rFonts w:ascii="Arial" w:hAnsi="Arial" w:cs="Arial"/>
          <w:b/>
          <w:sz w:val="22"/>
          <w:szCs w:val="22"/>
        </w:rPr>
        <w:t>VIŠAK</w:t>
      </w:r>
      <w:r w:rsidR="000E69DA" w:rsidRPr="003E5ED2">
        <w:rPr>
          <w:rFonts w:ascii="Arial" w:hAnsi="Arial" w:cs="Arial"/>
          <w:b/>
          <w:sz w:val="22"/>
          <w:szCs w:val="22"/>
        </w:rPr>
        <w:t xml:space="preserve"> PRIH</w:t>
      </w:r>
      <w:r w:rsidR="00C40B57" w:rsidRPr="003E5ED2">
        <w:rPr>
          <w:rFonts w:ascii="Arial" w:hAnsi="Arial" w:cs="Arial"/>
          <w:b/>
          <w:sz w:val="22"/>
          <w:szCs w:val="22"/>
        </w:rPr>
        <w:t xml:space="preserve">ODA I PRIMITAKA </w:t>
      </w:r>
      <w:r w:rsidRPr="003E5ED2">
        <w:rPr>
          <w:rFonts w:ascii="Arial" w:hAnsi="Arial" w:cs="Arial"/>
          <w:b/>
          <w:sz w:val="22"/>
          <w:szCs w:val="22"/>
        </w:rPr>
        <w:t>RASPOLOŽIV</w:t>
      </w:r>
      <w:r w:rsidR="00C40B57" w:rsidRPr="003E5ED2">
        <w:rPr>
          <w:rFonts w:ascii="Arial" w:hAnsi="Arial" w:cs="Arial"/>
          <w:b/>
          <w:sz w:val="22"/>
          <w:szCs w:val="22"/>
        </w:rPr>
        <w:t xml:space="preserve"> U SL</w:t>
      </w:r>
      <w:r w:rsidR="000E69DA" w:rsidRPr="003E5ED2">
        <w:rPr>
          <w:rFonts w:ascii="Arial" w:hAnsi="Arial" w:cs="Arial"/>
          <w:b/>
          <w:sz w:val="22"/>
          <w:szCs w:val="22"/>
        </w:rPr>
        <w:t>JEDEĆEM RAZDOBLJU</w:t>
      </w:r>
    </w:p>
    <w:p w:rsidR="000E69DA" w:rsidRPr="003E5ED2" w:rsidRDefault="000E69DA" w:rsidP="000E69DA">
      <w:pPr>
        <w:keepNext/>
        <w:jc w:val="both"/>
        <w:outlineLvl w:val="3"/>
        <w:rPr>
          <w:rFonts w:ascii="Arial" w:hAnsi="Arial" w:cs="Arial"/>
          <w:b/>
          <w:sz w:val="22"/>
          <w:szCs w:val="22"/>
        </w:rPr>
      </w:pPr>
    </w:p>
    <w:p w:rsidR="00055C05" w:rsidRPr="003E5ED2" w:rsidRDefault="001C5CD4" w:rsidP="00055C05">
      <w:pPr>
        <w:jc w:val="both"/>
        <w:rPr>
          <w:rFonts w:ascii="Arial" w:hAnsi="Arial" w:cs="Arial"/>
          <w:sz w:val="22"/>
          <w:szCs w:val="22"/>
        </w:rPr>
      </w:pPr>
      <w:r w:rsidRPr="003E5ED2">
        <w:rPr>
          <w:rFonts w:ascii="Arial" w:hAnsi="Arial" w:cs="Arial"/>
          <w:sz w:val="22"/>
          <w:szCs w:val="22"/>
        </w:rPr>
        <w:t>Višak</w:t>
      </w:r>
      <w:r w:rsidR="000E69DA" w:rsidRPr="003E5ED2">
        <w:rPr>
          <w:rFonts w:ascii="Arial" w:hAnsi="Arial" w:cs="Arial"/>
          <w:sz w:val="22"/>
          <w:szCs w:val="22"/>
        </w:rPr>
        <w:t xml:space="preserve"> prihoda i primitaka </w:t>
      </w:r>
      <w:r w:rsidRPr="003E5ED2">
        <w:rPr>
          <w:rFonts w:ascii="Arial" w:hAnsi="Arial" w:cs="Arial"/>
          <w:sz w:val="22"/>
          <w:szCs w:val="22"/>
        </w:rPr>
        <w:t xml:space="preserve">raspoloživ </w:t>
      </w:r>
      <w:r w:rsidR="000E69DA" w:rsidRPr="003E5ED2">
        <w:rPr>
          <w:rFonts w:ascii="Arial" w:hAnsi="Arial" w:cs="Arial"/>
          <w:sz w:val="22"/>
          <w:szCs w:val="22"/>
        </w:rPr>
        <w:t xml:space="preserve">u sljedećem razdoblju utvrđen je u iznosu </w:t>
      </w:r>
      <w:r w:rsidR="00D3505B" w:rsidRPr="003E5ED2">
        <w:rPr>
          <w:rFonts w:ascii="Arial" w:hAnsi="Arial" w:cs="Arial"/>
          <w:sz w:val="22"/>
          <w:szCs w:val="22"/>
        </w:rPr>
        <w:t>28.</w:t>
      </w:r>
      <w:r w:rsidR="001149D2" w:rsidRPr="003E5ED2">
        <w:rPr>
          <w:rFonts w:ascii="Arial" w:hAnsi="Arial" w:cs="Arial"/>
          <w:sz w:val="22"/>
          <w:szCs w:val="22"/>
        </w:rPr>
        <w:t>571.369,79</w:t>
      </w:r>
      <w:r w:rsidRPr="003E5ED2">
        <w:rPr>
          <w:rFonts w:ascii="Arial" w:hAnsi="Arial" w:cs="Arial"/>
          <w:sz w:val="22"/>
          <w:szCs w:val="22"/>
        </w:rPr>
        <w:t xml:space="preserve"> eura</w:t>
      </w:r>
      <w:r w:rsidR="00647BE9" w:rsidRPr="003E5ED2">
        <w:rPr>
          <w:rFonts w:ascii="Arial" w:hAnsi="Arial" w:cs="Arial"/>
          <w:sz w:val="22"/>
          <w:szCs w:val="22"/>
        </w:rPr>
        <w:t>, a rezultat je</w:t>
      </w:r>
      <w:r w:rsidR="00AB51E4" w:rsidRPr="003E5ED2">
        <w:rPr>
          <w:rFonts w:ascii="Arial" w:hAnsi="Arial" w:cs="Arial"/>
          <w:sz w:val="22"/>
          <w:szCs w:val="22"/>
        </w:rPr>
        <w:t xml:space="preserve"> </w:t>
      </w:r>
      <w:r w:rsidR="00DC57D2" w:rsidRPr="003E5ED2">
        <w:rPr>
          <w:rFonts w:ascii="Arial" w:hAnsi="Arial" w:cs="Arial"/>
          <w:sz w:val="22"/>
          <w:szCs w:val="22"/>
        </w:rPr>
        <w:t>viška</w:t>
      </w:r>
      <w:r w:rsidR="00055C05" w:rsidRPr="003E5ED2">
        <w:rPr>
          <w:rFonts w:ascii="Arial" w:hAnsi="Arial" w:cs="Arial"/>
          <w:sz w:val="22"/>
          <w:szCs w:val="22"/>
        </w:rPr>
        <w:t xml:space="preserve"> prihoda i primitaka tekućeg razdoblja (X005) u iznosu </w:t>
      </w:r>
      <w:r w:rsidR="00C345F5" w:rsidRPr="003E5ED2">
        <w:rPr>
          <w:rFonts w:ascii="Arial" w:hAnsi="Arial" w:cs="Arial"/>
          <w:sz w:val="22"/>
          <w:szCs w:val="22"/>
        </w:rPr>
        <w:t>11.403.816,55</w:t>
      </w:r>
      <w:r w:rsidR="00055C05" w:rsidRPr="003E5ED2">
        <w:rPr>
          <w:rFonts w:ascii="Arial" w:hAnsi="Arial" w:cs="Arial"/>
          <w:sz w:val="22"/>
          <w:szCs w:val="22"/>
        </w:rPr>
        <w:t xml:space="preserve"> eura </w:t>
      </w:r>
      <w:r w:rsidR="00C345F5" w:rsidRPr="003E5ED2">
        <w:rPr>
          <w:rFonts w:ascii="Arial" w:hAnsi="Arial" w:cs="Arial"/>
          <w:sz w:val="22"/>
          <w:szCs w:val="22"/>
        </w:rPr>
        <w:t>uvećan</w:t>
      </w:r>
      <w:r w:rsidR="00055C05" w:rsidRPr="003E5ED2">
        <w:rPr>
          <w:rFonts w:ascii="Arial" w:hAnsi="Arial" w:cs="Arial"/>
          <w:sz w:val="22"/>
          <w:szCs w:val="22"/>
        </w:rPr>
        <w:t xml:space="preserve"> za preneseni </w:t>
      </w:r>
      <w:r w:rsidR="00C345F5" w:rsidRPr="003E5ED2">
        <w:rPr>
          <w:rFonts w:ascii="Arial" w:hAnsi="Arial" w:cs="Arial"/>
          <w:sz w:val="22"/>
          <w:szCs w:val="22"/>
        </w:rPr>
        <w:t>višak</w:t>
      </w:r>
      <w:r w:rsidR="00055C05" w:rsidRPr="003E5ED2">
        <w:rPr>
          <w:rFonts w:ascii="Arial" w:hAnsi="Arial" w:cs="Arial"/>
          <w:sz w:val="22"/>
          <w:szCs w:val="22"/>
        </w:rPr>
        <w:t xml:space="preserve"> iz prethodnih godina</w:t>
      </w:r>
      <w:r w:rsidR="00C345F5" w:rsidRPr="003E5ED2">
        <w:rPr>
          <w:rFonts w:ascii="Arial" w:hAnsi="Arial" w:cs="Arial"/>
          <w:sz w:val="22"/>
          <w:szCs w:val="22"/>
        </w:rPr>
        <w:t xml:space="preserve"> (9221-9222</w:t>
      </w:r>
      <w:r w:rsidR="00055C05" w:rsidRPr="003E5ED2">
        <w:rPr>
          <w:rFonts w:ascii="Arial" w:hAnsi="Arial" w:cs="Arial"/>
          <w:sz w:val="22"/>
          <w:szCs w:val="22"/>
        </w:rPr>
        <w:t xml:space="preserve">) u iznosu </w:t>
      </w:r>
      <w:r w:rsidR="001149D2" w:rsidRPr="003E5ED2">
        <w:rPr>
          <w:rFonts w:ascii="Arial" w:hAnsi="Arial" w:cs="Arial"/>
          <w:sz w:val="22"/>
          <w:szCs w:val="22"/>
        </w:rPr>
        <w:t>17.167.553,24</w:t>
      </w:r>
      <w:r w:rsidR="00D16D9E" w:rsidRPr="003E5ED2">
        <w:rPr>
          <w:rFonts w:ascii="Arial" w:hAnsi="Arial" w:cs="Arial"/>
          <w:sz w:val="22"/>
          <w:szCs w:val="22"/>
        </w:rPr>
        <w:t xml:space="preserve"> eura.</w:t>
      </w:r>
    </w:p>
    <w:p w:rsidR="00DE6D69" w:rsidRPr="003E5ED2" w:rsidRDefault="00DE6D69" w:rsidP="000E69DA">
      <w:pPr>
        <w:jc w:val="both"/>
        <w:rPr>
          <w:rFonts w:ascii="Arial" w:hAnsi="Arial" w:cs="Arial"/>
          <w:sz w:val="22"/>
          <w:szCs w:val="22"/>
        </w:rPr>
      </w:pPr>
    </w:p>
    <w:p w:rsidR="00E35542" w:rsidRPr="003E5ED2" w:rsidRDefault="00E35542" w:rsidP="00E35542">
      <w:pPr>
        <w:jc w:val="both"/>
        <w:rPr>
          <w:rFonts w:ascii="Arial" w:hAnsi="Arial" w:cs="Arial"/>
          <w:sz w:val="22"/>
          <w:szCs w:val="22"/>
        </w:rPr>
      </w:pPr>
      <w:r w:rsidRPr="004F3ECD">
        <w:rPr>
          <w:rFonts w:ascii="Arial" w:hAnsi="Arial" w:cs="Arial"/>
          <w:sz w:val="22"/>
          <w:szCs w:val="22"/>
        </w:rPr>
        <w:t>Dio navedenog iznosa Viška prihoda i primitaka u iznosu od 19.777.630,00 eura već je planirano za korištenje u Proračunu Grada Rijeke za 2025. godinu.</w:t>
      </w:r>
      <w:r w:rsidRPr="003E5ED2">
        <w:rPr>
          <w:rFonts w:ascii="Arial" w:hAnsi="Arial" w:cs="Arial"/>
          <w:sz w:val="22"/>
          <w:szCs w:val="22"/>
        </w:rPr>
        <w:t xml:space="preserve"> </w:t>
      </w:r>
    </w:p>
    <w:p w:rsidR="00F37E34" w:rsidRPr="003E5ED2" w:rsidRDefault="00F37E34" w:rsidP="000E69DA">
      <w:pPr>
        <w:jc w:val="both"/>
        <w:rPr>
          <w:rFonts w:ascii="Arial" w:hAnsi="Arial" w:cs="Arial"/>
          <w:sz w:val="22"/>
          <w:szCs w:val="22"/>
        </w:rPr>
      </w:pPr>
    </w:p>
    <w:p w:rsidR="00647BE9" w:rsidRPr="003E5ED2" w:rsidRDefault="00647BE9" w:rsidP="000E69DA">
      <w:pPr>
        <w:jc w:val="both"/>
        <w:rPr>
          <w:rFonts w:ascii="Arial" w:hAnsi="Arial" w:cs="Arial"/>
          <w:sz w:val="22"/>
          <w:szCs w:val="22"/>
        </w:rPr>
      </w:pPr>
      <w:r w:rsidRPr="003E5ED2">
        <w:rPr>
          <w:rFonts w:ascii="Arial" w:hAnsi="Arial" w:cs="Arial"/>
          <w:sz w:val="22"/>
          <w:szCs w:val="22"/>
        </w:rPr>
        <w:t xml:space="preserve">Utvrđeni viškovi i manjkovi izvještajnog razdoblja, zajedno s prenesenim viškovima i manjkovima, naknadno se prebijaju po istovrsnim kategorijama aktivnosti i korigiraju u skladu s člankom </w:t>
      </w:r>
      <w:r w:rsidR="005253CB" w:rsidRPr="003E5ED2">
        <w:rPr>
          <w:rFonts w:ascii="Arial" w:hAnsi="Arial" w:cs="Arial"/>
          <w:sz w:val="22"/>
          <w:szCs w:val="22"/>
        </w:rPr>
        <w:t>215</w:t>
      </w:r>
      <w:r w:rsidR="00E0749D" w:rsidRPr="003E5ED2">
        <w:rPr>
          <w:rFonts w:ascii="Arial" w:hAnsi="Arial" w:cs="Arial"/>
          <w:sz w:val="22"/>
          <w:szCs w:val="22"/>
        </w:rPr>
        <w:t>.</w:t>
      </w:r>
      <w:r w:rsidRPr="003E5ED2">
        <w:rPr>
          <w:rFonts w:ascii="Arial" w:hAnsi="Arial" w:cs="Arial"/>
          <w:sz w:val="22"/>
          <w:szCs w:val="22"/>
        </w:rPr>
        <w:t xml:space="preserve"> Pravilnika o proračunskom rač</w:t>
      </w:r>
      <w:r w:rsidR="00E0749D" w:rsidRPr="003E5ED2">
        <w:rPr>
          <w:rFonts w:ascii="Arial" w:hAnsi="Arial" w:cs="Arial"/>
          <w:sz w:val="22"/>
          <w:szCs w:val="22"/>
        </w:rPr>
        <w:t>unovodstvu i R</w:t>
      </w:r>
      <w:r w:rsidRPr="003E5ED2">
        <w:rPr>
          <w:rFonts w:ascii="Arial" w:hAnsi="Arial" w:cs="Arial"/>
          <w:sz w:val="22"/>
          <w:szCs w:val="22"/>
        </w:rPr>
        <w:t>ačunskom planu. Konačna struktura financijskog rezultata (viškova i manjkova) iskaz</w:t>
      </w:r>
      <w:r w:rsidR="001C7978" w:rsidRPr="003E5ED2">
        <w:rPr>
          <w:rFonts w:ascii="Arial" w:hAnsi="Arial" w:cs="Arial"/>
          <w:sz w:val="22"/>
          <w:szCs w:val="22"/>
        </w:rPr>
        <w:t xml:space="preserve">ana </w:t>
      </w:r>
      <w:r w:rsidR="004549CB" w:rsidRPr="003E5ED2">
        <w:rPr>
          <w:rFonts w:ascii="Arial" w:hAnsi="Arial" w:cs="Arial"/>
          <w:sz w:val="22"/>
          <w:szCs w:val="22"/>
        </w:rPr>
        <w:t xml:space="preserve">je u Bilanci na </w:t>
      </w:r>
      <w:r w:rsidR="001B01D8" w:rsidRPr="003E5ED2">
        <w:rPr>
          <w:rFonts w:ascii="Arial" w:hAnsi="Arial" w:cs="Arial"/>
          <w:sz w:val="22"/>
          <w:szCs w:val="22"/>
        </w:rPr>
        <w:t xml:space="preserve">dan </w:t>
      </w:r>
      <w:r w:rsidR="004549CB" w:rsidRPr="003E5ED2">
        <w:rPr>
          <w:rFonts w:ascii="Arial" w:hAnsi="Arial" w:cs="Arial"/>
          <w:sz w:val="22"/>
          <w:szCs w:val="22"/>
        </w:rPr>
        <w:t xml:space="preserve">31. prosinac </w:t>
      </w:r>
      <w:r w:rsidR="00C345F5" w:rsidRPr="003E5ED2">
        <w:rPr>
          <w:rFonts w:ascii="Arial" w:hAnsi="Arial" w:cs="Arial"/>
          <w:sz w:val="22"/>
          <w:szCs w:val="22"/>
        </w:rPr>
        <w:t>2024</w:t>
      </w:r>
      <w:r w:rsidRPr="003E5ED2">
        <w:rPr>
          <w:rFonts w:ascii="Arial" w:hAnsi="Arial" w:cs="Arial"/>
          <w:sz w:val="22"/>
          <w:szCs w:val="22"/>
        </w:rPr>
        <w:t>. godine, vidjeti Bilješku</w:t>
      </w:r>
      <w:r w:rsidR="003945F9" w:rsidRPr="003E5ED2">
        <w:rPr>
          <w:rFonts w:ascii="Arial" w:hAnsi="Arial" w:cs="Arial"/>
          <w:sz w:val="22"/>
          <w:szCs w:val="22"/>
        </w:rPr>
        <w:t xml:space="preserve"> broj 5</w:t>
      </w:r>
      <w:r w:rsidRPr="003E5ED2">
        <w:rPr>
          <w:rFonts w:ascii="Arial" w:hAnsi="Arial" w:cs="Arial"/>
          <w:sz w:val="22"/>
          <w:szCs w:val="22"/>
        </w:rPr>
        <w:t xml:space="preserve"> </w:t>
      </w:r>
      <w:r w:rsidR="003945F9" w:rsidRPr="003E5ED2">
        <w:rPr>
          <w:rFonts w:ascii="Arial" w:hAnsi="Arial" w:cs="Arial"/>
          <w:sz w:val="22"/>
          <w:szCs w:val="22"/>
        </w:rPr>
        <w:t>uz Bilancu.</w:t>
      </w:r>
    </w:p>
    <w:p w:rsidR="00647BE9" w:rsidRPr="003E5ED2" w:rsidRDefault="00647BE9" w:rsidP="000E69DA">
      <w:pPr>
        <w:jc w:val="both"/>
        <w:rPr>
          <w:rFonts w:ascii="Arial" w:hAnsi="Arial" w:cs="Arial"/>
          <w:sz w:val="22"/>
          <w:szCs w:val="22"/>
        </w:rPr>
      </w:pPr>
    </w:p>
    <w:p w:rsidR="00647BE9" w:rsidRPr="003E5ED2" w:rsidRDefault="00647BE9" w:rsidP="000E69DA">
      <w:pPr>
        <w:tabs>
          <w:tab w:val="left" w:pos="284"/>
          <w:tab w:val="left" w:pos="567"/>
          <w:tab w:val="left" w:pos="851"/>
        </w:tabs>
        <w:ind w:left="1440" w:hanging="1440"/>
        <w:jc w:val="both"/>
        <w:rPr>
          <w:rFonts w:ascii="Arial" w:hAnsi="Arial" w:cs="Arial"/>
          <w:b/>
          <w:sz w:val="22"/>
          <w:szCs w:val="22"/>
        </w:rPr>
      </w:pPr>
    </w:p>
    <w:p w:rsidR="000E69DA" w:rsidRPr="003E5ED2" w:rsidRDefault="000E69DA" w:rsidP="0054476B">
      <w:pPr>
        <w:tabs>
          <w:tab w:val="left" w:pos="284"/>
          <w:tab w:val="left" w:pos="567"/>
          <w:tab w:val="left" w:pos="851"/>
        </w:tabs>
        <w:ind w:left="1440" w:hanging="1440"/>
        <w:jc w:val="both"/>
        <w:rPr>
          <w:rFonts w:ascii="Arial" w:hAnsi="Arial" w:cs="Arial"/>
          <w:b/>
          <w:sz w:val="22"/>
          <w:szCs w:val="22"/>
        </w:rPr>
      </w:pPr>
      <w:r w:rsidRPr="003E5ED2">
        <w:rPr>
          <w:rFonts w:ascii="Arial" w:hAnsi="Arial" w:cs="Arial"/>
          <w:b/>
          <w:sz w:val="22"/>
          <w:szCs w:val="22"/>
        </w:rPr>
        <w:t>Bilješka broj 1</w:t>
      </w:r>
      <w:r w:rsidR="00B52D1D" w:rsidRPr="003E5ED2">
        <w:rPr>
          <w:rFonts w:ascii="Arial" w:hAnsi="Arial" w:cs="Arial"/>
          <w:b/>
          <w:sz w:val="22"/>
          <w:szCs w:val="22"/>
        </w:rPr>
        <w:t>9</w:t>
      </w:r>
      <w:r w:rsidR="00B441A0" w:rsidRPr="003E5ED2">
        <w:rPr>
          <w:rFonts w:ascii="Arial" w:hAnsi="Arial" w:cs="Arial"/>
          <w:b/>
          <w:sz w:val="22"/>
          <w:szCs w:val="22"/>
        </w:rPr>
        <w:t xml:space="preserve"> – 19</w:t>
      </w:r>
      <w:r w:rsidRPr="003E5ED2">
        <w:rPr>
          <w:rFonts w:ascii="Arial" w:hAnsi="Arial" w:cs="Arial"/>
          <w:b/>
          <w:sz w:val="22"/>
          <w:szCs w:val="22"/>
        </w:rPr>
        <w:t xml:space="preserve">  RASHODI BUDUĆIH RAZDOBLJA</w:t>
      </w:r>
      <w:r w:rsidR="00FE74CA" w:rsidRPr="003E5ED2">
        <w:rPr>
          <w:rFonts w:ascii="Arial" w:hAnsi="Arial" w:cs="Arial"/>
          <w:b/>
          <w:sz w:val="22"/>
          <w:szCs w:val="22"/>
        </w:rPr>
        <w:t xml:space="preserve"> I NEDOSPJELA </w:t>
      </w:r>
      <w:r w:rsidR="00EB7653" w:rsidRPr="003E5ED2">
        <w:rPr>
          <w:rFonts w:ascii="Arial" w:hAnsi="Arial" w:cs="Arial"/>
          <w:b/>
          <w:sz w:val="22"/>
          <w:szCs w:val="22"/>
        </w:rPr>
        <w:t>NA</w:t>
      </w:r>
      <w:r w:rsidR="005469C3" w:rsidRPr="003E5ED2">
        <w:rPr>
          <w:rFonts w:ascii="Arial" w:hAnsi="Arial" w:cs="Arial"/>
          <w:b/>
          <w:sz w:val="22"/>
          <w:szCs w:val="22"/>
        </w:rPr>
        <w:t xml:space="preserve">PLATA PRIHODA </w:t>
      </w:r>
      <w:r w:rsidR="005469C3" w:rsidRPr="003E5ED2">
        <w:rPr>
          <w:rFonts w:ascii="Arial" w:hAnsi="Arial" w:cs="Arial"/>
          <w:b/>
          <w:sz w:val="22"/>
          <w:szCs w:val="22"/>
        </w:rPr>
        <w:tab/>
        <w:t xml:space="preserve">  (aktivna </w:t>
      </w:r>
      <w:r w:rsidR="00FE74CA" w:rsidRPr="003E5ED2">
        <w:rPr>
          <w:rFonts w:ascii="Arial" w:hAnsi="Arial" w:cs="Arial"/>
          <w:b/>
          <w:sz w:val="22"/>
          <w:szCs w:val="22"/>
        </w:rPr>
        <w:t>vremenska razgraničenja)</w:t>
      </w:r>
      <w:r w:rsidR="007D2AD1" w:rsidRPr="003E5ED2">
        <w:rPr>
          <w:rFonts w:ascii="Arial" w:hAnsi="Arial" w:cs="Arial"/>
          <w:b/>
          <w:sz w:val="22"/>
          <w:szCs w:val="22"/>
        </w:rPr>
        <w:t xml:space="preserve"> </w:t>
      </w:r>
    </w:p>
    <w:p w:rsidR="0054476B" w:rsidRPr="003E5ED2" w:rsidRDefault="0054476B" w:rsidP="0054476B">
      <w:pPr>
        <w:tabs>
          <w:tab w:val="left" w:pos="284"/>
          <w:tab w:val="left" w:pos="567"/>
          <w:tab w:val="left" w:pos="851"/>
        </w:tabs>
        <w:ind w:left="1440" w:hanging="1440"/>
        <w:jc w:val="both"/>
        <w:rPr>
          <w:rFonts w:ascii="Arial" w:hAnsi="Arial" w:cs="Arial"/>
          <w:sz w:val="22"/>
          <w:szCs w:val="22"/>
        </w:rPr>
      </w:pPr>
    </w:p>
    <w:p w:rsidR="000E69DA" w:rsidRPr="003E5ED2" w:rsidRDefault="000E69DA" w:rsidP="005469C3">
      <w:pPr>
        <w:jc w:val="both"/>
        <w:rPr>
          <w:rFonts w:ascii="Arial" w:hAnsi="Arial" w:cs="Arial"/>
          <w:sz w:val="22"/>
          <w:szCs w:val="22"/>
        </w:rPr>
      </w:pPr>
      <w:r w:rsidRPr="003E5ED2">
        <w:rPr>
          <w:rFonts w:ascii="Arial" w:hAnsi="Arial" w:cs="Arial"/>
          <w:sz w:val="22"/>
          <w:szCs w:val="22"/>
        </w:rPr>
        <w:t xml:space="preserve">Rashodi budućih razdoblja iznose </w:t>
      </w:r>
      <w:r w:rsidR="007D2AD1" w:rsidRPr="003E5ED2">
        <w:rPr>
          <w:rFonts w:ascii="Arial" w:hAnsi="Arial" w:cs="Arial"/>
          <w:sz w:val="22"/>
          <w:szCs w:val="22"/>
        </w:rPr>
        <w:t>810.667,71</w:t>
      </w:r>
      <w:r w:rsidR="00D7119A" w:rsidRPr="003E5ED2">
        <w:rPr>
          <w:rFonts w:ascii="Arial" w:hAnsi="Arial" w:cs="Arial"/>
          <w:sz w:val="22"/>
          <w:szCs w:val="22"/>
        </w:rPr>
        <w:t xml:space="preserve"> </w:t>
      </w:r>
      <w:r w:rsidR="00DA5291" w:rsidRPr="003E5ED2">
        <w:rPr>
          <w:rFonts w:ascii="Arial" w:hAnsi="Arial" w:cs="Arial"/>
          <w:sz w:val="22"/>
          <w:szCs w:val="22"/>
        </w:rPr>
        <w:t>eur</w:t>
      </w:r>
      <w:r w:rsidR="00D7119A" w:rsidRPr="003E5ED2">
        <w:rPr>
          <w:rFonts w:ascii="Arial" w:hAnsi="Arial" w:cs="Arial"/>
          <w:sz w:val="22"/>
          <w:szCs w:val="22"/>
        </w:rPr>
        <w:t>a</w:t>
      </w:r>
      <w:r w:rsidRPr="003E5ED2">
        <w:rPr>
          <w:rFonts w:ascii="Arial" w:hAnsi="Arial" w:cs="Arial"/>
          <w:sz w:val="22"/>
          <w:szCs w:val="22"/>
        </w:rPr>
        <w:t xml:space="preserve">, a čine ih </w:t>
      </w:r>
      <w:r w:rsidR="00D7119A" w:rsidRPr="003E5ED2">
        <w:rPr>
          <w:rFonts w:ascii="Arial" w:hAnsi="Arial" w:cs="Arial"/>
          <w:sz w:val="22"/>
          <w:szCs w:val="22"/>
        </w:rPr>
        <w:t xml:space="preserve">obveze </w:t>
      </w:r>
      <w:r w:rsidRPr="003E5ED2">
        <w:rPr>
          <w:rFonts w:ascii="Arial" w:hAnsi="Arial" w:cs="Arial"/>
          <w:sz w:val="22"/>
          <w:szCs w:val="22"/>
        </w:rPr>
        <w:t>koje ne terete tekuće razdoblje:</w:t>
      </w:r>
      <w:r w:rsidR="00210D4E" w:rsidRPr="003E5ED2">
        <w:rPr>
          <w:rFonts w:ascii="Arial" w:hAnsi="Arial" w:cs="Arial"/>
          <w:sz w:val="22"/>
          <w:szCs w:val="22"/>
        </w:rPr>
        <w:t xml:space="preserve"> </w:t>
      </w:r>
      <w:r w:rsidRPr="003E5ED2">
        <w:rPr>
          <w:rFonts w:ascii="Arial" w:hAnsi="Arial" w:cs="Arial"/>
          <w:sz w:val="22"/>
          <w:szCs w:val="22"/>
        </w:rPr>
        <w:t>obračunata kamata za primljeni zajam od Ministarstva financija za sufinanciranje EU projekta Županijski centar za gospodarenje otpadom "</w:t>
      </w:r>
      <w:proofErr w:type="spellStart"/>
      <w:r w:rsidRPr="003E5ED2">
        <w:rPr>
          <w:rFonts w:ascii="Arial" w:hAnsi="Arial" w:cs="Arial"/>
          <w:sz w:val="22"/>
          <w:szCs w:val="22"/>
        </w:rPr>
        <w:t>Marišćina</w:t>
      </w:r>
      <w:proofErr w:type="spellEnd"/>
      <w:r w:rsidRPr="003E5ED2">
        <w:rPr>
          <w:rFonts w:ascii="Arial" w:hAnsi="Arial" w:cs="Arial"/>
          <w:sz w:val="22"/>
          <w:szCs w:val="22"/>
        </w:rPr>
        <w:t>" u skladu s Uputama Ministarstva financija</w:t>
      </w:r>
      <w:r w:rsidR="00B87480" w:rsidRPr="003E5ED2">
        <w:rPr>
          <w:rFonts w:ascii="Arial" w:hAnsi="Arial" w:cs="Arial"/>
          <w:sz w:val="22"/>
          <w:szCs w:val="22"/>
        </w:rPr>
        <w:t xml:space="preserve"> (</w:t>
      </w:r>
      <w:r w:rsidR="007D2AD1" w:rsidRPr="003E5ED2">
        <w:rPr>
          <w:rFonts w:ascii="Arial" w:hAnsi="Arial" w:cs="Arial"/>
          <w:sz w:val="22"/>
          <w:szCs w:val="22"/>
        </w:rPr>
        <w:t xml:space="preserve">596.487,82 </w:t>
      </w:r>
      <w:r w:rsidR="00DA5291" w:rsidRPr="003E5ED2">
        <w:rPr>
          <w:rFonts w:ascii="Arial" w:hAnsi="Arial" w:cs="Arial"/>
          <w:sz w:val="22"/>
          <w:szCs w:val="22"/>
        </w:rPr>
        <w:t>eura</w:t>
      </w:r>
      <w:r w:rsidR="00B465A2" w:rsidRPr="003E5ED2">
        <w:rPr>
          <w:rFonts w:ascii="Arial" w:hAnsi="Arial" w:cs="Arial"/>
          <w:sz w:val="22"/>
          <w:szCs w:val="22"/>
        </w:rPr>
        <w:t>)</w:t>
      </w:r>
      <w:r w:rsidR="00B87480" w:rsidRPr="003E5ED2">
        <w:rPr>
          <w:rFonts w:ascii="Arial" w:hAnsi="Arial" w:cs="Arial"/>
          <w:sz w:val="22"/>
          <w:szCs w:val="22"/>
        </w:rPr>
        <w:t xml:space="preserve">, </w:t>
      </w:r>
      <w:r w:rsidR="005034B8" w:rsidRPr="003E5ED2">
        <w:rPr>
          <w:rFonts w:ascii="Arial" w:hAnsi="Arial" w:cs="Arial"/>
          <w:sz w:val="22"/>
          <w:szCs w:val="22"/>
        </w:rPr>
        <w:t xml:space="preserve">nedospjela dugoročna obveza po </w:t>
      </w:r>
      <w:r w:rsidR="00B465A2" w:rsidRPr="003E5ED2">
        <w:rPr>
          <w:rFonts w:ascii="Arial" w:hAnsi="Arial" w:cs="Arial"/>
          <w:sz w:val="22"/>
          <w:szCs w:val="22"/>
        </w:rPr>
        <w:t>kredit</w:t>
      </w:r>
      <w:r w:rsidR="005034B8" w:rsidRPr="003E5ED2">
        <w:rPr>
          <w:rFonts w:ascii="Arial" w:hAnsi="Arial" w:cs="Arial"/>
          <w:sz w:val="22"/>
          <w:szCs w:val="22"/>
        </w:rPr>
        <w:t>u</w:t>
      </w:r>
      <w:r w:rsidR="00B465A2" w:rsidRPr="003E5ED2">
        <w:rPr>
          <w:rFonts w:ascii="Arial" w:hAnsi="Arial" w:cs="Arial"/>
          <w:sz w:val="22"/>
          <w:szCs w:val="22"/>
        </w:rPr>
        <w:t xml:space="preserve"> </w:t>
      </w:r>
      <w:r w:rsidR="000F2E5C" w:rsidRPr="003E5ED2">
        <w:rPr>
          <w:rFonts w:ascii="Arial" w:hAnsi="Arial" w:cs="Arial"/>
          <w:sz w:val="22"/>
          <w:szCs w:val="22"/>
        </w:rPr>
        <w:t xml:space="preserve">sportske udruge </w:t>
      </w:r>
      <w:r w:rsidR="000C2D6F" w:rsidRPr="003E5ED2">
        <w:rPr>
          <w:rFonts w:ascii="Arial" w:hAnsi="Arial" w:cs="Arial"/>
          <w:sz w:val="22"/>
          <w:szCs w:val="22"/>
        </w:rPr>
        <w:t>(</w:t>
      </w:r>
      <w:r w:rsidR="007D2AD1" w:rsidRPr="003E5ED2">
        <w:rPr>
          <w:rFonts w:ascii="Arial" w:hAnsi="Arial" w:cs="Arial"/>
          <w:sz w:val="22"/>
          <w:szCs w:val="22"/>
        </w:rPr>
        <w:t>209.507,63</w:t>
      </w:r>
      <w:r w:rsidR="00DA5291" w:rsidRPr="003E5ED2">
        <w:rPr>
          <w:rFonts w:ascii="Arial" w:hAnsi="Arial" w:cs="Arial"/>
          <w:sz w:val="22"/>
          <w:szCs w:val="22"/>
        </w:rPr>
        <w:t xml:space="preserve"> eura</w:t>
      </w:r>
      <w:r w:rsidR="000C2D6F" w:rsidRPr="003E5ED2">
        <w:rPr>
          <w:rFonts w:ascii="Arial" w:hAnsi="Arial" w:cs="Arial"/>
          <w:sz w:val="22"/>
          <w:szCs w:val="22"/>
        </w:rPr>
        <w:t>)</w:t>
      </w:r>
      <w:r w:rsidR="007D2AD1" w:rsidRPr="003E5ED2">
        <w:rPr>
          <w:rFonts w:ascii="Arial" w:hAnsi="Arial" w:cs="Arial"/>
          <w:sz w:val="22"/>
          <w:szCs w:val="22"/>
        </w:rPr>
        <w:t xml:space="preserve"> i dugoročna obveza</w:t>
      </w:r>
      <w:r w:rsidRPr="003E5ED2">
        <w:rPr>
          <w:rFonts w:ascii="Arial" w:hAnsi="Arial" w:cs="Arial"/>
          <w:sz w:val="22"/>
          <w:szCs w:val="22"/>
        </w:rPr>
        <w:t xml:space="preserve"> </w:t>
      </w:r>
      <w:r w:rsidR="00853A6B" w:rsidRPr="003E5ED2">
        <w:rPr>
          <w:rFonts w:ascii="Arial" w:hAnsi="Arial" w:cs="Arial"/>
          <w:sz w:val="22"/>
          <w:szCs w:val="22"/>
        </w:rPr>
        <w:t xml:space="preserve">za </w:t>
      </w:r>
      <w:r w:rsidRPr="003E5ED2">
        <w:rPr>
          <w:rFonts w:ascii="Arial" w:hAnsi="Arial" w:cs="Arial"/>
          <w:sz w:val="22"/>
          <w:szCs w:val="22"/>
        </w:rPr>
        <w:t>pravo građenja SD Zamet</w:t>
      </w:r>
      <w:r w:rsidR="00CA0A56" w:rsidRPr="003E5ED2">
        <w:rPr>
          <w:rFonts w:ascii="Arial" w:hAnsi="Arial" w:cs="Arial"/>
          <w:sz w:val="22"/>
          <w:szCs w:val="22"/>
        </w:rPr>
        <w:t xml:space="preserve"> (</w:t>
      </w:r>
      <w:r w:rsidR="007D2AD1" w:rsidRPr="003E5ED2">
        <w:rPr>
          <w:rFonts w:ascii="Arial" w:hAnsi="Arial" w:cs="Arial"/>
          <w:sz w:val="22"/>
          <w:szCs w:val="22"/>
        </w:rPr>
        <w:t>4.672,26</w:t>
      </w:r>
      <w:r w:rsidR="00DA5291" w:rsidRPr="003E5ED2">
        <w:rPr>
          <w:rFonts w:ascii="Arial" w:hAnsi="Arial" w:cs="Arial"/>
          <w:sz w:val="22"/>
          <w:szCs w:val="22"/>
        </w:rPr>
        <w:t xml:space="preserve"> eura</w:t>
      </w:r>
      <w:r w:rsidR="00B87480" w:rsidRPr="003E5ED2">
        <w:rPr>
          <w:rFonts w:ascii="Arial" w:hAnsi="Arial" w:cs="Arial"/>
          <w:sz w:val="22"/>
          <w:szCs w:val="22"/>
        </w:rPr>
        <w:t>)</w:t>
      </w:r>
      <w:r w:rsidR="009D65DA" w:rsidRPr="003E5ED2">
        <w:rPr>
          <w:rFonts w:ascii="Arial" w:hAnsi="Arial" w:cs="Arial"/>
          <w:sz w:val="22"/>
          <w:szCs w:val="22"/>
        </w:rPr>
        <w:t>.</w:t>
      </w:r>
    </w:p>
    <w:p w:rsidR="00DC0ACC" w:rsidRPr="003E5ED2" w:rsidRDefault="00DC0ACC" w:rsidP="000E69DA">
      <w:pPr>
        <w:tabs>
          <w:tab w:val="left" w:pos="284"/>
          <w:tab w:val="left" w:pos="567"/>
          <w:tab w:val="left" w:pos="851"/>
        </w:tabs>
        <w:ind w:left="1440" w:hanging="1440"/>
        <w:jc w:val="both"/>
        <w:rPr>
          <w:rFonts w:ascii="Arial" w:hAnsi="Arial" w:cs="Arial"/>
          <w:b/>
          <w:sz w:val="22"/>
          <w:szCs w:val="22"/>
        </w:rPr>
      </w:pPr>
    </w:p>
    <w:p w:rsidR="00DC0ACC" w:rsidRPr="003E5ED2" w:rsidRDefault="00DC0ACC" w:rsidP="000E69DA">
      <w:pPr>
        <w:tabs>
          <w:tab w:val="left" w:pos="284"/>
          <w:tab w:val="left" w:pos="567"/>
          <w:tab w:val="left" w:pos="851"/>
        </w:tabs>
        <w:ind w:left="1440" w:hanging="1440"/>
        <w:jc w:val="both"/>
        <w:rPr>
          <w:rFonts w:ascii="Arial" w:hAnsi="Arial" w:cs="Arial"/>
          <w:b/>
          <w:sz w:val="22"/>
          <w:szCs w:val="22"/>
        </w:rPr>
      </w:pPr>
    </w:p>
    <w:p w:rsidR="00615594" w:rsidRPr="003E5ED2" w:rsidRDefault="000E69DA" w:rsidP="000E69DA">
      <w:pPr>
        <w:tabs>
          <w:tab w:val="left" w:pos="284"/>
          <w:tab w:val="left" w:pos="567"/>
          <w:tab w:val="left" w:pos="851"/>
        </w:tabs>
        <w:ind w:left="1440" w:hanging="1440"/>
        <w:jc w:val="both"/>
        <w:rPr>
          <w:rFonts w:ascii="Arial" w:hAnsi="Arial" w:cs="Arial"/>
          <w:b/>
          <w:sz w:val="22"/>
          <w:szCs w:val="22"/>
        </w:rPr>
      </w:pPr>
      <w:r w:rsidRPr="003E5ED2">
        <w:rPr>
          <w:rFonts w:ascii="Arial" w:hAnsi="Arial" w:cs="Arial"/>
          <w:b/>
          <w:sz w:val="22"/>
          <w:szCs w:val="22"/>
        </w:rPr>
        <w:t xml:space="preserve">Bilješka broj </w:t>
      </w:r>
      <w:r w:rsidR="00B52D1D" w:rsidRPr="003E5ED2">
        <w:rPr>
          <w:rFonts w:ascii="Arial" w:hAnsi="Arial" w:cs="Arial"/>
          <w:b/>
          <w:sz w:val="22"/>
          <w:szCs w:val="22"/>
        </w:rPr>
        <w:t>20</w:t>
      </w:r>
      <w:r w:rsidR="009A6F6F" w:rsidRPr="003E5ED2">
        <w:rPr>
          <w:rFonts w:ascii="Arial" w:hAnsi="Arial" w:cs="Arial"/>
          <w:b/>
          <w:sz w:val="22"/>
          <w:szCs w:val="22"/>
        </w:rPr>
        <w:t xml:space="preserve"> – </w:t>
      </w:r>
      <w:r w:rsidR="00B441A0" w:rsidRPr="003E5ED2">
        <w:rPr>
          <w:rFonts w:ascii="Arial" w:hAnsi="Arial" w:cs="Arial"/>
          <w:b/>
          <w:sz w:val="22"/>
          <w:szCs w:val="22"/>
        </w:rPr>
        <w:t>11K</w:t>
      </w:r>
      <w:r w:rsidRPr="003E5ED2">
        <w:rPr>
          <w:rFonts w:ascii="Arial" w:hAnsi="Arial" w:cs="Arial"/>
          <w:b/>
          <w:sz w:val="22"/>
          <w:szCs w:val="22"/>
        </w:rPr>
        <w:t xml:space="preserve">  STANJE NOVČANIH SREDSTAVA NA KRAJU </w:t>
      </w:r>
      <w:r w:rsidR="001F23C5" w:rsidRPr="003E5ED2">
        <w:rPr>
          <w:rFonts w:ascii="Arial" w:hAnsi="Arial" w:cs="Arial"/>
          <w:b/>
          <w:sz w:val="22"/>
          <w:szCs w:val="22"/>
        </w:rPr>
        <w:t xml:space="preserve">IZVJEŠTAJNOG </w:t>
      </w:r>
      <w:r w:rsidR="001F23C5" w:rsidRPr="003E5ED2">
        <w:rPr>
          <w:rFonts w:ascii="Arial" w:hAnsi="Arial" w:cs="Arial"/>
          <w:b/>
          <w:sz w:val="22"/>
          <w:szCs w:val="22"/>
        </w:rPr>
        <w:tab/>
      </w:r>
      <w:r w:rsidRPr="003E5ED2">
        <w:rPr>
          <w:rFonts w:ascii="Arial" w:hAnsi="Arial" w:cs="Arial"/>
          <w:b/>
          <w:sz w:val="22"/>
          <w:szCs w:val="22"/>
        </w:rPr>
        <w:t>RAZDOBLJA</w:t>
      </w:r>
      <w:r w:rsidR="00615594" w:rsidRPr="003E5ED2">
        <w:rPr>
          <w:rFonts w:ascii="Arial" w:hAnsi="Arial" w:cs="Arial"/>
          <w:b/>
          <w:sz w:val="22"/>
          <w:szCs w:val="22"/>
        </w:rPr>
        <w:t xml:space="preserve"> </w:t>
      </w:r>
    </w:p>
    <w:p w:rsidR="0054476B" w:rsidRPr="003E5ED2" w:rsidRDefault="0054476B" w:rsidP="000E69DA">
      <w:pPr>
        <w:tabs>
          <w:tab w:val="left" w:pos="284"/>
          <w:tab w:val="left" w:pos="567"/>
          <w:tab w:val="left" w:pos="851"/>
        </w:tabs>
        <w:ind w:left="1440" w:hanging="1440"/>
        <w:jc w:val="both"/>
        <w:rPr>
          <w:rFonts w:ascii="Arial" w:hAnsi="Arial" w:cs="Arial"/>
          <w:b/>
          <w:sz w:val="22"/>
          <w:szCs w:val="22"/>
        </w:rPr>
      </w:pPr>
    </w:p>
    <w:p w:rsidR="00FD36F7" w:rsidRPr="003E5ED2" w:rsidRDefault="00FD36F7" w:rsidP="00840E00">
      <w:pPr>
        <w:jc w:val="both"/>
        <w:rPr>
          <w:rFonts w:ascii="Arial" w:hAnsi="Arial" w:cs="Arial"/>
          <w:sz w:val="22"/>
          <w:szCs w:val="22"/>
        </w:rPr>
      </w:pPr>
      <w:r w:rsidRPr="003E5ED2">
        <w:rPr>
          <w:rFonts w:ascii="Arial" w:hAnsi="Arial" w:cs="Arial"/>
          <w:sz w:val="22"/>
          <w:szCs w:val="22"/>
        </w:rPr>
        <w:t>Na kraju izvještajnog razdoblja ukupno stanje novčanih sredstava na svim računima (jedinstveni račun riznice</w:t>
      </w:r>
      <w:r w:rsidR="00510A74" w:rsidRPr="003E5ED2">
        <w:rPr>
          <w:rFonts w:ascii="Arial" w:hAnsi="Arial" w:cs="Arial"/>
          <w:sz w:val="22"/>
          <w:szCs w:val="22"/>
        </w:rPr>
        <w:t xml:space="preserve"> Grada i proračunskih korisnika</w:t>
      </w:r>
      <w:r w:rsidRPr="003E5ED2">
        <w:rPr>
          <w:rFonts w:ascii="Arial" w:hAnsi="Arial" w:cs="Arial"/>
          <w:sz w:val="22"/>
          <w:szCs w:val="22"/>
        </w:rPr>
        <w:t xml:space="preserve">, račun depozita i posebne namjene te blagajne iznosi </w:t>
      </w:r>
      <w:r w:rsidR="00C345F5" w:rsidRPr="003E5ED2">
        <w:rPr>
          <w:rFonts w:ascii="Arial" w:hAnsi="Arial" w:cs="Arial"/>
          <w:sz w:val="22"/>
          <w:szCs w:val="22"/>
        </w:rPr>
        <w:t>47.227,037,28</w:t>
      </w:r>
      <w:r w:rsidR="007F4EA3" w:rsidRPr="003E5ED2">
        <w:rPr>
          <w:rFonts w:ascii="Arial" w:hAnsi="Arial" w:cs="Arial"/>
          <w:sz w:val="22"/>
          <w:szCs w:val="22"/>
        </w:rPr>
        <w:t xml:space="preserve"> eura.</w:t>
      </w:r>
      <w:r w:rsidR="007D2AD1" w:rsidRPr="003E5ED2">
        <w:rPr>
          <w:rFonts w:ascii="Arial" w:hAnsi="Arial" w:cs="Arial"/>
          <w:sz w:val="22"/>
          <w:szCs w:val="22"/>
        </w:rPr>
        <w:t xml:space="preserve"> </w:t>
      </w:r>
    </w:p>
    <w:p w:rsidR="005640BC" w:rsidRPr="003E5ED2" w:rsidRDefault="007F4EA3" w:rsidP="00840E00">
      <w:pPr>
        <w:jc w:val="both"/>
        <w:rPr>
          <w:rFonts w:ascii="Arial" w:hAnsi="Arial" w:cs="Arial"/>
          <w:sz w:val="22"/>
          <w:szCs w:val="22"/>
        </w:rPr>
      </w:pPr>
      <w:r w:rsidRPr="003E5ED2">
        <w:rPr>
          <w:rFonts w:ascii="Arial" w:hAnsi="Arial" w:cs="Arial"/>
          <w:sz w:val="22"/>
          <w:szCs w:val="22"/>
        </w:rPr>
        <w:t>Stanje novčanih sredstava na jedinstvenom</w:t>
      </w:r>
      <w:r w:rsidR="0054476B" w:rsidRPr="003E5ED2">
        <w:rPr>
          <w:rFonts w:ascii="Arial" w:hAnsi="Arial" w:cs="Arial"/>
          <w:sz w:val="22"/>
          <w:szCs w:val="22"/>
        </w:rPr>
        <w:t xml:space="preserve"> računu r</w:t>
      </w:r>
      <w:r w:rsidR="00510A74" w:rsidRPr="003E5ED2">
        <w:rPr>
          <w:rFonts w:ascii="Arial" w:hAnsi="Arial" w:cs="Arial"/>
          <w:sz w:val="22"/>
          <w:szCs w:val="22"/>
        </w:rPr>
        <w:t>iznice</w:t>
      </w:r>
      <w:r w:rsidR="00D90F88" w:rsidRPr="003E5ED2">
        <w:rPr>
          <w:rFonts w:ascii="Arial" w:hAnsi="Arial" w:cs="Arial"/>
          <w:sz w:val="22"/>
          <w:szCs w:val="22"/>
        </w:rPr>
        <w:t>, koji</w:t>
      </w:r>
      <w:r w:rsidRPr="003E5ED2">
        <w:rPr>
          <w:rFonts w:ascii="Arial" w:hAnsi="Arial" w:cs="Arial"/>
          <w:sz w:val="22"/>
          <w:szCs w:val="22"/>
        </w:rPr>
        <w:t xml:space="preserve"> sadrži sve uplate i isplate Grada i </w:t>
      </w:r>
      <w:r w:rsidR="00EC3174" w:rsidRPr="003E5ED2">
        <w:rPr>
          <w:rFonts w:ascii="Arial" w:hAnsi="Arial" w:cs="Arial"/>
          <w:sz w:val="22"/>
          <w:szCs w:val="22"/>
        </w:rPr>
        <w:t xml:space="preserve">83 </w:t>
      </w:r>
      <w:r w:rsidRPr="003E5ED2">
        <w:rPr>
          <w:rFonts w:ascii="Arial" w:hAnsi="Arial" w:cs="Arial"/>
          <w:sz w:val="22"/>
          <w:szCs w:val="22"/>
        </w:rPr>
        <w:t>proračunsk</w:t>
      </w:r>
      <w:r w:rsidR="00EC3174" w:rsidRPr="003E5ED2">
        <w:rPr>
          <w:rFonts w:ascii="Arial" w:hAnsi="Arial" w:cs="Arial"/>
          <w:sz w:val="22"/>
          <w:szCs w:val="22"/>
        </w:rPr>
        <w:t>a</w:t>
      </w:r>
      <w:r w:rsidRPr="003E5ED2">
        <w:rPr>
          <w:rFonts w:ascii="Arial" w:hAnsi="Arial" w:cs="Arial"/>
          <w:sz w:val="22"/>
          <w:szCs w:val="22"/>
        </w:rPr>
        <w:t xml:space="preserve"> korisnika iznosi </w:t>
      </w:r>
      <w:r w:rsidR="007D2AD1" w:rsidRPr="003E5ED2">
        <w:rPr>
          <w:rFonts w:ascii="Arial" w:hAnsi="Arial" w:cs="Arial"/>
          <w:sz w:val="22"/>
          <w:szCs w:val="22"/>
        </w:rPr>
        <w:t>44.614.912,51</w:t>
      </w:r>
      <w:r w:rsidR="00615594" w:rsidRPr="003E5ED2">
        <w:rPr>
          <w:rFonts w:ascii="Arial" w:hAnsi="Arial" w:cs="Arial"/>
          <w:sz w:val="22"/>
          <w:szCs w:val="22"/>
        </w:rPr>
        <w:t xml:space="preserve"> eura.</w:t>
      </w:r>
    </w:p>
    <w:p w:rsidR="00154FF1" w:rsidRPr="003E5ED2" w:rsidRDefault="00154FF1" w:rsidP="00840E00">
      <w:pPr>
        <w:jc w:val="both"/>
        <w:rPr>
          <w:rFonts w:ascii="Arial" w:hAnsi="Arial" w:cs="Arial"/>
          <w:sz w:val="22"/>
          <w:szCs w:val="22"/>
        </w:rPr>
      </w:pPr>
    </w:p>
    <w:p w:rsidR="00CE1374" w:rsidRPr="003E5ED2" w:rsidRDefault="00CE1374" w:rsidP="00CE1374">
      <w:pPr>
        <w:jc w:val="both"/>
        <w:rPr>
          <w:rFonts w:ascii="Arial" w:hAnsi="Arial" w:cs="Arial"/>
          <w:i/>
          <w:sz w:val="22"/>
          <w:szCs w:val="22"/>
        </w:rPr>
      </w:pPr>
      <w:r w:rsidRPr="003E5ED2">
        <w:rPr>
          <w:rFonts w:ascii="Arial" w:hAnsi="Arial" w:cs="Arial"/>
          <w:i/>
          <w:sz w:val="22"/>
          <w:szCs w:val="22"/>
        </w:rPr>
        <w:t>Više o računima novčanih sredstava vidjeti pod Bilješkom broj 3 uz Bilancu.</w:t>
      </w:r>
    </w:p>
    <w:p w:rsidR="00154FF1" w:rsidRPr="003E5ED2" w:rsidRDefault="00154FF1" w:rsidP="00CE1374">
      <w:pPr>
        <w:jc w:val="both"/>
        <w:rPr>
          <w:rFonts w:ascii="Arial" w:hAnsi="Arial" w:cs="Arial"/>
          <w:i/>
          <w:sz w:val="22"/>
          <w:szCs w:val="22"/>
        </w:rPr>
      </w:pPr>
    </w:p>
    <w:p w:rsidR="00571CEA" w:rsidRPr="003E5ED2" w:rsidRDefault="00571CEA" w:rsidP="00CE1374">
      <w:pPr>
        <w:jc w:val="both"/>
        <w:rPr>
          <w:rFonts w:ascii="Arial" w:hAnsi="Arial" w:cs="Arial"/>
          <w:i/>
          <w:sz w:val="22"/>
          <w:szCs w:val="22"/>
        </w:rPr>
      </w:pPr>
    </w:p>
    <w:p w:rsidR="000F679F" w:rsidRPr="003E5ED2" w:rsidRDefault="000F679F" w:rsidP="00CE1374">
      <w:pPr>
        <w:jc w:val="both"/>
        <w:rPr>
          <w:rFonts w:ascii="Arial" w:hAnsi="Arial" w:cs="Arial"/>
          <w:i/>
          <w:sz w:val="22"/>
          <w:szCs w:val="22"/>
        </w:rPr>
      </w:pPr>
    </w:p>
    <w:p w:rsidR="000F679F" w:rsidRDefault="000F679F" w:rsidP="00CE1374">
      <w:pPr>
        <w:jc w:val="both"/>
        <w:rPr>
          <w:rFonts w:ascii="Arial" w:hAnsi="Arial" w:cs="Arial"/>
          <w:i/>
          <w:sz w:val="22"/>
          <w:szCs w:val="22"/>
        </w:rPr>
      </w:pPr>
    </w:p>
    <w:p w:rsidR="004F3ECD" w:rsidRDefault="004F3ECD" w:rsidP="00CE1374">
      <w:pPr>
        <w:jc w:val="both"/>
        <w:rPr>
          <w:rFonts w:ascii="Arial" w:hAnsi="Arial" w:cs="Arial"/>
          <w:i/>
          <w:sz w:val="22"/>
          <w:szCs w:val="22"/>
        </w:rPr>
      </w:pPr>
    </w:p>
    <w:p w:rsidR="004F3ECD" w:rsidRDefault="004F3ECD" w:rsidP="00CE1374">
      <w:pPr>
        <w:jc w:val="both"/>
        <w:rPr>
          <w:rFonts w:ascii="Arial" w:hAnsi="Arial" w:cs="Arial"/>
          <w:i/>
          <w:sz w:val="22"/>
          <w:szCs w:val="22"/>
        </w:rPr>
      </w:pPr>
    </w:p>
    <w:p w:rsidR="004F3ECD" w:rsidRDefault="004F3ECD" w:rsidP="00CE1374">
      <w:pPr>
        <w:jc w:val="both"/>
        <w:rPr>
          <w:rFonts w:ascii="Arial" w:hAnsi="Arial" w:cs="Arial"/>
          <w:i/>
          <w:sz w:val="22"/>
          <w:szCs w:val="22"/>
        </w:rPr>
      </w:pPr>
    </w:p>
    <w:p w:rsidR="004F3ECD" w:rsidRDefault="004F3ECD" w:rsidP="00CE1374">
      <w:pPr>
        <w:jc w:val="both"/>
        <w:rPr>
          <w:rFonts w:ascii="Arial" w:hAnsi="Arial" w:cs="Arial"/>
          <w:i/>
          <w:sz w:val="22"/>
          <w:szCs w:val="22"/>
        </w:rPr>
      </w:pPr>
    </w:p>
    <w:p w:rsidR="004F3ECD" w:rsidRDefault="004F3ECD" w:rsidP="00CE1374">
      <w:pPr>
        <w:jc w:val="both"/>
        <w:rPr>
          <w:rFonts w:ascii="Arial" w:hAnsi="Arial" w:cs="Arial"/>
          <w:i/>
          <w:sz w:val="22"/>
          <w:szCs w:val="22"/>
        </w:rPr>
      </w:pPr>
    </w:p>
    <w:p w:rsidR="004F3ECD" w:rsidRDefault="004F3ECD" w:rsidP="00CE1374">
      <w:pPr>
        <w:jc w:val="both"/>
        <w:rPr>
          <w:rFonts w:ascii="Arial" w:hAnsi="Arial" w:cs="Arial"/>
          <w:i/>
          <w:sz w:val="22"/>
          <w:szCs w:val="22"/>
        </w:rPr>
      </w:pPr>
    </w:p>
    <w:p w:rsidR="004F3ECD" w:rsidRDefault="004F3ECD" w:rsidP="00CE1374">
      <w:pPr>
        <w:jc w:val="both"/>
        <w:rPr>
          <w:rFonts w:ascii="Arial" w:hAnsi="Arial" w:cs="Arial"/>
          <w:i/>
          <w:sz w:val="22"/>
          <w:szCs w:val="22"/>
        </w:rPr>
      </w:pPr>
    </w:p>
    <w:p w:rsidR="004F3ECD" w:rsidRDefault="004F3ECD" w:rsidP="00CE1374">
      <w:pPr>
        <w:jc w:val="both"/>
        <w:rPr>
          <w:rFonts w:ascii="Arial" w:hAnsi="Arial" w:cs="Arial"/>
          <w:i/>
          <w:sz w:val="22"/>
          <w:szCs w:val="22"/>
        </w:rPr>
      </w:pPr>
    </w:p>
    <w:p w:rsidR="004F3ECD" w:rsidRDefault="004F3ECD" w:rsidP="00CE1374">
      <w:pPr>
        <w:jc w:val="both"/>
        <w:rPr>
          <w:rFonts w:ascii="Arial" w:hAnsi="Arial" w:cs="Arial"/>
          <w:i/>
          <w:sz w:val="22"/>
          <w:szCs w:val="22"/>
        </w:rPr>
      </w:pPr>
    </w:p>
    <w:p w:rsidR="004F3ECD" w:rsidRDefault="004F3ECD" w:rsidP="00CE1374">
      <w:pPr>
        <w:jc w:val="both"/>
        <w:rPr>
          <w:rFonts w:ascii="Arial" w:hAnsi="Arial" w:cs="Arial"/>
          <w:i/>
          <w:sz w:val="22"/>
          <w:szCs w:val="22"/>
        </w:rPr>
      </w:pPr>
    </w:p>
    <w:p w:rsidR="004F3ECD" w:rsidRDefault="004F3ECD" w:rsidP="00CE1374">
      <w:pPr>
        <w:jc w:val="both"/>
        <w:rPr>
          <w:rFonts w:ascii="Arial" w:hAnsi="Arial" w:cs="Arial"/>
          <w:i/>
          <w:sz w:val="22"/>
          <w:szCs w:val="22"/>
        </w:rPr>
      </w:pPr>
    </w:p>
    <w:p w:rsidR="004F3ECD" w:rsidRDefault="004F3ECD" w:rsidP="00CE1374">
      <w:pPr>
        <w:jc w:val="both"/>
        <w:rPr>
          <w:rFonts w:ascii="Arial" w:hAnsi="Arial" w:cs="Arial"/>
          <w:i/>
          <w:sz w:val="22"/>
          <w:szCs w:val="22"/>
        </w:rPr>
      </w:pPr>
    </w:p>
    <w:p w:rsidR="004F3ECD" w:rsidRDefault="004F3ECD" w:rsidP="00CE1374">
      <w:pPr>
        <w:jc w:val="both"/>
        <w:rPr>
          <w:rFonts w:ascii="Arial" w:hAnsi="Arial" w:cs="Arial"/>
          <w:i/>
          <w:sz w:val="22"/>
          <w:szCs w:val="22"/>
        </w:rPr>
      </w:pPr>
    </w:p>
    <w:p w:rsidR="004F3ECD" w:rsidRDefault="004F3ECD" w:rsidP="00CE1374">
      <w:pPr>
        <w:jc w:val="both"/>
        <w:rPr>
          <w:rFonts w:ascii="Arial" w:hAnsi="Arial" w:cs="Arial"/>
          <w:i/>
          <w:sz w:val="22"/>
          <w:szCs w:val="22"/>
        </w:rPr>
      </w:pPr>
    </w:p>
    <w:p w:rsidR="004F3ECD" w:rsidRDefault="004F3ECD" w:rsidP="00CE1374">
      <w:pPr>
        <w:jc w:val="both"/>
        <w:rPr>
          <w:rFonts w:ascii="Arial" w:hAnsi="Arial" w:cs="Arial"/>
          <w:i/>
          <w:sz w:val="22"/>
          <w:szCs w:val="22"/>
        </w:rPr>
      </w:pPr>
    </w:p>
    <w:p w:rsidR="004F3ECD" w:rsidRPr="003E5ED2" w:rsidRDefault="004F3ECD" w:rsidP="00CE1374">
      <w:pPr>
        <w:jc w:val="both"/>
        <w:rPr>
          <w:rFonts w:ascii="Arial" w:hAnsi="Arial" w:cs="Arial"/>
          <w:i/>
          <w:sz w:val="22"/>
          <w:szCs w:val="22"/>
        </w:rPr>
      </w:pPr>
    </w:p>
    <w:p w:rsidR="00AC07D9" w:rsidRPr="003E5ED2" w:rsidRDefault="000E69DA" w:rsidP="00D907B7">
      <w:pPr>
        <w:keepNext/>
        <w:numPr>
          <w:ilvl w:val="0"/>
          <w:numId w:val="1"/>
        </w:numPr>
        <w:jc w:val="both"/>
        <w:outlineLvl w:val="1"/>
        <w:rPr>
          <w:rFonts w:ascii="Arial" w:hAnsi="Arial" w:cs="Arial"/>
          <w:b/>
          <w:color w:val="1F3864" w:themeColor="accent5" w:themeShade="80"/>
          <w:sz w:val="24"/>
          <w:szCs w:val="24"/>
        </w:rPr>
      </w:pPr>
      <w:r w:rsidRPr="003E5ED2">
        <w:rPr>
          <w:rFonts w:ascii="Arial" w:hAnsi="Arial" w:cs="Arial"/>
          <w:b/>
          <w:color w:val="1F3864" w:themeColor="accent5" w:themeShade="80"/>
          <w:sz w:val="24"/>
          <w:szCs w:val="24"/>
        </w:rPr>
        <w:t xml:space="preserve">IZVJEŠTAJ O PROMJENAMA U VRIJEDNOSTI I OBUJMU IMOVINE I OBVEZA </w:t>
      </w:r>
    </w:p>
    <w:p w:rsidR="008C518A" w:rsidRPr="003E5ED2" w:rsidRDefault="008C518A" w:rsidP="000E69DA">
      <w:pPr>
        <w:tabs>
          <w:tab w:val="left" w:pos="284"/>
          <w:tab w:val="left" w:pos="567"/>
          <w:tab w:val="left" w:pos="851"/>
        </w:tabs>
        <w:jc w:val="both"/>
        <w:rPr>
          <w:rFonts w:ascii="Arial" w:hAnsi="Arial" w:cs="Arial"/>
          <w:b/>
        </w:rPr>
      </w:pPr>
    </w:p>
    <w:p w:rsidR="00435242" w:rsidRPr="003E5ED2" w:rsidRDefault="00435242" w:rsidP="00435242">
      <w:pPr>
        <w:jc w:val="both"/>
        <w:rPr>
          <w:rFonts w:ascii="Arial" w:hAnsi="Arial" w:cs="Arial"/>
          <w:sz w:val="22"/>
          <w:szCs w:val="22"/>
        </w:rPr>
      </w:pPr>
      <w:r w:rsidRPr="003E5ED2">
        <w:rPr>
          <w:rFonts w:ascii="Arial" w:hAnsi="Arial" w:cs="Arial"/>
          <w:b/>
          <w:bCs/>
          <w:sz w:val="22"/>
          <w:szCs w:val="22"/>
        </w:rPr>
        <w:t>Bilješka broj 21</w:t>
      </w:r>
      <w:r w:rsidRPr="003E5ED2">
        <w:rPr>
          <w:rFonts w:ascii="Arial" w:hAnsi="Arial" w:cs="Arial"/>
          <w:sz w:val="22"/>
          <w:szCs w:val="22"/>
        </w:rPr>
        <w:t xml:space="preserve"> – U obrascu P-VRIO iskazane su sve one promjene u vrijednosti i obujmu imovine i obveza koje nisu rezultat financijskih aktivnosti, odnosno transakcija. Iz izvještaja je evidentno ukupno povećanje vrijednosti i obujma imovine </w:t>
      </w:r>
      <w:r w:rsidR="002A3ED0" w:rsidRPr="003E5ED2">
        <w:rPr>
          <w:rFonts w:ascii="Arial" w:hAnsi="Arial" w:cs="Arial"/>
          <w:sz w:val="22"/>
          <w:szCs w:val="22"/>
        </w:rPr>
        <w:t xml:space="preserve">i obveza u vrijednosti od </w:t>
      </w:r>
      <w:r w:rsidR="000F4D73" w:rsidRPr="003E5ED2">
        <w:rPr>
          <w:rFonts w:ascii="Arial" w:hAnsi="Arial" w:cs="Arial"/>
          <w:sz w:val="22"/>
          <w:szCs w:val="22"/>
        </w:rPr>
        <w:t>18.324.958,44</w:t>
      </w:r>
      <w:r w:rsidRPr="003E5ED2">
        <w:rPr>
          <w:rFonts w:ascii="Arial" w:hAnsi="Arial" w:cs="Arial"/>
          <w:sz w:val="22"/>
          <w:szCs w:val="22"/>
        </w:rPr>
        <w:t xml:space="preserve"> eura te smanjenje za </w:t>
      </w:r>
      <w:r w:rsidR="00AA3E86" w:rsidRPr="003E5ED2">
        <w:rPr>
          <w:rFonts w:ascii="Arial" w:hAnsi="Arial" w:cs="Arial"/>
          <w:sz w:val="22"/>
          <w:szCs w:val="22"/>
        </w:rPr>
        <w:t>4.8</w:t>
      </w:r>
      <w:r w:rsidR="006F3551" w:rsidRPr="003E5ED2">
        <w:rPr>
          <w:rFonts w:ascii="Arial" w:hAnsi="Arial" w:cs="Arial"/>
          <w:sz w:val="22"/>
          <w:szCs w:val="22"/>
        </w:rPr>
        <w:t>8</w:t>
      </w:r>
      <w:r w:rsidR="000F4D73" w:rsidRPr="003E5ED2">
        <w:rPr>
          <w:rFonts w:ascii="Arial" w:hAnsi="Arial" w:cs="Arial"/>
          <w:sz w:val="22"/>
          <w:szCs w:val="22"/>
        </w:rPr>
        <w:t>7.769,73</w:t>
      </w:r>
      <w:r w:rsidRPr="003E5ED2">
        <w:rPr>
          <w:rFonts w:ascii="Arial" w:hAnsi="Arial" w:cs="Arial"/>
          <w:sz w:val="22"/>
          <w:szCs w:val="22"/>
        </w:rPr>
        <w:t xml:space="preserve"> eura.</w:t>
      </w:r>
    </w:p>
    <w:p w:rsidR="00435242" w:rsidRPr="003E5ED2" w:rsidRDefault="00435242" w:rsidP="00435242">
      <w:pPr>
        <w:jc w:val="both"/>
        <w:rPr>
          <w:rFonts w:ascii="Arial" w:hAnsi="Arial" w:cs="Arial"/>
          <w:sz w:val="22"/>
          <w:szCs w:val="22"/>
          <w:highlight w:val="yellow"/>
        </w:rPr>
      </w:pPr>
    </w:p>
    <w:p w:rsidR="00435242" w:rsidRPr="003E5ED2" w:rsidRDefault="00435242" w:rsidP="00435242">
      <w:pPr>
        <w:jc w:val="both"/>
        <w:rPr>
          <w:rFonts w:ascii="Arial" w:hAnsi="Arial" w:cs="Arial"/>
          <w:sz w:val="22"/>
          <w:szCs w:val="22"/>
        </w:rPr>
      </w:pPr>
      <w:r w:rsidRPr="003E5ED2">
        <w:rPr>
          <w:rFonts w:ascii="Arial" w:hAnsi="Arial" w:cs="Arial"/>
          <w:i/>
          <w:iCs/>
          <w:sz w:val="22"/>
          <w:szCs w:val="22"/>
          <w:u w:val="single"/>
        </w:rPr>
        <w:t>Povećanje vrijednosti (revalorizacija) imovine (91511)</w:t>
      </w:r>
      <w:r w:rsidRPr="003E5ED2">
        <w:rPr>
          <w:rFonts w:ascii="Arial" w:hAnsi="Arial" w:cs="Arial"/>
          <w:sz w:val="22"/>
          <w:szCs w:val="22"/>
        </w:rPr>
        <w:t xml:space="preserve"> u iznosu </w:t>
      </w:r>
      <w:r w:rsidR="000F4D73" w:rsidRPr="003E5ED2">
        <w:rPr>
          <w:rFonts w:ascii="Arial" w:hAnsi="Arial" w:cs="Arial"/>
          <w:sz w:val="22"/>
          <w:szCs w:val="22"/>
        </w:rPr>
        <w:t>10.811.043,65</w:t>
      </w:r>
      <w:r w:rsidRPr="003E5ED2">
        <w:rPr>
          <w:rFonts w:ascii="Arial" w:hAnsi="Arial" w:cs="Arial"/>
          <w:sz w:val="22"/>
          <w:szCs w:val="22"/>
        </w:rPr>
        <w:t xml:space="preserve"> eura odnosi se na:</w:t>
      </w:r>
    </w:p>
    <w:p w:rsidR="00435242" w:rsidRPr="003E5ED2" w:rsidRDefault="00435242" w:rsidP="00435242">
      <w:pPr>
        <w:pStyle w:val="ListParagraph"/>
        <w:numPr>
          <w:ilvl w:val="0"/>
          <w:numId w:val="33"/>
        </w:numPr>
        <w:jc w:val="both"/>
        <w:rPr>
          <w:rFonts w:ascii="Arial" w:hAnsi="Arial" w:cs="Arial"/>
          <w:sz w:val="22"/>
          <w:szCs w:val="22"/>
        </w:rPr>
      </w:pPr>
      <w:r w:rsidRPr="003E5ED2">
        <w:rPr>
          <w:rFonts w:ascii="Arial" w:hAnsi="Arial" w:cs="Arial"/>
          <w:sz w:val="22"/>
          <w:szCs w:val="22"/>
        </w:rPr>
        <w:t xml:space="preserve">povećanje vrijednosti </w:t>
      </w:r>
      <w:proofErr w:type="spellStart"/>
      <w:r w:rsidRPr="003E5ED2">
        <w:rPr>
          <w:rFonts w:ascii="Arial" w:hAnsi="Arial" w:cs="Arial"/>
          <w:sz w:val="22"/>
          <w:szCs w:val="22"/>
        </w:rPr>
        <w:t>neproizvedene</w:t>
      </w:r>
      <w:proofErr w:type="spellEnd"/>
      <w:r w:rsidRPr="003E5ED2">
        <w:rPr>
          <w:rFonts w:ascii="Arial" w:hAnsi="Arial" w:cs="Arial"/>
          <w:sz w:val="22"/>
          <w:szCs w:val="22"/>
        </w:rPr>
        <w:t xml:space="preserve"> dugotrajne imovine (P002) u iznosu </w:t>
      </w:r>
      <w:r w:rsidR="000F4D73" w:rsidRPr="003E5ED2">
        <w:rPr>
          <w:rFonts w:ascii="Arial" w:hAnsi="Arial" w:cs="Arial"/>
          <w:sz w:val="22"/>
          <w:szCs w:val="22"/>
        </w:rPr>
        <w:t>35.118,52</w:t>
      </w:r>
      <w:r w:rsidRPr="003E5ED2">
        <w:rPr>
          <w:rFonts w:ascii="Arial" w:hAnsi="Arial" w:cs="Arial"/>
          <w:sz w:val="22"/>
          <w:szCs w:val="22"/>
        </w:rPr>
        <w:t xml:space="preserve"> eura (usklađenje vrijednosti zemljišta do kupoprodajne vrijednosti, do visine novih procjena vrijednosti, usklađenja vrijednosti po provedenim parcelacijama</w:t>
      </w:r>
      <w:r w:rsidR="000B7046" w:rsidRPr="003E5ED2">
        <w:rPr>
          <w:rFonts w:ascii="Arial" w:hAnsi="Arial" w:cs="Arial"/>
          <w:sz w:val="22"/>
          <w:szCs w:val="22"/>
        </w:rPr>
        <w:t xml:space="preserve"> i dr.</w:t>
      </w:r>
      <w:r w:rsidRPr="003E5ED2">
        <w:rPr>
          <w:rFonts w:ascii="Arial" w:hAnsi="Arial" w:cs="Arial"/>
          <w:sz w:val="22"/>
          <w:szCs w:val="22"/>
        </w:rPr>
        <w:t>)</w:t>
      </w:r>
    </w:p>
    <w:p w:rsidR="00435242" w:rsidRPr="003E5ED2" w:rsidRDefault="00435242" w:rsidP="00435242">
      <w:pPr>
        <w:pStyle w:val="ListParagraph"/>
        <w:numPr>
          <w:ilvl w:val="0"/>
          <w:numId w:val="33"/>
        </w:numPr>
        <w:jc w:val="both"/>
        <w:rPr>
          <w:rFonts w:ascii="Arial" w:hAnsi="Arial" w:cs="Arial"/>
          <w:sz w:val="22"/>
          <w:szCs w:val="22"/>
        </w:rPr>
      </w:pPr>
      <w:r w:rsidRPr="003E5ED2">
        <w:rPr>
          <w:rFonts w:ascii="Arial" w:hAnsi="Arial" w:cs="Arial"/>
          <w:sz w:val="22"/>
          <w:szCs w:val="22"/>
        </w:rPr>
        <w:t xml:space="preserve">povećanje vrijednosti proizvedene dugotrajne imovine (P003) - povećanje vrijednosti stanova i poslovnih prostora u iznosu </w:t>
      </w:r>
      <w:r w:rsidR="000F4D73" w:rsidRPr="003E5ED2">
        <w:rPr>
          <w:rFonts w:ascii="Arial" w:hAnsi="Arial" w:cs="Arial"/>
          <w:sz w:val="22"/>
          <w:szCs w:val="22"/>
        </w:rPr>
        <w:t>10.774.457,74</w:t>
      </w:r>
      <w:r w:rsidRPr="003E5ED2">
        <w:rPr>
          <w:rFonts w:ascii="Arial" w:hAnsi="Arial" w:cs="Arial"/>
          <w:sz w:val="22"/>
          <w:szCs w:val="22"/>
        </w:rPr>
        <w:t xml:space="preserve"> eura</w:t>
      </w:r>
      <w:r w:rsidR="00311790" w:rsidRPr="003E5ED2">
        <w:rPr>
          <w:rFonts w:ascii="Arial" w:hAnsi="Arial" w:cs="Arial"/>
          <w:sz w:val="22"/>
          <w:szCs w:val="22"/>
        </w:rPr>
        <w:t xml:space="preserve"> </w:t>
      </w:r>
    </w:p>
    <w:p w:rsidR="00C73C4C" w:rsidRPr="003E5ED2" w:rsidRDefault="00435242" w:rsidP="00435242">
      <w:pPr>
        <w:pStyle w:val="ListParagraph"/>
        <w:numPr>
          <w:ilvl w:val="0"/>
          <w:numId w:val="33"/>
        </w:numPr>
        <w:jc w:val="both"/>
        <w:rPr>
          <w:rFonts w:ascii="Arial" w:hAnsi="Arial" w:cs="Arial"/>
          <w:sz w:val="22"/>
          <w:szCs w:val="22"/>
        </w:rPr>
      </w:pPr>
      <w:r w:rsidRPr="003E5ED2">
        <w:rPr>
          <w:rFonts w:ascii="Arial" w:hAnsi="Arial" w:cs="Arial"/>
          <w:sz w:val="22"/>
          <w:szCs w:val="22"/>
        </w:rPr>
        <w:t xml:space="preserve">povećanje vrijednosti dionica i poslovnih udjela u glavnici trgovačkih društava (P013) u iznosu od </w:t>
      </w:r>
      <w:r w:rsidR="000F4D73" w:rsidRPr="003E5ED2">
        <w:rPr>
          <w:rFonts w:ascii="Arial" w:hAnsi="Arial" w:cs="Arial"/>
          <w:sz w:val="22"/>
          <w:szCs w:val="22"/>
        </w:rPr>
        <w:t>1.467,37</w:t>
      </w:r>
      <w:r w:rsidRPr="003E5ED2">
        <w:rPr>
          <w:rFonts w:ascii="Arial" w:hAnsi="Arial" w:cs="Arial"/>
          <w:sz w:val="22"/>
          <w:szCs w:val="22"/>
        </w:rPr>
        <w:t xml:space="preserve"> eura zbog usklađenja nominaln</w:t>
      </w:r>
      <w:r w:rsidR="00322E18" w:rsidRPr="003E5ED2">
        <w:rPr>
          <w:rFonts w:ascii="Arial" w:hAnsi="Arial" w:cs="Arial"/>
          <w:sz w:val="22"/>
          <w:szCs w:val="22"/>
        </w:rPr>
        <w:t>e</w:t>
      </w:r>
      <w:r w:rsidRPr="003E5ED2">
        <w:rPr>
          <w:rFonts w:ascii="Arial" w:hAnsi="Arial" w:cs="Arial"/>
          <w:sz w:val="22"/>
          <w:szCs w:val="22"/>
        </w:rPr>
        <w:t xml:space="preserve"> vrijednosti poslovnih udjela</w:t>
      </w:r>
      <w:r w:rsidR="00322E18" w:rsidRPr="003E5ED2">
        <w:rPr>
          <w:rFonts w:ascii="Arial" w:hAnsi="Arial" w:cs="Arial"/>
          <w:sz w:val="22"/>
          <w:szCs w:val="22"/>
        </w:rPr>
        <w:t xml:space="preserve"> </w:t>
      </w:r>
      <w:r w:rsidR="00DC759C" w:rsidRPr="003E5ED2">
        <w:rPr>
          <w:rFonts w:ascii="Arial" w:hAnsi="Arial" w:cs="Arial"/>
          <w:sz w:val="22"/>
          <w:szCs w:val="22"/>
        </w:rPr>
        <w:t xml:space="preserve">Grada Rijeke prema Izvještaju Središnjeg klirinško depozitarnog društva </w:t>
      </w:r>
    </w:p>
    <w:p w:rsidR="00435242" w:rsidRPr="003E5ED2" w:rsidRDefault="00C73C4C" w:rsidP="002205E5">
      <w:pPr>
        <w:pStyle w:val="ListParagraph"/>
        <w:numPr>
          <w:ilvl w:val="0"/>
          <w:numId w:val="33"/>
        </w:numPr>
        <w:jc w:val="both"/>
        <w:rPr>
          <w:rFonts w:ascii="Arial" w:hAnsi="Arial" w:cs="Arial"/>
          <w:sz w:val="22"/>
          <w:szCs w:val="22"/>
        </w:rPr>
      </w:pPr>
      <w:r w:rsidRPr="003E5ED2">
        <w:rPr>
          <w:rFonts w:ascii="Arial" w:hAnsi="Arial" w:cs="Arial"/>
          <w:sz w:val="22"/>
          <w:szCs w:val="22"/>
        </w:rPr>
        <w:t>povećanje</w:t>
      </w:r>
      <w:r w:rsidR="00435242" w:rsidRPr="003E5ED2">
        <w:rPr>
          <w:rFonts w:ascii="Arial" w:hAnsi="Arial" w:cs="Arial"/>
          <w:sz w:val="22"/>
          <w:szCs w:val="22"/>
        </w:rPr>
        <w:t xml:space="preserve"> </w:t>
      </w:r>
      <w:r w:rsidRPr="003E5ED2">
        <w:rPr>
          <w:rFonts w:ascii="Arial" w:hAnsi="Arial" w:cs="Arial"/>
          <w:sz w:val="22"/>
          <w:szCs w:val="22"/>
        </w:rPr>
        <w:t xml:space="preserve">potraživanja od prodaje nefinancijske imovine (P015) u iznosu od </w:t>
      </w:r>
      <w:r w:rsidR="00311790" w:rsidRPr="003E5ED2">
        <w:rPr>
          <w:rFonts w:ascii="Arial" w:hAnsi="Arial" w:cs="Arial"/>
          <w:sz w:val="22"/>
          <w:szCs w:val="22"/>
        </w:rPr>
        <w:t>0,02</w:t>
      </w:r>
      <w:r w:rsidRPr="003E5ED2">
        <w:rPr>
          <w:rFonts w:ascii="Arial" w:hAnsi="Arial" w:cs="Arial"/>
          <w:sz w:val="22"/>
          <w:szCs w:val="22"/>
        </w:rPr>
        <w:t xml:space="preserve"> eura</w:t>
      </w:r>
      <w:r w:rsidR="00A95132" w:rsidRPr="003E5ED2">
        <w:rPr>
          <w:rFonts w:ascii="Arial" w:hAnsi="Arial" w:cs="Arial"/>
          <w:sz w:val="22"/>
          <w:szCs w:val="22"/>
        </w:rPr>
        <w:t xml:space="preserve"> </w:t>
      </w:r>
      <w:r w:rsidR="002F2E34" w:rsidRPr="003E5ED2">
        <w:rPr>
          <w:rFonts w:ascii="Arial" w:hAnsi="Arial" w:cs="Arial"/>
          <w:sz w:val="22"/>
          <w:szCs w:val="22"/>
        </w:rPr>
        <w:t xml:space="preserve">zbog pozitivne tečajne razlike </w:t>
      </w:r>
      <w:r w:rsidR="001E237D" w:rsidRPr="003E5ED2">
        <w:rPr>
          <w:rFonts w:ascii="Arial" w:hAnsi="Arial" w:cs="Arial"/>
          <w:sz w:val="22"/>
          <w:szCs w:val="22"/>
        </w:rPr>
        <w:t>nastale radi konverzije HRK u EUR.</w:t>
      </w:r>
    </w:p>
    <w:p w:rsidR="00311790" w:rsidRPr="003E5ED2" w:rsidRDefault="00311790" w:rsidP="009B52AA">
      <w:pPr>
        <w:pStyle w:val="ListParagraph"/>
        <w:jc w:val="both"/>
        <w:rPr>
          <w:rFonts w:ascii="Arial" w:hAnsi="Arial" w:cs="Arial"/>
          <w:sz w:val="22"/>
          <w:szCs w:val="22"/>
        </w:rPr>
      </w:pPr>
    </w:p>
    <w:p w:rsidR="00435242" w:rsidRPr="003E5ED2" w:rsidRDefault="00435242" w:rsidP="00435242">
      <w:pPr>
        <w:jc w:val="both"/>
        <w:rPr>
          <w:rFonts w:ascii="Arial" w:hAnsi="Arial" w:cs="Arial"/>
          <w:sz w:val="22"/>
          <w:szCs w:val="22"/>
        </w:rPr>
      </w:pPr>
      <w:r w:rsidRPr="003E5ED2">
        <w:rPr>
          <w:rFonts w:ascii="Arial" w:hAnsi="Arial" w:cs="Arial"/>
          <w:i/>
          <w:iCs/>
          <w:sz w:val="22"/>
          <w:szCs w:val="22"/>
          <w:u w:val="single"/>
        </w:rPr>
        <w:t>Smanjenje vrijednosti (revalorizacija) imovine (91511)</w:t>
      </w:r>
      <w:r w:rsidRPr="003E5ED2">
        <w:rPr>
          <w:rFonts w:ascii="Arial" w:hAnsi="Arial" w:cs="Arial"/>
          <w:sz w:val="22"/>
          <w:szCs w:val="22"/>
        </w:rPr>
        <w:t xml:space="preserve"> u iznosu </w:t>
      </w:r>
      <w:r w:rsidR="00311790" w:rsidRPr="003E5ED2">
        <w:rPr>
          <w:rFonts w:ascii="Arial" w:hAnsi="Arial" w:cs="Arial"/>
          <w:sz w:val="22"/>
          <w:szCs w:val="22"/>
        </w:rPr>
        <w:t>504.299,04</w:t>
      </w:r>
      <w:r w:rsidRPr="003E5ED2">
        <w:rPr>
          <w:rFonts w:ascii="Arial" w:hAnsi="Arial" w:cs="Arial"/>
          <w:sz w:val="22"/>
          <w:szCs w:val="22"/>
        </w:rPr>
        <w:t xml:space="preserve"> eura odnosi se na:</w:t>
      </w:r>
    </w:p>
    <w:p w:rsidR="00435242" w:rsidRPr="003E5ED2" w:rsidRDefault="00435242" w:rsidP="00435242">
      <w:pPr>
        <w:pStyle w:val="ListParagraph"/>
        <w:numPr>
          <w:ilvl w:val="0"/>
          <w:numId w:val="33"/>
        </w:numPr>
        <w:jc w:val="both"/>
        <w:rPr>
          <w:rFonts w:ascii="Arial" w:hAnsi="Arial" w:cs="Arial"/>
          <w:sz w:val="22"/>
          <w:szCs w:val="22"/>
        </w:rPr>
      </w:pPr>
      <w:r w:rsidRPr="003E5ED2">
        <w:rPr>
          <w:rFonts w:ascii="Arial" w:hAnsi="Arial" w:cs="Arial"/>
          <w:sz w:val="22"/>
          <w:szCs w:val="22"/>
        </w:rPr>
        <w:t xml:space="preserve">smanjenje vrijednosti </w:t>
      </w:r>
      <w:proofErr w:type="spellStart"/>
      <w:r w:rsidRPr="003E5ED2">
        <w:rPr>
          <w:rFonts w:ascii="Arial" w:hAnsi="Arial" w:cs="Arial"/>
          <w:sz w:val="22"/>
          <w:szCs w:val="22"/>
        </w:rPr>
        <w:t>neproizvedene</w:t>
      </w:r>
      <w:proofErr w:type="spellEnd"/>
      <w:r w:rsidRPr="003E5ED2">
        <w:rPr>
          <w:rFonts w:ascii="Arial" w:hAnsi="Arial" w:cs="Arial"/>
          <w:sz w:val="22"/>
          <w:szCs w:val="22"/>
        </w:rPr>
        <w:t xml:space="preserve"> dugotrajne imovine u iznosu od </w:t>
      </w:r>
      <w:r w:rsidR="00311790" w:rsidRPr="003E5ED2">
        <w:rPr>
          <w:rFonts w:ascii="Arial" w:hAnsi="Arial" w:cs="Arial"/>
          <w:sz w:val="22"/>
          <w:szCs w:val="22"/>
        </w:rPr>
        <w:t>24.141,49</w:t>
      </w:r>
      <w:r w:rsidRPr="003E5ED2">
        <w:rPr>
          <w:rFonts w:ascii="Arial" w:hAnsi="Arial" w:cs="Arial"/>
          <w:sz w:val="22"/>
          <w:szCs w:val="22"/>
        </w:rPr>
        <w:t xml:space="preserve"> eura kroz usklađenje do kupoprodajne vrijednosti zemljišta, </w:t>
      </w:r>
    </w:p>
    <w:p w:rsidR="00311790" w:rsidRPr="003E5ED2" w:rsidRDefault="00435242" w:rsidP="002205E5">
      <w:pPr>
        <w:pStyle w:val="ListParagraph"/>
        <w:numPr>
          <w:ilvl w:val="0"/>
          <w:numId w:val="33"/>
        </w:numPr>
        <w:jc w:val="both"/>
        <w:rPr>
          <w:rFonts w:ascii="Arial" w:hAnsi="Arial" w:cs="Arial"/>
          <w:sz w:val="22"/>
          <w:szCs w:val="22"/>
        </w:rPr>
      </w:pPr>
      <w:r w:rsidRPr="003E5ED2">
        <w:rPr>
          <w:rFonts w:ascii="Arial" w:hAnsi="Arial" w:cs="Arial"/>
          <w:sz w:val="22"/>
          <w:szCs w:val="22"/>
        </w:rPr>
        <w:t xml:space="preserve">smanjenje vrijednosti proizvedene dugotrajne imovine u iznosu od </w:t>
      </w:r>
      <w:r w:rsidR="00311790" w:rsidRPr="003E5ED2">
        <w:rPr>
          <w:rFonts w:ascii="Arial" w:hAnsi="Arial" w:cs="Arial"/>
          <w:sz w:val="22"/>
          <w:szCs w:val="22"/>
        </w:rPr>
        <w:t>280.522,10</w:t>
      </w:r>
      <w:r w:rsidRPr="003E5ED2">
        <w:rPr>
          <w:rFonts w:ascii="Arial" w:hAnsi="Arial" w:cs="Arial"/>
          <w:sz w:val="22"/>
          <w:szCs w:val="22"/>
        </w:rPr>
        <w:t xml:space="preserve"> eura, a odnosi se na smanjenje vrijednosti </w:t>
      </w:r>
      <w:r w:rsidR="00A5312B" w:rsidRPr="003E5ED2">
        <w:rPr>
          <w:rFonts w:ascii="Arial" w:hAnsi="Arial" w:cs="Arial"/>
          <w:sz w:val="22"/>
          <w:szCs w:val="22"/>
        </w:rPr>
        <w:t xml:space="preserve">stanova i </w:t>
      </w:r>
      <w:r w:rsidRPr="003E5ED2">
        <w:rPr>
          <w:rFonts w:ascii="Arial" w:hAnsi="Arial" w:cs="Arial"/>
          <w:sz w:val="22"/>
          <w:szCs w:val="22"/>
        </w:rPr>
        <w:t xml:space="preserve">poslovnih prostora </w:t>
      </w:r>
      <w:r w:rsidR="00A5312B" w:rsidRPr="003E5ED2">
        <w:rPr>
          <w:rFonts w:ascii="Arial" w:hAnsi="Arial" w:cs="Arial"/>
          <w:sz w:val="22"/>
          <w:szCs w:val="22"/>
        </w:rPr>
        <w:t xml:space="preserve">do kupoprodajne vrijednosti i nove procjene </w:t>
      </w:r>
    </w:p>
    <w:p w:rsidR="00435242" w:rsidRPr="003E5ED2" w:rsidRDefault="00435242" w:rsidP="002205E5">
      <w:pPr>
        <w:pStyle w:val="ListParagraph"/>
        <w:numPr>
          <w:ilvl w:val="0"/>
          <w:numId w:val="33"/>
        </w:numPr>
        <w:jc w:val="both"/>
        <w:rPr>
          <w:rFonts w:ascii="Arial" w:hAnsi="Arial" w:cs="Arial"/>
          <w:sz w:val="22"/>
          <w:szCs w:val="22"/>
        </w:rPr>
      </w:pPr>
      <w:r w:rsidRPr="003E5ED2">
        <w:rPr>
          <w:rFonts w:ascii="Arial" w:hAnsi="Arial" w:cs="Arial"/>
          <w:sz w:val="22"/>
          <w:szCs w:val="22"/>
        </w:rPr>
        <w:t xml:space="preserve">smanjenje vrijednosti </w:t>
      </w:r>
      <w:r w:rsidR="009B52AA" w:rsidRPr="003E5ED2">
        <w:rPr>
          <w:rFonts w:ascii="Arial" w:hAnsi="Arial" w:cs="Arial"/>
          <w:sz w:val="22"/>
          <w:szCs w:val="22"/>
        </w:rPr>
        <w:t xml:space="preserve">zbog usklađenja </w:t>
      </w:r>
      <w:r w:rsidR="000644B8" w:rsidRPr="003E5ED2">
        <w:rPr>
          <w:rFonts w:ascii="Arial" w:hAnsi="Arial" w:cs="Arial"/>
          <w:sz w:val="22"/>
          <w:szCs w:val="22"/>
        </w:rPr>
        <w:t xml:space="preserve">vrijednosti </w:t>
      </w:r>
      <w:r w:rsidRPr="003E5ED2">
        <w:rPr>
          <w:rFonts w:ascii="Arial" w:hAnsi="Arial" w:cs="Arial"/>
          <w:sz w:val="22"/>
          <w:szCs w:val="22"/>
        </w:rPr>
        <w:t>dionica i udjela u glav</w:t>
      </w:r>
      <w:r w:rsidR="002A3ED0" w:rsidRPr="003E5ED2">
        <w:rPr>
          <w:rFonts w:ascii="Arial" w:hAnsi="Arial" w:cs="Arial"/>
          <w:sz w:val="22"/>
          <w:szCs w:val="22"/>
        </w:rPr>
        <w:t xml:space="preserve">nici u iznosu od </w:t>
      </w:r>
      <w:r w:rsidR="00311790" w:rsidRPr="003E5ED2">
        <w:rPr>
          <w:rFonts w:ascii="Arial" w:hAnsi="Arial" w:cs="Arial"/>
          <w:sz w:val="22"/>
          <w:szCs w:val="22"/>
        </w:rPr>
        <w:t>1.443,36</w:t>
      </w:r>
      <w:r w:rsidR="002A3ED0" w:rsidRPr="003E5ED2">
        <w:rPr>
          <w:rFonts w:ascii="Arial" w:hAnsi="Arial" w:cs="Arial"/>
          <w:sz w:val="22"/>
          <w:szCs w:val="22"/>
        </w:rPr>
        <w:t xml:space="preserve"> eura</w:t>
      </w:r>
    </w:p>
    <w:p w:rsidR="00435242" w:rsidRPr="003E5ED2" w:rsidRDefault="002A3ED0" w:rsidP="00351B91">
      <w:pPr>
        <w:pStyle w:val="ListParagraph"/>
        <w:numPr>
          <w:ilvl w:val="0"/>
          <w:numId w:val="33"/>
        </w:numPr>
        <w:jc w:val="both"/>
        <w:rPr>
          <w:rFonts w:ascii="Arial" w:hAnsi="Arial" w:cs="Arial"/>
          <w:i/>
          <w:iCs/>
          <w:sz w:val="22"/>
          <w:szCs w:val="22"/>
          <w:u w:val="single"/>
        </w:rPr>
      </w:pPr>
      <w:r w:rsidRPr="003E5ED2">
        <w:rPr>
          <w:rFonts w:ascii="Arial" w:hAnsi="Arial" w:cs="Arial"/>
          <w:sz w:val="22"/>
          <w:szCs w:val="22"/>
        </w:rPr>
        <w:t xml:space="preserve">smanjenje potraživanja </w:t>
      </w:r>
      <w:r w:rsidR="004647B0" w:rsidRPr="003E5ED2">
        <w:rPr>
          <w:rFonts w:ascii="Arial" w:hAnsi="Arial" w:cs="Arial"/>
          <w:sz w:val="22"/>
          <w:szCs w:val="22"/>
        </w:rPr>
        <w:t>od prodaje nefinancijske imovine</w:t>
      </w:r>
      <w:r w:rsidRPr="003E5ED2">
        <w:rPr>
          <w:rFonts w:ascii="Arial" w:hAnsi="Arial" w:cs="Arial"/>
          <w:sz w:val="22"/>
          <w:szCs w:val="22"/>
        </w:rPr>
        <w:t xml:space="preserve"> u izn</w:t>
      </w:r>
      <w:r w:rsidR="00A95132" w:rsidRPr="003E5ED2">
        <w:rPr>
          <w:rFonts w:ascii="Arial" w:hAnsi="Arial" w:cs="Arial"/>
          <w:sz w:val="22"/>
          <w:szCs w:val="22"/>
        </w:rPr>
        <w:t xml:space="preserve">osu </w:t>
      </w:r>
      <w:r w:rsidR="000F1279" w:rsidRPr="003E5ED2">
        <w:rPr>
          <w:rFonts w:ascii="Arial" w:hAnsi="Arial" w:cs="Arial"/>
          <w:sz w:val="22"/>
          <w:szCs w:val="22"/>
        </w:rPr>
        <w:t>198.192,09</w:t>
      </w:r>
      <w:r w:rsidR="00A95132" w:rsidRPr="003E5ED2">
        <w:rPr>
          <w:rFonts w:ascii="Arial" w:hAnsi="Arial" w:cs="Arial"/>
          <w:sz w:val="22"/>
          <w:szCs w:val="22"/>
        </w:rPr>
        <w:t xml:space="preserve"> eura odnosi se na obračunate popuste na jednokratna plaćanja</w:t>
      </w:r>
      <w:r w:rsidR="00660DCA" w:rsidRPr="003E5ED2">
        <w:rPr>
          <w:rFonts w:ascii="Arial" w:hAnsi="Arial" w:cs="Arial"/>
          <w:sz w:val="22"/>
          <w:szCs w:val="22"/>
        </w:rPr>
        <w:t xml:space="preserve"> prilikom prodaje stanova</w:t>
      </w:r>
      <w:r w:rsidR="00B20588" w:rsidRPr="003E5ED2">
        <w:rPr>
          <w:rFonts w:ascii="Arial" w:hAnsi="Arial" w:cs="Arial"/>
          <w:sz w:val="22"/>
          <w:szCs w:val="22"/>
        </w:rPr>
        <w:t>.</w:t>
      </w:r>
    </w:p>
    <w:p w:rsidR="004647B0" w:rsidRPr="003E5ED2" w:rsidRDefault="004647B0" w:rsidP="00ED2C3C">
      <w:pPr>
        <w:pStyle w:val="ListParagraph"/>
        <w:jc w:val="both"/>
        <w:rPr>
          <w:rFonts w:ascii="Arial" w:hAnsi="Arial" w:cs="Arial"/>
          <w:i/>
          <w:iCs/>
          <w:sz w:val="22"/>
          <w:szCs w:val="22"/>
          <w:u w:val="single"/>
        </w:rPr>
      </w:pPr>
    </w:p>
    <w:p w:rsidR="00435242" w:rsidRPr="003E5ED2" w:rsidRDefault="00435242" w:rsidP="00435242">
      <w:pPr>
        <w:jc w:val="both"/>
        <w:rPr>
          <w:rFonts w:ascii="Arial" w:hAnsi="Arial" w:cs="Arial"/>
          <w:sz w:val="22"/>
          <w:szCs w:val="22"/>
        </w:rPr>
      </w:pPr>
      <w:r w:rsidRPr="003E5ED2">
        <w:rPr>
          <w:rFonts w:ascii="Arial" w:hAnsi="Arial" w:cs="Arial"/>
          <w:i/>
          <w:iCs/>
          <w:sz w:val="22"/>
          <w:szCs w:val="22"/>
          <w:u w:val="single"/>
        </w:rPr>
        <w:t>Povećanje obujma imovine (91512)</w:t>
      </w:r>
      <w:r w:rsidRPr="003E5ED2">
        <w:rPr>
          <w:rFonts w:ascii="Arial" w:hAnsi="Arial" w:cs="Arial"/>
          <w:sz w:val="22"/>
          <w:szCs w:val="22"/>
        </w:rPr>
        <w:t xml:space="preserve"> u visini od </w:t>
      </w:r>
      <w:r w:rsidR="000F1279" w:rsidRPr="003E5ED2">
        <w:rPr>
          <w:rFonts w:ascii="Arial" w:hAnsi="Arial" w:cs="Arial"/>
          <w:sz w:val="22"/>
          <w:szCs w:val="22"/>
        </w:rPr>
        <w:t>7.513.914,79</w:t>
      </w:r>
      <w:r w:rsidRPr="003E5ED2">
        <w:rPr>
          <w:rFonts w:ascii="Arial" w:hAnsi="Arial" w:cs="Arial"/>
          <w:sz w:val="22"/>
          <w:szCs w:val="22"/>
        </w:rPr>
        <w:t xml:space="preserve"> eura odnosi se na:</w:t>
      </w:r>
    </w:p>
    <w:p w:rsidR="00435242" w:rsidRPr="003E5ED2" w:rsidRDefault="00435242" w:rsidP="00435242">
      <w:pPr>
        <w:pStyle w:val="ListParagraph"/>
        <w:numPr>
          <w:ilvl w:val="0"/>
          <w:numId w:val="33"/>
        </w:numPr>
        <w:jc w:val="both"/>
        <w:rPr>
          <w:rFonts w:ascii="Arial" w:hAnsi="Arial" w:cs="Arial"/>
          <w:sz w:val="22"/>
          <w:szCs w:val="22"/>
        </w:rPr>
      </w:pPr>
      <w:r w:rsidRPr="003E5ED2">
        <w:rPr>
          <w:rFonts w:ascii="Arial" w:hAnsi="Arial" w:cs="Arial"/>
          <w:sz w:val="22"/>
          <w:szCs w:val="22"/>
        </w:rPr>
        <w:t xml:space="preserve">povećanje obujma </w:t>
      </w:r>
      <w:proofErr w:type="spellStart"/>
      <w:r w:rsidRPr="003E5ED2">
        <w:rPr>
          <w:rFonts w:ascii="Arial" w:hAnsi="Arial" w:cs="Arial"/>
          <w:sz w:val="22"/>
          <w:szCs w:val="22"/>
        </w:rPr>
        <w:t>neproizvedene</w:t>
      </w:r>
      <w:proofErr w:type="spellEnd"/>
      <w:r w:rsidRPr="003E5ED2">
        <w:rPr>
          <w:rFonts w:ascii="Arial" w:hAnsi="Arial" w:cs="Arial"/>
          <w:sz w:val="22"/>
          <w:szCs w:val="22"/>
        </w:rPr>
        <w:t xml:space="preserve"> dugotrajne imovine u vrijednosti od </w:t>
      </w:r>
      <w:r w:rsidR="000F1279" w:rsidRPr="003E5ED2">
        <w:rPr>
          <w:rFonts w:ascii="Arial" w:hAnsi="Arial" w:cs="Arial"/>
          <w:sz w:val="22"/>
          <w:szCs w:val="22"/>
        </w:rPr>
        <w:t>5.391.910,20</w:t>
      </w:r>
      <w:r w:rsidRPr="003E5ED2">
        <w:rPr>
          <w:rFonts w:ascii="Arial" w:hAnsi="Arial" w:cs="Arial"/>
          <w:sz w:val="22"/>
          <w:szCs w:val="22"/>
        </w:rPr>
        <w:t xml:space="preserve"> eura, do kojih promjena dolazi uknjiženjem zemljišta temeljem pravnog slijeda, provedenih parcelacija, novi</w:t>
      </w:r>
      <w:r w:rsidR="00CB7029" w:rsidRPr="003E5ED2">
        <w:rPr>
          <w:rFonts w:ascii="Arial" w:hAnsi="Arial" w:cs="Arial"/>
          <w:sz w:val="22"/>
          <w:szCs w:val="22"/>
        </w:rPr>
        <w:t>h</w:t>
      </w:r>
      <w:r w:rsidRPr="003E5ED2">
        <w:rPr>
          <w:rFonts w:ascii="Arial" w:hAnsi="Arial" w:cs="Arial"/>
          <w:sz w:val="22"/>
          <w:szCs w:val="22"/>
        </w:rPr>
        <w:t xml:space="preserve"> izmjer</w:t>
      </w:r>
      <w:r w:rsidR="00CB7029" w:rsidRPr="003E5ED2">
        <w:rPr>
          <w:rFonts w:ascii="Arial" w:hAnsi="Arial" w:cs="Arial"/>
          <w:sz w:val="22"/>
          <w:szCs w:val="22"/>
        </w:rPr>
        <w:t>a</w:t>
      </w:r>
      <w:r w:rsidRPr="003E5ED2">
        <w:rPr>
          <w:rFonts w:ascii="Arial" w:hAnsi="Arial" w:cs="Arial"/>
          <w:sz w:val="22"/>
          <w:szCs w:val="22"/>
        </w:rPr>
        <w:t xml:space="preserve">, </w:t>
      </w:r>
      <w:r w:rsidR="00CB7029" w:rsidRPr="003E5ED2">
        <w:rPr>
          <w:rFonts w:ascii="Arial" w:hAnsi="Arial" w:cs="Arial"/>
          <w:sz w:val="22"/>
          <w:szCs w:val="22"/>
        </w:rPr>
        <w:t xml:space="preserve">prenamjene, </w:t>
      </w:r>
      <w:r w:rsidRPr="003E5ED2">
        <w:rPr>
          <w:rFonts w:ascii="Arial" w:hAnsi="Arial" w:cs="Arial"/>
          <w:sz w:val="22"/>
          <w:szCs w:val="22"/>
        </w:rPr>
        <w:t>usklađenja stanja sa zemljišnim knjigama, uknjiženja</w:t>
      </w:r>
      <w:r w:rsidR="007A6115" w:rsidRPr="003E5ED2">
        <w:rPr>
          <w:rFonts w:ascii="Arial" w:hAnsi="Arial" w:cs="Arial"/>
          <w:sz w:val="22"/>
          <w:szCs w:val="22"/>
        </w:rPr>
        <w:t xml:space="preserve"> temeljem </w:t>
      </w:r>
      <w:proofErr w:type="spellStart"/>
      <w:r w:rsidR="007A6115" w:rsidRPr="003E5ED2">
        <w:rPr>
          <w:rFonts w:ascii="Arial" w:hAnsi="Arial" w:cs="Arial"/>
          <w:sz w:val="22"/>
          <w:szCs w:val="22"/>
        </w:rPr>
        <w:t>izvansudskih</w:t>
      </w:r>
      <w:proofErr w:type="spellEnd"/>
      <w:r w:rsidR="007A6115" w:rsidRPr="003E5ED2">
        <w:rPr>
          <w:rFonts w:ascii="Arial" w:hAnsi="Arial" w:cs="Arial"/>
          <w:sz w:val="22"/>
          <w:szCs w:val="22"/>
        </w:rPr>
        <w:t xml:space="preserve"> nagodbi,</w:t>
      </w:r>
      <w:r w:rsidRPr="003E5ED2">
        <w:rPr>
          <w:rFonts w:ascii="Arial" w:hAnsi="Arial" w:cs="Arial"/>
          <w:sz w:val="22"/>
          <w:szCs w:val="22"/>
        </w:rPr>
        <w:t xml:space="preserve"> ugovora o prijenosu vlasništva </w:t>
      </w:r>
      <w:r w:rsidR="007A6115" w:rsidRPr="003E5ED2">
        <w:rPr>
          <w:rFonts w:ascii="Arial" w:hAnsi="Arial" w:cs="Arial"/>
          <w:sz w:val="22"/>
          <w:szCs w:val="22"/>
        </w:rPr>
        <w:t>i dr.</w:t>
      </w:r>
    </w:p>
    <w:p w:rsidR="00435242" w:rsidRPr="003E5ED2" w:rsidRDefault="00435242" w:rsidP="00435242">
      <w:pPr>
        <w:pStyle w:val="ListParagraph"/>
        <w:numPr>
          <w:ilvl w:val="0"/>
          <w:numId w:val="33"/>
        </w:numPr>
        <w:jc w:val="both"/>
        <w:rPr>
          <w:rFonts w:ascii="Arial" w:hAnsi="Arial" w:cs="Arial"/>
          <w:sz w:val="22"/>
          <w:szCs w:val="22"/>
        </w:rPr>
      </w:pPr>
      <w:r w:rsidRPr="003E5ED2">
        <w:rPr>
          <w:rFonts w:ascii="Arial" w:hAnsi="Arial" w:cs="Arial"/>
          <w:sz w:val="22"/>
          <w:szCs w:val="22"/>
        </w:rPr>
        <w:t xml:space="preserve">povećanje obujma proizvedene dugotrajne imovine (P018) u visini od </w:t>
      </w:r>
      <w:r w:rsidR="000F1279" w:rsidRPr="003E5ED2">
        <w:rPr>
          <w:rFonts w:ascii="Arial" w:hAnsi="Arial" w:cs="Arial"/>
          <w:sz w:val="22"/>
          <w:szCs w:val="22"/>
        </w:rPr>
        <w:t>2.119.539,96</w:t>
      </w:r>
      <w:r w:rsidRPr="003E5ED2">
        <w:rPr>
          <w:rFonts w:ascii="Arial" w:hAnsi="Arial" w:cs="Arial"/>
          <w:sz w:val="22"/>
          <w:szCs w:val="22"/>
        </w:rPr>
        <w:t xml:space="preserve"> eura kod koje je evidentirano povećanje temeljem uknjiženja stanova, </w:t>
      </w:r>
      <w:r w:rsidR="004D5A8B" w:rsidRPr="003E5ED2">
        <w:rPr>
          <w:rFonts w:ascii="Arial" w:hAnsi="Arial" w:cs="Arial"/>
          <w:sz w:val="22"/>
          <w:szCs w:val="22"/>
        </w:rPr>
        <w:t xml:space="preserve">poslovnih prostora, </w:t>
      </w:r>
      <w:r w:rsidR="002508DC" w:rsidRPr="003E5ED2">
        <w:rPr>
          <w:rFonts w:ascii="Arial" w:hAnsi="Arial" w:cs="Arial"/>
          <w:sz w:val="22"/>
          <w:szCs w:val="22"/>
        </w:rPr>
        <w:t>povećanj</w:t>
      </w:r>
      <w:r w:rsidR="00006093" w:rsidRPr="003E5ED2">
        <w:rPr>
          <w:rFonts w:ascii="Arial" w:hAnsi="Arial" w:cs="Arial"/>
          <w:sz w:val="22"/>
          <w:szCs w:val="22"/>
        </w:rPr>
        <w:t>a površine</w:t>
      </w:r>
      <w:r w:rsidR="002A36BB" w:rsidRPr="003E5ED2">
        <w:rPr>
          <w:rFonts w:ascii="Arial" w:hAnsi="Arial" w:cs="Arial"/>
          <w:sz w:val="22"/>
          <w:szCs w:val="22"/>
        </w:rPr>
        <w:t xml:space="preserve"> i </w:t>
      </w:r>
      <w:r w:rsidR="004F78B6" w:rsidRPr="003E5ED2">
        <w:rPr>
          <w:rFonts w:ascii="Arial" w:hAnsi="Arial" w:cs="Arial"/>
          <w:sz w:val="22"/>
          <w:szCs w:val="22"/>
        </w:rPr>
        <w:t xml:space="preserve">temeljem </w:t>
      </w:r>
      <w:r w:rsidR="002A36BB" w:rsidRPr="003E5ED2">
        <w:rPr>
          <w:rFonts w:ascii="Arial" w:hAnsi="Arial" w:cs="Arial"/>
          <w:sz w:val="22"/>
          <w:szCs w:val="22"/>
        </w:rPr>
        <w:t>d</w:t>
      </w:r>
      <w:r w:rsidR="000F1279" w:rsidRPr="003E5ED2">
        <w:rPr>
          <w:rFonts w:ascii="Arial" w:hAnsi="Arial" w:cs="Arial"/>
          <w:sz w:val="22"/>
          <w:szCs w:val="22"/>
        </w:rPr>
        <w:t>onos</w:t>
      </w:r>
      <w:r w:rsidR="004F78B6" w:rsidRPr="003E5ED2">
        <w:rPr>
          <w:rFonts w:ascii="Arial" w:hAnsi="Arial" w:cs="Arial"/>
          <w:sz w:val="22"/>
          <w:szCs w:val="22"/>
        </w:rPr>
        <w:t>a</w:t>
      </w:r>
      <w:r w:rsidR="000F1279" w:rsidRPr="003E5ED2">
        <w:rPr>
          <w:rFonts w:ascii="Arial" w:hAnsi="Arial" w:cs="Arial"/>
          <w:sz w:val="22"/>
          <w:szCs w:val="22"/>
        </w:rPr>
        <w:t xml:space="preserve"> iz </w:t>
      </w:r>
      <w:proofErr w:type="spellStart"/>
      <w:r w:rsidR="004F78B6" w:rsidRPr="003E5ED2">
        <w:rPr>
          <w:rFonts w:ascii="Arial" w:hAnsi="Arial" w:cs="Arial"/>
          <w:sz w:val="22"/>
          <w:szCs w:val="22"/>
        </w:rPr>
        <w:t>izvan</w:t>
      </w:r>
      <w:r w:rsidR="000F1279" w:rsidRPr="003E5ED2">
        <w:rPr>
          <w:rFonts w:ascii="Arial" w:hAnsi="Arial" w:cs="Arial"/>
          <w:sz w:val="22"/>
          <w:szCs w:val="22"/>
        </w:rPr>
        <w:t>bilančne</w:t>
      </w:r>
      <w:proofErr w:type="spellEnd"/>
      <w:r w:rsidR="000F1279" w:rsidRPr="003E5ED2">
        <w:rPr>
          <w:rFonts w:ascii="Arial" w:hAnsi="Arial" w:cs="Arial"/>
          <w:sz w:val="22"/>
          <w:szCs w:val="22"/>
        </w:rPr>
        <w:t xml:space="preserve"> evidencije </w:t>
      </w:r>
      <w:r w:rsidR="00ED2C3C" w:rsidRPr="003E5ED2">
        <w:rPr>
          <w:rFonts w:ascii="Arial" w:hAnsi="Arial" w:cs="Arial"/>
          <w:sz w:val="22"/>
          <w:szCs w:val="22"/>
        </w:rPr>
        <w:t>(</w:t>
      </w:r>
      <w:r w:rsidR="000F1279" w:rsidRPr="003E5ED2">
        <w:rPr>
          <w:rFonts w:ascii="Arial" w:hAnsi="Arial" w:cs="Arial"/>
          <w:sz w:val="22"/>
          <w:szCs w:val="22"/>
        </w:rPr>
        <w:t>Dječji vrtić Galeb</w:t>
      </w:r>
      <w:r w:rsidR="00ED2C3C" w:rsidRPr="003E5ED2">
        <w:rPr>
          <w:rFonts w:ascii="Arial" w:hAnsi="Arial" w:cs="Arial"/>
          <w:sz w:val="22"/>
          <w:szCs w:val="22"/>
        </w:rPr>
        <w:t>)</w:t>
      </w:r>
      <w:r w:rsidR="002A36BB" w:rsidRPr="003E5ED2">
        <w:rPr>
          <w:rFonts w:ascii="Arial" w:hAnsi="Arial" w:cs="Arial"/>
          <w:sz w:val="22"/>
          <w:szCs w:val="22"/>
        </w:rPr>
        <w:t>.</w:t>
      </w:r>
    </w:p>
    <w:p w:rsidR="00435242" w:rsidRPr="003E5ED2" w:rsidRDefault="00702564" w:rsidP="00EA0B1D">
      <w:pPr>
        <w:pStyle w:val="ListParagraph"/>
        <w:numPr>
          <w:ilvl w:val="0"/>
          <w:numId w:val="33"/>
        </w:numPr>
        <w:jc w:val="both"/>
        <w:rPr>
          <w:rFonts w:ascii="Arial" w:hAnsi="Arial" w:cs="Arial"/>
          <w:b/>
          <w:color w:val="FF0000"/>
          <w:sz w:val="22"/>
          <w:szCs w:val="22"/>
        </w:rPr>
      </w:pPr>
      <w:r w:rsidRPr="003E5ED2">
        <w:rPr>
          <w:rFonts w:ascii="Arial" w:hAnsi="Arial" w:cs="Arial"/>
          <w:sz w:val="22"/>
          <w:szCs w:val="22"/>
        </w:rPr>
        <w:t>povećanje promjene u obujmu financijske imovine</w:t>
      </w:r>
      <w:r w:rsidR="001E237D" w:rsidRPr="003E5ED2">
        <w:rPr>
          <w:rFonts w:ascii="Arial" w:hAnsi="Arial" w:cs="Arial"/>
          <w:sz w:val="22"/>
          <w:szCs w:val="22"/>
        </w:rPr>
        <w:t xml:space="preserve"> odnosno potraživanja za prihode poslovanja</w:t>
      </w:r>
      <w:r w:rsidRPr="003E5ED2">
        <w:rPr>
          <w:rFonts w:ascii="Arial" w:hAnsi="Arial" w:cs="Arial"/>
          <w:sz w:val="22"/>
          <w:szCs w:val="22"/>
        </w:rPr>
        <w:t xml:space="preserve"> </w:t>
      </w:r>
      <w:r w:rsidR="00D0129F" w:rsidRPr="003E5ED2">
        <w:rPr>
          <w:rFonts w:ascii="Arial" w:hAnsi="Arial" w:cs="Arial"/>
          <w:sz w:val="22"/>
          <w:szCs w:val="22"/>
        </w:rPr>
        <w:t xml:space="preserve">u iznosu </w:t>
      </w:r>
      <w:r w:rsidR="004D5A8B" w:rsidRPr="003E5ED2">
        <w:rPr>
          <w:rFonts w:ascii="Arial" w:hAnsi="Arial" w:cs="Arial"/>
          <w:sz w:val="22"/>
          <w:szCs w:val="22"/>
        </w:rPr>
        <w:t xml:space="preserve">2.464,63 </w:t>
      </w:r>
      <w:r w:rsidRPr="003E5ED2">
        <w:rPr>
          <w:rFonts w:ascii="Arial" w:hAnsi="Arial" w:cs="Arial"/>
          <w:sz w:val="22"/>
          <w:szCs w:val="22"/>
        </w:rPr>
        <w:t>eura</w:t>
      </w:r>
      <w:r w:rsidR="00E7214E" w:rsidRPr="003E5ED2">
        <w:rPr>
          <w:rFonts w:ascii="Arial" w:hAnsi="Arial" w:cs="Arial"/>
          <w:sz w:val="22"/>
          <w:szCs w:val="22"/>
        </w:rPr>
        <w:t xml:space="preserve"> nastalo je radi uknjiženja potraživanja zbog napl</w:t>
      </w:r>
      <w:r w:rsidR="007A6115" w:rsidRPr="003E5ED2">
        <w:rPr>
          <w:rFonts w:ascii="Arial" w:hAnsi="Arial" w:cs="Arial"/>
          <w:sz w:val="22"/>
          <w:szCs w:val="22"/>
        </w:rPr>
        <w:t>ate iz stečajne mase (2.382,30 eura</w:t>
      </w:r>
      <w:r w:rsidR="00E7214E" w:rsidRPr="003E5ED2">
        <w:rPr>
          <w:rFonts w:ascii="Arial" w:hAnsi="Arial" w:cs="Arial"/>
          <w:sz w:val="22"/>
          <w:szCs w:val="22"/>
        </w:rPr>
        <w:t xml:space="preserve">) i radi </w:t>
      </w:r>
      <w:proofErr w:type="spellStart"/>
      <w:r w:rsidR="00E7214E" w:rsidRPr="003E5ED2">
        <w:rPr>
          <w:rFonts w:ascii="Arial" w:hAnsi="Arial" w:cs="Arial"/>
          <w:sz w:val="22"/>
          <w:szCs w:val="22"/>
        </w:rPr>
        <w:t>storna</w:t>
      </w:r>
      <w:proofErr w:type="spellEnd"/>
      <w:r w:rsidR="00E7214E" w:rsidRPr="003E5ED2">
        <w:rPr>
          <w:rFonts w:ascii="Arial" w:hAnsi="Arial" w:cs="Arial"/>
          <w:sz w:val="22"/>
          <w:szCs w:val="22"/>
        </w:rPr>
        <w:t xml:space="preserve"> popusta na naknadu za zadržavanje nezakonito izgr</w:t>
      </w:r>
      <w:r w:rsidR="007A6115" w:rsidRPr="003E5ED2">
        <w:rPr>
          <w:rFonts w:ascii="Arial" w:hAnsi="Arial" w:cs="Arial"/>
          <w:sz w:val="22"/>
          <w:szCs w:val="22"/>
        </w:rPr>
        <w:t>ađene zgrade u prostoru (82,33 eura</w:t>
      </w:r>
      <w:r w:rsidR="00E7214E" w:rsidRPr="003E5ED2">
        <w:rPr>
          <w:rFonts w:ascii="Arial" w:hAnsi="Arial" w:cs="Arial"/>
          <w:sz w:val="22"/>
          <w:szCs w:val="22"/>
        </w:rPr>
        <w:t>).</w:t>
      </w:r>
    </w:p>
    <w:p w:rsidR="00DC0ACC" w:rsidRPr="003E5ED2" w:rsidRDefault="00DC0ACC" w:rsidP="00435242">
      <w:pPr>
        <w:jc w:val="both"/>
        <w:rPr>
          <w:rFonts w:ascii="Arial" w:hAnsi="Arial" w:cs="Arial"/>
          <w:sz w:val="22"/>
          <w:szCs w:val="22"/>
        </w:rPr>
      </w:pPr>
    </w:p>
    <w:p w:rsidR="00435242" w:rsidRPr="003E5ED2" w:rsidRDefault="00435242" w:rsidP="00435242">
      <w:pPr>
        <w:jc w:val="both"/>
        <w:rPr>
          <w:rFonts w:ascii="Arial" w:hAnsi="Arial" w:cs="Arial"/>
          <w:sz w:val="22"/>
          <w:szCs w:val="22"/>
        </w:rPr>
      </w:pPr>
      <w:r w:rsidRPr="003E5ED2">
        <w:rPr>
          <w:rFonts w:ascii="Arial" w:hAnsi="Arial" w:cs="Arial"/>
          <w:i/>
          <w:iCs/>
          <w:sz w:val="22"/>
          <w:szCs w:val="22"/>
          <w:u w:val="single"/>
        </w:rPr>
        <w:t>Smanjenje obujma imovine (91512)</w:t>
      </w:r>
      <w:r w:rsidRPr="003E5ED2">
        <w:rPr>
          <w:rFonts w:ascii="Arial" w:hAnsi="Arial" w:cs="Arial"/>
          <w:sz w:val="22"/>
          <w:szCs w:val="22"/>
        </w:rPr>
        <w:t xml:space="preserve"> u visini od </w:t>
      </w:r>
      <w:r w:rsidR="004D5A8B" w:rsidRPr="003E5ED2">
        <w:rPr>
          <w:rFonts w:ascii="Arial" w:hAnsi="Arial" w:cs="Arial"/>
          <w:sz w:val="22"/>
          <w:szCs w:val="22"/>
        </w:rPr>
        <w:t>4.362.797,77</w:t>
      </w:r>
      <w:r w:rsidRPr="003E5ED2">
        <w:rPr>
          <w:rFonts w:ascii="Arial" w:hAnsi="Arial" w:cs="Arial"/>
          <w:sz w:val="22"/>
          <w:szCs w:val="22"/>
        </w:rPr>
        <w:t xml:space="preserve"> eura odnosi se na:</w:t>
      </w:r>
    </w:p>
    <w:p w:rsidR="00435242" w:rsidRPr="003E5ED2" w:rsidRDefault="00435242" w:rsidP="00435242">
      <w:pPr>
        <w:pStyle w:val="ListParagraph"/>
        <w:numPr>
          <w:ilvl w:val="0"/>
          <w:numId w:val="33"/>
        </w:numPr>
        <w:jc w:val="both"/>
        <w:rPr>
          <w:rFonts w:ascii="Arial" w:hAnsi="Arial" w:cs="Arial"/>
          <w:sz w:val="22"/>
          <w:szCs w:val="22"/>
        </w:rPr>
      </w:pPr>
      <w:r w:rsidRPr="003E5ED2">
        <w:rPr>
          <w:rFonts w:ascii="Arial" w:hAnsi="Arial" w:cs="Arial"/>
          <w:sz w:val="22"/>
          <w:szCs w:val="22"/>
        </w:rPr>
        <w:t xml:space="preserve">smanjenje obujma </w:t>
      </w:r>
      <w:proofErr w:type="spellStart"/>
      <w:r w:rsidRPr="003E5ED2">
        <w:rPr>
          <w:rFonts w:ascii="Arial" w:hAnsi="Arial" w:cs="Arial"/>
          <w:sz w:val="22"/>
          <w:szCs w:val="22"/>
        </w:rPr>
        <w:t>neproizvedene</w:t>
      </w:r>
      <w:proofErr w:type="spellEnd"/>
      <w:r w:rsidRPr="003E5ED2">
        <w:rPr>
          <w:rFonts w:ascii="Arial" w:hAnsi="Arial" w:cs="Arial"/>
          <w:sz w:val="22"/>
          <w:szCs w:val="22"/>
        </w:rPr>
        <w:t xml:space="preserve"> dugotrajne imovine u iznosu od </w:t>
      </w:r>
      <w:r w:rsidR="004D5A8B" w:rsidRPr="003E5ED2">
        <w:rPr>
          <w:rFonts w:ascii="Arial" w:hAnsi="Arial" w:cs="Arial"/>
          <w:sz w:val="22"/>
          <w:szCs w:val="22"/>
        </w:rPr>
        <w:t>2.162.681,37</w:t>
      </w:r>
      <w:r w:rsidRPr="003E5ED2">
        <w:rPr>
          <w:rFonts w:ascii="Arial" w:hAnsi="Arial" w:cs="Arial"/>
          <w:sz w:val="22"/>
          <w:szCs w:val="22"/>
        </w:rPr>
        <w:t xml:space="preserve"> eura (</w:t>
      </w:r>
      <w:proofErr w:type="spellStart"/>
      <w:r w:rsidRPr="003E5ED2">
        <w:rPr>
          <w:rFonts w:ascii="Arial" w:hAnsi="Arial" w:cs="Arial"/>
          <w:sz w:val="22"/>
          <w:szCs w:val="22"/>
        </w:rPr>
        <w:t>isknjiženje</w:t>
      </w:r>
      <w:proofErr w:type="spellEnd"/>
      <w:r w:rsidRPr="003E5ED2">
        <w:rPr>
          <w:rFonts w:ascii="Arial" w:hAnsi="Arial" w:cs="Arial"/>
          <w:sz w:val="22"/>
          <w:szCs w:val="22"/>
        </w:rPr>
        <w:t xml:space="preserve"> zemljišta temeljem provedenih parcelacija, novih izmjera, sporazuma o prijenosu prava vlasništva, usklađenja sa zemljišnim knjigama) </w:t>
      </w:r>
    </w:p>
    <w:p w:rsidR="004D5A8B" w:rsidRPr="003E5ED2" w:rsidRDefault="00435242" w:rsidP="002205E5">
      <w:pPr>
        <w:pStyle w:val="ListParagraph"/>
        <w:numPr>
          <w:ilvl w:val="0"/>
          <w:numId w:val="33"/>
        </w:numPr>
        <w:jc w:val="both"/>
        <w:rPr>
          <w:rFonts w:ascii="Arial" w:hAnsi="Arial" w:cs="Arial"/>
          <w:color w:val="FF0000"/>
        </w:rPr>
      </w:pPr>
      <w:r w:rsidRPr="003E5ED2">
        <w:rPr>
          <w:rFonts w:ascii="Arial" w:hAnsi="Arial" w:cs="Arial"/>
          <w:sz w:val="22"/>
          <w:szCs w:val="22"/>
        </w:rPr>
        <w:t>smanjenj</w:t>
      </w:r>
      <w:r w:rsidR="00DD2F35" w:rsidRPr="003E5ED2">
        <w:rPr>
          <w:rFonts w:ascii="Arial" w:hAnsi="Arial" w:cs="Arial"/>
          <w:sz w:val="22"/>
          <w:szCs w:val="22"/>
        </w:rPr>
        <w:t>e</w:t>
      </w:r>
      <w:r w:rsidRPr="003E5ED2">
        <w:rPr>
          <w:rFonts w:ascii="Arial" w:hAnsi="Arial" w:cs="Arial"/>
          <w:sz w:val="22"/>
          <w:szCs w:val="22"/>
        </w:rPr>
        <w:t xml:space="preserve"> obujma proizvedene dugotrajne imovine u iznosu od </w:t>
      </w:r>
      <w:r w:rsidR="004D5A8B" w:rsidRPr="003E5ED2">
        <w:rPr>
          <w:rFonts w:ascii="Arial" w:hAnsi="Arial" w:cs="Arial"/>
          <w:sz w:val="22"/>
          <w:szCs w:val="22"/>
        </w:rPr>
        <w:t>278.246,67</w:t>
      </w:r>
      <w:r w:rsidRPr="003E5ED2">
        <w:rPr>
          <w:rFonts w:ascii="Arial" w:hAnsi="Arial" w:cs="Arial"/>
          <w:sz w:val="22"/>
          <w:szCs w:val="22"/>
        </w:rPr>
        <w:t xml:space="preserve"> eura </w:t>
      </w:r>
      <w:r w:rsidR="00CC4ADE" w:rsidRPr="003E5ED2">
        <w:rPr>
          <w:rFonts w:ascii="Arial" w:hAnsi="Arial" w:cs="Arial"/>
          <w:sz w:val="22"/>
          <w:szCs w:val="22"/>
        </w:rPr>
        <w:t xml:space="preserve">zbog rashodovanja opreme, </w:t>
      </w:r>
      <w:proofErr w:type="spellStart"/>
      <w:r w:rsidRPr="003E5ED2">
        <w:rPr>
          <w:rFonts w:ascii="Arial" w:hAnsi="Arial" w:cs="Arial"/>
          <w:sz w:val="22"/>
          <w:szCs w:val="22"/>
        </w:rPr>
        <w:t>isknjiženj</w:t>
      </w:r>
      <w:r w:rsidR="00CC4ADE" w:rsidRPr="003E5ED2">
        <w:rPr>
          <w:rFonts w:ascii="Arial" w:hAnsi="Arial" w:cs="Arial"/>
          <w:sz w:val="22"/>
          <w:szCs w:val="22"/>
        </w:rPr>
        <w:t>a</w:t>
      </w:r>
      <w:proofErr w:type="spellEnd"/>
      <w:r w:rsidRPr="003E5ED2">
        <w:rPr>
          <w:rFonts w:ascii="Arial" w:hAnsi="Arial" w:cs="Arial"/>
          <w:sz w:val="22"/>
          <w:szCs w:val="22"/>
        </w:rPr>
        <w:t xml:space="preserve"> stanova po sudskim rješenjima, </w:t>
      </w:r>
      <w:proofErr w:type="spellStart"/>
      <w:r w:rsidRPr="003E5ED2">
        <w:rPr>
          <w:rFonts w:ascii="Arial" w:hAnsi="Arial" w:cs="Arial"/>
          <w:sz w:val="22"/>
          <w:szCs w:val="22"/>
        </w:rPr>
        <w:t>isknjiženj</w:t>
      </w:r>
      <w:r w:rsidR="00CC4ADE" w:rsidRPr="003E5ED2">
        <w:rPr>
          <w:rFonts w:ascii="Arial" w:hAnsi="Arial" w:cs="Arial"/>
          <w:sz w:val="22"/>
          <w:szCs w:val="22"/>
        </w:rPr>
        <w:t>a</w:t>
      </w:r>
      <w:proofErr w:type="spellEnd"/>
      <w:r w:rsidRPr="003E5ED2">
        <w:rPr>
          <w:rFonts w:ascii="Arial" w:hAnsi="Arial" w:cs="Arial"/>
          <w:sz w:val="22"/>
          <w:szCs w:val="22"/>
        </w:rPr>
        <w:t xml:space="preserve"> stanova i poslovnih prostora zbog povrata RH, </w:t>
      </w:r>
    </w:p>
    <w:p w:rsidR="003D0A09" w:rsidRPr="003E5ED2" w:rsidRDefault="003D0A09" w:rsidP="002205E5">
      <w:pPr>
        <w:pStyle w:val="ListParagraph"/>
        <w:numPr>
          <w:ilvl w:val="0"/>
          <w:numId w:val="33"/>
        </w:numPr>
        <w:jc w:val="both"/>
        <w:rPr>
          <w:rFonts w:ascii="Arial" w:hAnsi="Arial" w:cs="Arial"/>
          <w:color w:val="FF0000"/>
        </w:rPr>
      </w:pPr>
      <w:r w:rsidRPr="003E5ED2">
        <w:rPr>
          <w:rFonts w:ascii="Arial" w:hAnsi="Arial" w:cs="Arial"/>
          <w:sz w:val="22"/>
          <w:szCs w:val="22"/>
        </w:rPr>
        <w:t xml:space="preserve">smanjenje dugotrajne nefinancijske imovine u pripremi u iznosu od 149.521,55 eura </w:t>
      </w:r>
      <w:r w:rsidR="00DD2F35" w:rsidRPr="003E5ED2">
        <w:rPr>
          <w:rFonts w:ascii="Arial" w:hAnsi="Arial" w:cs="Arial"/>
          <w:sz w:val="22"/>
          <w:szCs w:val="22"/>
        </w:rPr>
        <w:t>zbog</w:t>
      </w:r>
      <w:r w:rsidRPr="003E5ED2">
        <w:rPr>
          <w:rFonts w:ascii="Arial" w:hAnsi="Arial" w:cs="Arial"/>
          <w:sz w:val="22"/>
          <w:szCs w:val="22"/>
        </w:rPr>
        <w:t xml:space="preserve">  </w:t>
      </w:r>
      <w:proofErr w:type="spellStart"/>
      <w:r w:rsidRPr="003E5ED2">
        <w:rPr>
          <w:rFonts w:ascii="Arial" w:hAnsi="Arial" w:cs="Arial"/>
          <w:sz w:val="22"/>
          <w:szCs w:val="22"/>
        </w:rPr>
        <w:t>isknjiženja</w:t>
      </w:r>
      <w:proofErr w:type="spellEnd"/>
      <w:r w:rsidRPr="003E5ED2">
        <w:rPr>
          <w:rFonts w:ascii="Arial" w:hAnsi="Arial" w:cs="Arial"/>
          <w:sz w:val="22"/>
          <w:szCs w:val="22"/>
        </w:rPr>
        <w:t xml:space="preserve"> po Zaključcima gradonačelnika.</w:t>
      </w:r>
    </w:p>
    <w:p w:rsidR="003D0A09" w:rsidRPr="003E5ED2" w:rsidRDefault="00435242" w:rsidP="003D0A09">
      <w:pPr>
        <w:pStyle w:val="ListParagraph"/>
        <w:numPr>
          <w:ilvl w:val="0"/>
          <w:numId w:val="33"/>
        </w:numPr>
        <w:jc w:val="both"/>
        <w:rPr>
          <w:rFonts w:ascii="Arial" w:hAnsi="Arial" w:cs="Arial"/>
          <w:color w:val="FF0000"/>
        </w:rPr>
      </w:pPr>
      <w:r w:rsidRPr="003E5ED2">
        <w:rPr>
          <w:rFonts w:ascii="Arial" w:hAnsi="Arial" w:cs="Arial"/>
          <w:sz w:val="22"/>
          <w:szCs w:val="22"/>
        </w:rPr>
        <w:t>smanjenje obujma pro</w:t>
      </w:r>
      <w:r w:rsidR="00800FB3" w:rsidRPr="003E5ED2">
        <w:rPr>
          <w:rFonts w:ascii="Arial" w:hAnsi="Arial" w:cs="Arial"/>
          <w:sz w:val="22"/>
          <w:szCs w:val="22"/>
        </w:rPr>
        <w:t>izvedene kratkotrajne</w:t>
      </w:r>
      <w:r w:rsidRPr="003E5ED2">
        <w:rPr>
          <w:rFonts w:ascii="Arial" w:hAnsi="Arial" w:cs="Arial"/>
          <w:sz w:val="22"/>
          <w:szCs w:val="22"/>
        </w:rPr>
        <w:t xml:space="preserve"> imovine u iznosu od </w:t>
      </w:r>
      <w:r w:rsidR="003D0A09" w:rsidRPr="003E5ED2">
        <w:rPr>
          <w:rFonts w:ascii="Arial" w:hAnsi="Arial" w:cs="Arial"/>
          <w:sz w:val="22"/>
          <w:szCs w:val="22"/>
        </w:rPr>
        <w:t xml:space="preserve">13.473,95 </w:t>
      </w:r>
      <w:r w:rsidRPr="003E5ED2">
        <w:rPr>
          <w:rFonts w:ascii="Arial" w:hAnsi="Arial" w:cs="Arial"/>
          <w:sz w:val="22"/>
          <w:szCs w:val="22"/>
        </w:rPr>
        <w:t xml:space="preserve">eura </w:t>
      </w:r>
      <w:r w:rsidR="00820C1D" w:rsidRPr="003E5ED2">
        <w:rPr>
          <w:rFonts w:ascii="Arial" w:hAnsi="Arial" w:cs="Arial"/>
          <w:sz w:val="22"/>
          <w:szCs w:val="22"/>
        </w:rPr>
        <w:t>zbog</w:t>
      </w:r>
      <w:r w:rsidR="00800FB3" w:rsidRPr="003E5ED2">
        <w:rPr>
          <w:rFonts w:ascii="Arial" w:hAnsi="Arial" w:cs="Arial"/>
          <w:sz w:val="22"/>
          <w:szCs w:val="22"/>
        </w:rPr>
        <w:t xml:space="preserve"> </w:t>
      </w:r>
      <w:proofErr w:type="spellStart"/>
      <w:r w:rsidR="00800FB3" w:rsidRPr="003E5ED2">
        <w:rPr>
          <w:rFonts w:ascii="Arial" w:hAnsi="Arial" w:cs="Arial"/>
          <w:sz w:val="22"/>
          <w:szCs w:val="22"/>
        </w:rPr>
        <w:t>isknjiženj</w:t>
      </w:r>
      <w:r w:rsidR="00820C1D" w:rsidRPr="003E5ED2">
        <w:rPr>
          <w:rFonts w:ascii="Arial" w:hAnsi="Arial" w:cs="Arial"/>
          <w:sz w:val="22"/>
          <w:szCs w:val="22"/>
        </w:rPr>
        <w:t>a</w:t>
      </w:r>
      <w:proofErr w:type="spellEnd"/>
      <w:r w:rsidR="00800FB3" w:rsidRPr="003E5ED2">
        <w:rPr>
          <w:rFonts w:ascii="Arial" w:hAnsi="Arial" w:cs="Arial"/>
          <w:sz w:val="22"/>
          <w:szCs w:val="22"/>
        </w:rPr>
        <w:t xml:space="preserve"> </w:t>
      </w:r>
      <w:r w:rsidR="00F81C2E" w:rsidRPr="003E5ED2">
        <w:rPr>
          <w:rFonts w:ascii="Arial" w:hAnsi="Arial" w:cs="Arial"/>
          <w:sz w:val="22"/>
          <w:szCs w:val="22"/>
        </w:rPr>
        <w:t>opreme i prijenos</w:t>
      </w:r>
      <w:r w:rsidR="00820C1D" w:rsidRPr="003E5ED2">
        <w:rPr>
          <w:rFonts w:ascii="Arial" w:hAnsi="Arial" w:cs="Arial"/>
          <w:sz w:val="22"/>
          <w:szCs w:val="22"/>
        </w:rPr>
        <w:t>a</w:t>
      </w:r>
      <w:r w:rsidR="00F81C2E" w:rsidRPr="003E5ED2">
        <w:rPr>
          <w:rFonts w:ascii="Arial" w:hAnsi="Arial" w:cs="Arial"/>
          <w:sz w:val="22"/>
          <w:szCs w:val="22"/>
        </w:rPr>
        <w:t xml:space="preserve"> na proračunske korisnik</w:t>
      </w:r>
      <w:r w:rsidR="00E3074A" w:rsidRPr="003E5ED2">
        <w:rPr>
          <w:rFonts w:ascii="Arial" w:hAnsi="Arial" w:cs="Arial"/>
          <w:sz w:val="22"/>
          <w:szCs w:val="22"/>
        </w:rPr>
        <w:t>e</w:t>
      </w:r>
      <w:r w:rsidR="00820C1D" w:rsidRPr="003E5ED2">
        <w:rPr>
          <w:rFonts w:ascii="Arial" w:hAnsi="Arial" w:cs="Arial"/>
          <w:sz w:val="22"/>
          <w:szCs w:val="22"/>
        </w:rPr>
        <w:t>,</w:t>
      </w:r>
      <w:r w:rsidR="00E3074A" w:rsidRPr="003E5ED2">
        <w:rPr>
          <w:rFonts w:ascii="Arial" w:hAnsi="Arial" w:cs="Arial"/>
          <w:sz w:val="22"/>
          <w:szCs w:val="22"/>
        </w:rPr>
        <w:t xml:space="preserve"> </w:t>
      </w:r>
      <w:r w:rsidR="00F81C2E" w:rsidRPr="003E5ED2">
        <w:rPr>
          <w:rFonts w:ascii="Arial" w:hAnsi="Arial" w:cs="Arial"/>
          <w:sz w:val="22"/>
          <w:szCs w:val="22"/>
        </w:rPr>
        <w:t>osnovne škole</w:t>
      </w:r>
      <w:r w:rsidR="00E3074A" w:rsidRPr="003E5ED2">
        <w:rPr>
          <w:rFonts w:ascii="Arial" w:hAnsi="Arial" w:cs="Arial"/>
          <w:sz w:val="22"/>
          <w:szCs w:val="22"/>
        </w:rPr>
        <w:t xml:space="preserve"> i dječje vrtiće.</w:t>
      </w:r>
    </w:p>
    <w:p w:rsidR="00A8267D" w:rsidRPr="003E5ED2" w:rsidRDefault="00047FBC" w:rsidP="00A8267D">
      <w:pPr>
        <w:pStyle w:val="ListParagraph"/>
        <w:numPr>
          <w:ilvl w:val="0"/>
          <w:numId w:val="33"/>
        </w:numPr>
        <w:jc w:val="both"/>
        <w:rPr>
          <w:rFonts w:ascii="Arial" w:hAnsi="Arial" w:cs="Arial"/>
          <w:sz w:val="22"/>
          <w:szCs w:val="22"/>
        </w:rPr>
      </w:pPr>
      <w:r w:rsidRPr="003E5ED2">
        <w:rPr>
          <w:rFonts w:ascii="Arial" w:hAnsi="Arial" w:cs="Arial"/>
          <w:sz w:val="22"/>
          <w:szCs w:val="22"/>
        </w:rPr>
        <w:t>smanjenje obujm</w:t>
      </w:r>
      <w:r w:rsidR="00130B1B" w:rsidRPr="003E5ED2">
        <w:rPr>
          <w:rFonts w:ascii="Arial" w:hAnsi="Arial" w:cs="Arial"/>
          <w:sz w:val="22"/>
          <w:szCs w:val="22"/>
        </w:rPr>
        <w:t>a</w:t>
      </w:r>
      <w:r w:rsidRPr="003E5ED2">
        <w:rPr>
          <w:rFonts w:ascii="Arial" w:hAnsi="Arial" w:cs="Arial"/>
          <w:sz w:val="22"/>
          <w:szCs w:val="22"/>
        </w:rPr>
        <w:t xml:space="preserve"> financijske imovine </w:t>
      </w:r>
      <w:r w:rsidR="00820C1D" w:rsidRPr="003E5ED2">
        <w:rPr>
          <w:rFonts w:ascii="Arial" w:hAnsi="Arial" w:cs="Arial"/>
          <w:sz w:val="22"/>
          <w:szCs w:val="22"/>
        </w:rPr>
        <w:t xml:space="preserve">zbog </w:t>
      </w:r>
      <w:r w:rsidR="00130B1B" w:rsidRPr="003E5ED2">
        <w:rPr>
          <w:rFonts w:ascii="Arial" w:hAnsi="Arial" w:cs="Arial"/>
          <w:sz w:val="22"/>
          <w:szCs w:val="22"/>
        </w:rPr>
        <w:t>otpis</w:t>
      </w:r>
      <w:r w:rsidR="00820C1D" w:rsidRPr="003E5ED2">
        <w:rPr>
          <w:rFonts w:ascii="Arial" w:hAnsi="Arial" w:cs="Arial"/>
          <w:sz w:val="22"/>
          <w:szCs w:val="22"/>
        </w:rPr>
        <w:t>a</w:t>
      </w:r>
      <w:r w:rsidR="00130B1B" w:rsidRPr="003E5ED2">
        <w:rPr>
          <w:rFonts w:ascii="Arial" w:hAnsi="Arial" w:cs="Arial"/>
          <w:sz w:val="22"/>
          <w:szCs w:val="22"/>
        </w:rPr>
        <w:t xml:space="preserve"> </w:t>
      </w:r>
      <w:r w:rsidRPr="003E5ED2">
        <w:rPr>
          <w:rFonts w:ascii="Arial" w:hAnsi="Arial" w:cs="Arial"/>
          <w:sz w:val="22"/>
          <w:szCs w:val="22"/>
        </w:rPr>
        <w:t xml:space="preserve">potraživanja za prihode poslovanja (P029) u ukupnom iznosu od </w:t>
      </w:r>
      <w:r w:rsidR="008B2F9C" w:rsidRPr="003E5ED2">
        <w:rPr>
          <w:rFonts w:ascii="Arial" w:hAnsi="Arial" w:cs="Arial"/>
          <w:sz w:val="22"/>
          <w:szCs w:val="22"/>
        </w:rPr>
        <w:t>996.994,08</w:t>
      </w:r>
      <w:r w:rsidR="00820C1D" w:rsidRPr="003E5ED2">
        <w:rPr>
          <w:rFonts w:ascii="Arial" w:hAnsi="Arial" w:cs="Arial"/>
          <w:sz w:val="22"/>
          <w:szCs w:val="22"/>
        </w:rPr>
        <w:t xml:space="preserve"> eura.</w:t>
      </w:r>
      <w:r w:rsidR="003967C1" w:rsidRPr="003E5ED2">
        <w:rPr>
          <w:rFonts w:ascii="Arial" w:hAnsi="Arial" w:cs="Arial"/>
          <w:sz w:val="22"/>
          <w:szCs w:val="22"/>
        </w:rPr>
        <w:t xml:space="preserve"> </w:t>
      </w:r>
    </w:p>
    <w:p w:rsidR="003967C1" w:rsidRPr="003E5ED2" w:rsidRDefault="003967C1" w:rsidP="00A8267D">
      <w:pPr>
        <w:pStyle w:val="ListParagraph"/>
        <w:jc w:val="both"/>
        <w:rPr>
          <w:rFonts w:ascii="Arial" w:hAnsi="Arial" w:cs="Arial"/>
          <w:sz w:val="22"/>
          <w:szCs w:val="22"/>
        </w:rPr>
      </w:pPr>
      <w:r w:rsidRPr="003E5ED2">
        <w:rPr>
          <w:rFonts w:ascii="Arial" w:hAnsi="Arial" w:cs="Arial"/>
          <w:sz w:val="22"/>
          <w:szCs w:val="22"/>
        </w:rPr>
        <w:t xml:space="preserve">Do smanjenja financijske imovine </w:t>
      </w:r>
      <w:r w:rsidR="00A8267D" w:rsidRPr="003E5ED2">
        <w:rPr>
          <w:rFonts w:ascii="Arial" w:hAnsi="Arial" w:cs="Arial"/>
          <w:sz w:val="22"/>
          <w:szCs w:val="22"/>
        </w:rPr>
        <w:t xml:space="preserve">u najvećem dijelu dolazi </w:t>
      </w:r>
      <w:r w:rsidRPr="003E5ED2">
        <w:rPr>
          <w:rFonts w:ascii="Arial" w:hAnsi="Arial" w:cs="Arial"/>
          <w:sz w:val="22"/>
          <w:szCs w:val="22"/>
        </w:rPr>
        <w:t xml:space="preserve">radi otpisa i </w:t>
      </w:r>
      <w:proofErr w:type="spellStart"/>
      <w:r w:rsidRPr="003E5ED2">
        <w:rPr>
          <w:rFonts w:ascii="Arial" w:hAnsi="Arial" w:cs="Arial"/>
          <w:sz w:val="22"/>
          <w:szCs w:val="22"/>
        </w:rPr>
        <w:t>isknjiženja</w:t>
      </w:r>
      <w:proofErr w:type="spellEnd"/>
      <w:r w:rsidRPr="003E5ED2">
        <w:rPr>
          <w:rFonts w:ascii="Arial" w:hAnsi="Arial" w:cs="Arial"/>
          <w:sz w:val="22"/>
          <w:szCs w:val="22"/>
        </w:rPr>
        <w:t xml:space="preserve"> po Općem poreznom zakonu za poslovne subjekte koji su brisani iz sudskog i drugih odgovarajućih registara (204.708,78 </w:t>
      </w:r>
      <w:r w:rsidR="00C70F3E" w:rsidRPr="003E5ED2">
        <w:rPr>
          <w:rFonts w:ascii="Arial" w:hAnsi="Arial" w:cs="Arial"/>
          <w:sz w:val="22"/>
          <w:szCs w:val="22"/>
        </w:rPr>
        <w:t>eura)</w:t>
      </w:r>
      <w:r w:rsidRPr="003E5ED2">
        <w:rPr>
          <w:rFonts w:ascii="Arial" w:hAnsi="Arial" w:cs="Arial"/>
          <w:sz w:val="22"/>
          <w:szCs w:val="22"/>
        </w:rPr>
        <w:t xml:space="preserve">, zatim radi otpisa i </w:t>
      </w:r>
      <w:proofErr w:type="spellStart"/>
      <w:r w:rsidRPr="003E5ED2">
        <w:rPr>
          <w:rFonts w:ascii="Arial" w:hAnsi="Arial" w:cs="Arial"/>
          <w:sz w:val="22"/>
          <w:szCs w:val="22"/>
        </w:rPr>
        <w:t>isknjiženja</w:t>
      </w:r>
      <w:proofErr w:type="spellEnd"/>
      <w:r w:rsidRPr="003E5ED2">
        <w:rPr>
          <w:rFonts w:ascii="Arial" w:hAnsi="Arial" w:cs="Arial"/>
          <w:sz w:val="22"/>
          <w:szCs w:val="22"/>
        </w:rPr>
        <w:t xml:space="preserve"> prema posebnim zaključcima Gradonačelnika (152.056,39 </w:t>
      </w:r>
      <w:r w:rsidR="00C70F3E" w:rsidRPr="003E5ED2">
        <w:rPr>
          <w:rFonts w:ascii="Arial" w:hAnsi="Arial" w:cs="Arial"/>
          <w:sz w:val="22"/>
          <w:szCs w:val="22"/>
        </w:rPr>
        <w:t>eura</w:t>
      </w:r>
      <w:r w:rsidR="00A8267D" w:rsidRPr="003E5ED2">
        <w:rPr>
          <w:rFonts w:ascii="Arial" w:hAnsi="Arial" w:cs="Arial"/>
          <w:sz w:val="22"/>
          <w:szCs w:val="22"/>
        </w:rPr>
        <w:t>),</w:t>
      </w:r>
      <w:r w:rsidRPr="003E5ED2">
        <w:rPr>
          <w:rFonts w:ascii="Arial" w:hAnsi="Arial" w:cs="Arial"/>
          <w:sz w:val="22"/>
          <w:szCs w:val="22"/>
        </w:rPr>
        <w:t xml:space="preserve"> radi otpisa provedenih temeljem Općeg poreznog zakona i zahtjeva za utvrđivanje zastare prava na naplatu poreznog duga (109.169,48 </w:t>
      </w:r>
      <w:r w:rsidR="00C70F3E" w:rsidRPr="003E5ED2">
        <w:rPr>
          <w:rFonts w:ascii="Arial" w:hAnsi="Arial" w:cs="Arial"/>
          <w:sz w:val="22"/>
          <w:szCs w:val="22"/>
        </w:rPr>
        <w:t>eura</w:t>
      </w:r>
      <w:r w:rsidRPr="003E5ED2">
        <w:rPr>
          <w:rFonts w:ascii="Arial" w:hAnsi="Arial" w:cs="Arial"/>
          <w:sz w:val="22"/>
          <w:szCs w:val="22"/>
        </w:rPr>
        <w:t>).</w:t>
      </w:r>
    </w:p>
    <w:p w:rsidR="004C564C" w:rsidRPr="003E5ED2" w:rsidRDefault="003967C1" w:rsidP="003967C1">
      <w:pPr>
        <w:pStyle w:val="ListParagraph"/>
        <w:jc w:val="both"/>
        <w:rPr>
          <w:rFonts w:ascii="Arial" w:hAnsi="Arial" w:cs="Arial"/>
          <w:sz w:val="22"/>
          <w:szCs w:val="22"/>
        </w:rPr>
      </w:pPr>
      <w:r w:rsidRPr="003E5ED2">
        <w:rPr>
          <w:rFonts w:ascii="Arial" w:hAnsi="Arial" w:cs="Arial"/>
          <w:sz w:val="22"/>
          <w:szCs w:val="22"/>
        </w:rPr>
        <w:t xml:space="preserve">Do smanjenja </w:t>
      </w:r>
      <w:r w:rsidR="00A8267D" w:rsidRPr="003E5ED2">
        <w:rPr>
          <w:rFonts w:ascii="Arial" w:hAnsi="Arial" w:cs="Arial"/>
          <w:sz w:val="22"/>
          <w:szCs w:val="22"/>
        </w:rPr>
        <w:t xml:space="preserve">financijske imovine </w:t>
      </w:r>
      <w:r w:rsidRPr="003E5ED2">
        <w:rPr>
          <w:rFonts w:ascii="Arial" w:hAnsi="Arial" w:cs="Arial"/>
          <w:sz w:val="22"/>
          <w:szCs w:val="22"/>
        </w:rPr>
        <w:t>također do</w:t>
      </w:r>
      <w:r w:rsidR="00A8267D" w:rsidRPr="003E5ED2">
        <w:rPr>
          <w:rFonts w:ascii="Arial" w:hAnsi="Arial" w:cs="Arial"/>
          <w:sz w:val="22"/>
          <w:szCs w:val="22"/>
        </w:rPr>
        <w:t>lazi</w:t>
      </w:r>
      <w:r w:rsidRPr="003E5ED2">
        <w:rPr>
          <w:rFonts w:ascii="Arial" w:hAnsi="Arial" w:cs="Arial"/>
          <w:sz w:val="22"/>
          <w:szCs w:val="22"/>
        </w:rPr>
        <w:t xml:space="preserve"> radi otpisa po Prekršajnom zakonu (84.164,78 </w:t>
      </w:r>
      <w:r w:rsidR="004C564C" w:rsidRPr="003E5ED2">
        <w:rPr>
          <w:rFonts w:ascii="Arial" w:hAnsi="Arial" w:cs="Arial"/>
          <w:sz w:val="22"/>
          <w:szCs w:val="22"/>
        </w:rPr>
        <w:t>eura</w:t>
      </w:r>
      <w:r w:rsidRPr="003E5ED2">
        <w:rPr>
          <w:rFonts w:ascii="Arial" w:hAnsi="Arial" w:cs="Arial"/>
          <w:sz w:val="22"/>
          <w:szCs w:val="22"/>
        </w:rPr>
        <w:t>) i radi otpisa po pojedinačnim rješenjima temeljem Uredbe o kriterijima, mjerilima i postupku za odgodu plaćanja, obročnu otplatu duga te prodaju, otpis ili djelomičan otpis potraživanja (60.4</w:t>
      </w:r>
      <w:r w:rsidR="004C564C" w:rsidRPr="003E5ED2">
        <w:rPr>
          <w:rFonts w:ascii="Arial" w:hAnsi="Arial" w:cs="Arial"/>
          <w:sz w:val="22"/>
          <w:szCs w:val="22"/>
        </w:rPr>
        <w:t>29,14 eura</w:t>
      </w:r>
      <w:r w:rsidRPr="003E5ED2">
        <w:rPr>
          <w:rFonts w:ascii="Arial" w:hAnsi="Arial" w:cs="Arial"/>
          <w:sz w:val="22"/>
          <w:szCs w:val="22"/>
        </w:rPr>
        <w:t xml:space="preserve">). </w:t>
      </w:r>
    </w:p>
    <w:p w:rsidR="004C564C" w:rsidRPr="003E5ED2" w:rsidRDefault="003967C1" w:rsidP="00660DCA">
      <w:pPr>
        <w:pStyle w:val="ListParagraph"/>
        <w:jc w:val="both"/>
        <w:rPr>
          <w:rFonts w:ascii="Arial" w:hAnsi="Arial" w:cs="Arial"/>
          <w:sz w:val="22"/>
          <w:szCs w:val="22"/>
        </w:rPr>
      </w:pPr>
      <w:r w:rsidRPr="003E5ED2">
        <w:rPr>
          <w:rFonts w:ascii="Arial" w:hAnsi="Arial" w:cs="Arial"/>
          <w:sz w:val="22"/>
          <w:szCs w:val="22"/>
        </w:rPr>
        <w:t xml:space="preserve">Na smanjenje financijske imovine utjecali su još otpisi provedeni u skladu sa Stečajnim zakonom (15.522,90 </w:t>
      </w:r>
      <w:r w:rsidR="004C564C" w:rsidRPr="003E5ED2">
        <w:rPr>
          <w:rFonts w:ascii="Arial" w:hAnsi="Arial" w:cs="Arial"/>
          <w:sz w:val="22"/>
          <w:szCs w:val="22"/>
        </w:rPr>
        <w:t>eura</w:t>
      </w:r>
      <w:r w:rsidRPr="003E5ED2">
        <w:rPr>
          <w:rFonts w:ascii="Arial" w:hAnsi="Arial" w:cs="Arial"/>
          <w:sz w:val="22"/>
          <w:szCs w:val="22"/>
        </w:rPr>
        <w:t xml:space="preserve">), popusti ostvareni na naknadu za zadržavanje nezakonito izgrađene zgrade u prostoru (7.754,02 </w:t>
      </w:r>
      <w:r w:rsidR="004C564C" w:rsidRPr="003E5ED2">
        <w:rPr>
          <w:rFonts w:ascii="Arial" w:hAnsi="Arial" w:cs="Arial"/>
          <w:sz w:val="22"/>
          <w:szCs w:val="22"/>
        </w:rPr>
        <w:t>eura</w:t>
      </w:r>
      <w:r w:rsidRPr="003E5ED2">
        <w:rPr>
          <w:rFonts w:ascii="Arial" w:hAnsi="Arial" w:cs="Arial"/>
          <w:sz w:val="22"/>
          <w:szCs w:val="22"/>
        </w:rPr>
        <w:t>) i oslobođenja od obveze plaćanja komunalne naknade (1.877,31</w:t>
      </w:r>
      <w:r w:rsidR="004C564C" w:rsidRPr="003E5ED2">
        <w:rPr>
          <w:rFonts w:ascii="Arial" w:hAnsi="Arial" w:cs="Arial"/>
          <w:sz w:val="22"/>
          <w:szCs w:val="22"/>
        </w:rPr>
        <w:t xml:space="preserve"> eura</w:t>
      </w:r>
      <w:r w:rsidRPr="003E5ED2">
        <w:rPr>
          <w:rFonts w:ascii="Arial" w:hAnsi="Arial" w:cs="Arial"/>
          <w:sz w:val="22"/>
          <w:szCs w:val="22"/>
        </w:rPr>
        <w:t>).</w:t>
      </w:r>
    </w:p>
    <w:p w:rsidR="00047FBC" w:rsidRPr="003E5ED2" w:rsidRDefault="00070408" w:rsidP="00660DCA">
      <w:pPr>
        <w:pStyle w:val="ListParagraph"/>
        <w:jc w:val="both"/>
        <w:rPr>
          <w:rFonts w:ascii="Arial" w:hAnsi="Arial" w:cs="Arial"/>
          <w:sz w:val="22"/>
          <w:szCs w:val="22"/>
        </w:rPr>
      </w:pPr>
      <w:r w:rsidRPr="003E5ED2">
        <w:rPr>
          <w:rFonts w:ascii="Arial" w:hAnsi="Arial" w:cs="Arial"/>
          <w:sz w:val="22"/>
          <w:szCs w:val="22"/>
        </w:rPr>
        <w:t xml:space="preserve">Smanjenje se bilježi i kod potraživanja od prodaje nefinancijske imovine 2.732,23 eura radi otpisa i </w:t>
      </w:r>
      <w:proofErr w:type="spellStart"/>
      <w:r w:rsidRPr="003E5ED2">
        <w:rPr>
          <w:rFonts w:ascii="Arial" w:hAnsi="Arial" w:cs="Arial"/>
          <w:sz w:val="22"/>
          <w:szCs w:val="22"/>
        </w:rPr>
        <w:t>isknjiženja</w:t>
      </w:r>
      <w:proofErr w:type="spellEnd"/>
      <w:r w:rsidRPr="003E5ED2">
        <w:rPr>
          <w:rFonts w:ascii="Arial" w:hAnsi="Arial" w:cs="Arial"/>
          <w:sz w:val="22"/>
          <w:szCs w:val="22"/>
        </w:rPr>
        <w:t xml:space="preserve"> temeljem Uredbe o kriterijima, mjerilima i postupku za odgodu plaćanja</w:t>
      </w:r>
      <w:r w:rsidR="00660DCA" w:rsidRPr="003E5ED2">
        <w:rPr>
          <w:rFonts w:ascii="Arial" w:hAnsi="Arial" w:cs="Arial"/>
          <w:sz w:val="22"/>
          <w:szCs w:val="22"/>
        </w:rPr>
        <w:t>,</w:t>
      </w:r>
      <w:r w:rsidRPr="003E5ED2">
        <w:rPr>
          <w:rFonts w:ascii="Arial" w:hAnsi="Arial" w:cs="Arial"/>
          <w:sz w:val="22"/>
          <w:szCs w:val="22"/>
        </w:rPr>
        <w:t xml:space="preserve"> obročnu otplatu duga</w:t>
      </w:r>
      <w:r w:rsidR="00660DCA" w:rsidRPr="003E5ED2">
        <w:rPr>
          <w:rFonts w:ascii="Arial" w:hAnsi="Arial" w:cs="Arial"/>
          <w:sz w:val="22"/>
          <w:szCs w:val="22"/>
        </w:rPr>
        <w:t xml:space="preserve"> te prodaju, otpis ili djelomičan otpis potraživanja</w:t>
      </w:r>
      <w:r w:rsidR="001C1B27" w:rsidRPr="003E5ED2">
        <w:rPr>
          <w:rFonts w:ascii="Arial" w:hAnsi="Arial" w:cs="Arial"/>
          <w:sz w:val="22"/>
          <w:szCs w:val="22"/>
        </w:rPr>
        <w:t>, zatim</w:t>
      </w:r>
      <w:r w:rsidR="00660DCA" w:rsidRPr="003E5ED2">
        <w:rPr>
          <w:rFonts w:ascii="Arial" w:hAnsi="Arial" w:cs="Arial"/>
          <w:sz w:val="22"/>
          <w:szCs w:val="22"/>
        </w:rPr>
        <w:t xml:space="preserve"> temeljem Zakona o obveznim odnosima (1.898,69 </w:t>
      </w:r>
      <w:r w:rsidR="004C564C" w:rsidRPr="003E5ED2">
        <w:rPr>
          <w:rFonts w:ascii="Arial" w:hAnsi="Arial" w:cs="Arial"/>
          <w:sz w:val="22"/>
          <w:szCs w:val="22"/>
        </w:rPr>
        <w:t>eura</w:t>
      </w:r>
      <w:r w:rsidR="00660DCA" w:rsidRPr="003E5ED2">
        <w:rPr>
          <w:rFonts w:ascii="Arial" w:hAnsi="Arial" w:cs="Arial"/>
          <w:sz w:val="22"/>
          <w:szCs w:val="22"/>
        </w:rPr>
        <w:t xml:space="preserve">) i radi otpisa i </w:t>
      </w:r>
      <w:proofErr w:type="spellStart"/>
      <w:r w:rsidR="00660DCA" w:rsidRPr="003E5ED2">
        <w:rPr>
          <w:rFonts w:ascii="Arial" w:hAnsi="Arial" w:cs="Arial"/>
          <w:sz w:val="22"/>
          <w:szCs w:val="22"/>
        </w:rPr>
        <w:t>isknjiženja</w:t>
      </w:r>
      <w:proofErr w:type="spellEnd"/>
      <w:r w:rsidR="00660DCA" w:rsidRPr="003E5ED2">
        <w:rPr>
          <w:rFonts w:ascii="Arial" w:hAnsi="Arial" w:cs="Arial"/>
          <w:sz w:val="22"/>
          <w:szCs w:val="22"/>
        </w:rPr>
        <w:t xml:space="preserve"> prema posebnim zaključcima Gradonačelnika (833,54 </w:t>
      </w:r>
      <w:r w:rsidR="004C564C" w:rsidRPr="003E5ED2">
        <w:rPr>
          <w:rFonts w:ascii="Arial" w:hAnsi="Arial" w:cs="Arial"/>
          <w:sz w:val="22"/>
          <w:szCs w:val="22"/>
        </w:rPr>
        <w:t>eura</w:t>
      </w:r>
      <w:r w:rsidR="00660DCA" w:rsidRPr="003E5ED2">
        <w:rPr>
          <w:rFonts w:ascii="Arial" w:hAnsi="Arial" w:cs="Arial"/>
          <w:sz w:val="22"/>
          <w:szCs w:val="22"/>
        </w:rPr>
        <w:t>).</w:t>
      </w:r>
      <w:r w:rsidR="00047FBC" w:rsidRPr="003E5ED2">
        <w:rPr>
          <w:rFonts w:ascii="Arial" w:hAnsi="Arial" w:cs="Arial"/>
          <w:sz w:val="22"/>
          <w:szCs w:val="22"/>
        </w:rPr>
        <w:t xml:space="preserve"> </w:t>
      </w:r>
    </w:p>
    <w:p w:rsidR="009B2866" w:rsidRPr="003E5ED2" w:rsidRDefault="009B2866" w:rsidP="00E7214E">
      <w:pPr>
        <w:pStyle w:val="ListParagraph"/>
        <w:jc w:val="both"/>
        <w:rPr>
          <w:rFonts w:ascii="Arial" w:hAnsi="Arial" w:cs="Arial"/>
          <w:sz w:val="22"/>
          <w:szCs w:val="22"/>
        </w:rPr>
      </w:pPr>
      <w:r w:rsidRPr="003E5ED2">
        <w:rPr>
          <w:rFonts w:ascii="Arial" w:hAnsi="Arial" w:cs="Arial"/>
          <w:sz w:val="22"/>
          <w:szCs w:val="22"/>
        </w:rPr>
        <w:t>D</w:t>
      </w:r>
      <w:r w:rsidR="00660DCA" w:rsidRPr="003E5ED2">
        <w:rPr>
          <w:rFonts w:ascii="Arial" w:hAnsi="Arial" w:cs="Arial"/>
          <w:sz w:val="22"/>
          <w:szCs w:val="22"/>
        </w:rPr>
        <w:t>ionice i udjeli u g</w:t>
      </w:r>
      <w:r w:rsidRPr="003E5ED2">
        <w:rPr>
          <w:rFonts w:ascii="Arial" w:hAnsi="Arial" w:cs="Arial"/>
          <w:sz w:val="22"/>
          <w:szCs w:val="22"/>
        </w:rPr>
        <w:t>l</w:t>
      </w:r>
      <w:r w:rsidR="00E7214E" w:rsidRPr="003E5ED2">
        <w:rPr>
          <w:rFonts w:ascii="Arial" w:hAnsi="Arial" w:cs="Arial"/>
          <w:sz w:val="22"/>
          <w:szCs w:val="22"/>
        </w:rPr>
        <w:t>a</w:t>
      </w:r>
      <w:r w:rsidRPr="003E5ED2">
        <w:rPr>
          <w:rFonts w:ascii="Arial" w:hAnsi="Arial" w:cs="Arial"/>
          <w:sz w:val="22"/>
          <w:szCs w:val="22"/>
        </w:rPr>
        <w:t xml:space="preserve">vnici bilježe smanjenje </w:t>
      </w:r>
      <w:r w:rsidR="001C1B27" w:rsidRPr="003E5ED2">
        <w:rPr>
          <w:rFonts w:ascii="Arial" w:hAnsi="Arial" w:cs="Arial"/>
          <w:sz w:val="22"/>
          <w:szCs w:val="22"/>
        </w:rPr>
        <w:t xml:space="preserve">obujma iznosu od 759.147,92 eura </w:t>
      </w:r>
      <w:r w:rsidRPr="003E5ED2">
        <w:rPr>
          <w:rFonts w:ascii="Arial" w:hAnsi="Arial" w:cs="Arial"/>
          <w:sz w:val="22"/>
          <w:szCs w:val="22"/>
        </w:rPr>
        <w:t xml:space="preserve">zbog </w:t>
      </w:r>
      <w:proofErr w:type="spellStart"/>
      <w:r w:rsidR="001C1B27" w:rsidRPr="003E5ED2">
        <w:rPr>
          <w:rFonts w:ascii="Arial" w:hAnsi="Arial" w:cs="Arial"/>
          <w:sz w:val="22"/>
          <w:szCs w:val="22"/>
        </w:rPr>
        <w:t>isknjiženja</w:t>
      </w:r>
      <w:proofErr w:type="spellEnd"/>
      <w:r w:rsidR="001C1B27" w:rsidRPr="003E5ED2">
        <w:rPr>
          <w:rFonts w:ascii="Arial" w:hAnsi="Arial" w:cs="Arial"/>
          <w:sz w:val="22"/>
          <w:szCs w:val="22"/>
        </w:rPr>
        <w:t xml:space="preserve"> poslovnog udjela u trgovačkom društvu koji je </w:t>
      </w:r>
      <w:r w:rsidR="005C0C5F" w:rsidRPr="003E5ED2">
        <w:rPr>
          <w:rFonts w:ascii="Arial" w:hAnsi="Arial" w:cs="Arial"/>
          <w:sz w:val="22"/>
          <w:szCs w:val="22"/>
        </w:rPr>
        <w:t xml:space="preserve">brisan </w:t>
      </w:r>
      <w:r w:rsidR="001C1B27" w:rsidRPr="003E5ED2">
        <w:rPr>
          <w:rFonts w:ascii="Arial" w:hAnsi="Arial" w:cs="Arial"/>
          <w:sz w:val="22"/>
          <w:szCs w:val="22"/>
        </w:rPr>
        <w:t>u</w:t>
      </w:r>
      <w:r w:rsidR="005C0C5F" w:rsidRPr="003E5ED2">
        <w:rPr>
          <w:rFonts w:ascii="Arial" w:hAnsi="Arial" w:cs="Arial"/>
          <w:sz w:val="22"/>
          <w:szCs w:val="22"/>
        </w:rPr>
        <w:t xml:space="preserve"> sudsko</w:t>
      </w:r>
      <w:r w:rsidR="001C1B27" w:rsidRPr="003E5ED2">
        <w:rPr>
          <w:rFonts w:ascii="Arial" w:hAnsi="Arial" w:cs="Arial"/>
          <w:sz w:val="22"/>
          <w:szCs w:val="22"/>
        </w:rPr>
        <w:t>m</w:t>
      </w:r>
      <w:r w:rsidR="005C0C5F" w:rsidRPr="003E5ED2">
        <w:rPr>
          <w:rFonts w:ascii="Arial" w:hAnsi="Arial" w:cs="Arial"/>
          <w:sz w:val="22"/>
          <w:szCs w:val="22"/>
        </w:rPr>
        <w:t xml:space="preserve"> registr</w:t>
      </w:r>
      <w:r w:rsidR="001C1B27" w:rsidRPr="003E5ED2">
        <w:rPr>
          <w:rFonts w:ascii="Arial" w:hAnsi="Arial" w:cs="Arial"/>
          <w:sz w:val="22"/>
          <w:szCs w:val="22"/>
        </w:rPr>
        <w:t>u</w:t>
      </w:r>
      <w:r w:rsidRPr="003E5ED2">
        <w:rPr>
          <w:rFonts w:ascii="Arial" w:hAnsi="Arial" w:cs="Arial"/>
          <w:sz w:val="22"/>
          <w:szCs w:val="22"/>
        </w:rPr>
        <w:t xml:space="preserve">  </w:t>
      </w:r>
    </w:p>
    <w:p w:rsidR="00047FBC" w:rsidRPr="003E5ED2" w:rsidRDefault="00E7214E" w:rsidP="0047277B">
      <w:pPr>
        <w:pStyle w:val="ListParagraph"/>
        <w:jc w:val="both"/>
        <w:rPr>
          <w:rFonts w:ascii="Arial" w:hAnsi="Arial" w:cs="Arial"/>
          <w:sz w:val="22"/>
          <w:szCs w:val="22"/>
        </w:rPr>
      </w:pPr>
      <w:r w:rsidRPr="003E5ED2">
        <w:rPr>
          <w:rFonts w:ascii="Arial" w:hAnsi="Arial" w:cs="Arial"/>
          <w:sz w:val="22"/>
          <w:szCs w:val="22"/>
        </w:rPr>
        <w:t>Smanjenje u obujmu obveza biljež</w:t>
      </w:r>
      <w:r w:rsidR="001C1B27" w:rsidRPr="003E5ED2">
        <w:rPr>
          <w:rFonts w:ascii="Arial" w:hAnsi="Arial" w:cs="Arial"/>
          <w:sz w:val="22"/>
          <w:szCs w:val="22"/>
        </w:rPr>
        <w:t>i</w:t>
      </w:r>
      <w:r w:rsidRPr="003E5ED2">
        <w:rPr>
          <w:rFonts w:ascii="Arial" w:hAnsi="Arial" w:cs="Arial"/>
          <w:sz w:val="22"/>
          <w:szCs w:val="22"/>
        </w:rPr>
        <w:t xml:space="preserve"> se kod obveza za rashode poslovanja u iznosu od 20.672,92 </w:t>
      </w:r>
      <w:r w:rsidR="004C564C" w:rsidRPr="003E5ED2">
        <w:rPr>
          <w:rFonts w:ascii="Arial" w:hAnsi="Arial" w:cs="Arial"/>
          <w:sz w:val="22"/>
          <w:szCs w:val="22"/>
        </w:rPr>
        <w:t>eura</w:t>
      </w:r>
      <w:r w:rsidRPr="003E5ED2">
        <w:rPr>
          <w:rFonts w:ascii="Arial" w:hAnsi="Arial" w:cs="Arial"/>
          <w:sz w:val="22"/>
          <w:szCs w:val="22"/>
        </w:rPr>
        <w:t xml:space="preserve"> zbog otpisa </w:t>
      </w:r>
      <w:r w:rsidR="001C1B27" w:rsidRPr="003E5ED2">
        <w:rPr>
          <w:rFonts w:ascii="Arial" w:hAnsi="Arial" w:cs="Arial"/>
          <w:sz w:val="22"/>
          <w:szCs w:val="22"/>
        </w:rPr>
        <w:t>obveze</w:t>
      </w:r>
      <w:r w:rsidRPr="003E5ED2">
        <w:rPr>
          <w:rFonts w:ascii="Arial" w:hAnsi="Arial" w:cs="Arial"/>
          <w:sz w:val="22"/>
          <w:szCs w:val="22"/>
        </w:rPr>
        <w:t xml:space="preserve"> </w:t>
      </w:r>
      <w:r w:rsidR="001C1B27" w:rsidRPr="003E5ED2">
        <w:rPr>
          <w:rFonts w:ascii="Arial" w:hAnsi="Arial" w:cs="Arial"/>
          <w:sz w:val="22"/>
          <w:szCs w:val="22"/>
        </w:rPr>
        <w:t>s osnova zateznih kamata iz ranijih godina</w:t>
      </w:r>
      <w:r w:rsidRPr="003E5ED2">
        <w:rPr>
          <w:rFonts w:ascii="Arial" w:hAnsi="Arial" w:cs="Arial"/>
          <w:sz w:val="22"/>
          <w:szCs w:val="22"/>
        </w:rPr>
        <w:t>.</w:t>
      </w:r>
    </w:p>
    <w:p w:rsidR="00435242" w:rsidRPr="003E5ED2" w:rsidRDefault="00435242" w:rsidP="00435242">
      <w:pPr>
        <w:jc w:val="both"/>
        <w:rPr>
          <w:rFonts w:ascii="Arial" w:hAnsi="Arial" w:cs="Arial"/>
          <w:color w:val="FF0000"/>
        </w:rPr>
      </w:pPr>
    </w:p>
    <w:p w:rsidR="00B41A0B" w:rsidRPr="003E5ED2" w:rsidRDefault="00B41A0B" w:rsidP="00435242">
      <w:pPr>
        <w:jc w:val="both"/>
        <w:rPr>
          <w:rFonts w:ascii="Arial" w:hAnsi="Arial" w:cs="Arial"/>
          <w:color w:val="FF0000"/>
        </w:rPr>
      </w:pPr>
    </w:p>
    <w:p w:rsidR="00B41A0B" w:rsidRDefault="00B41A0B"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Default="004F3ECD" w:rsidP="00435242">
      <w:pPr>
        <w:jc w:val="both"/>
        <w:rPr>
          <w:rFonts w:ascii="Arial" w:hAnsi="Arial" w:cs="Arial"/>
          <w:color w:val="FF0000"/>
        </w:rPr>
      </w:pPr>
    </w:p>
    <w:p w:rsidR="004F3ECD" w:rsidRPr="003E5ED2" w:rsidRDefault="004F3ECD" w:rsidP="00435242">
      <w:pPr>
        <w:jc w:val="both"/>
        <w:rPr>
          <w:rFonts w:ascii="Arial" w:hAnsi="Arial" w:cs="Arial"/>
          <w:color w:val="FF0000"/>
        </w:rPr>
      </w:pPr>
    </w:p>
    <w:p w:rsidR="00467963" w:rsidRPr="003E5ED2" w:rsidRDefault="000E69DA" w:rsidP="00351B91">
      <w:pPr>
        <w:keepNext/>
        <w:numPr>
          <w:ilvl w:val="0"/>
          <w:numId w:val="1"/>
        </w:numPr>
        <w:jc w:val="both"/>
        <w:outlineLvl w:val="1"/>
        <w:rPr>
          <w:rFonts w:ascii="Arial" w:hAnsi="Arial" w:cs="Arial"/>
          <w:b/>
        </w:rPr>
      </w:pPr>
      <w:r w:rsidRPr="003E5ED2">
        <w:rPr>
          <w:rFonts w:ascii="Arial" w:hAnsi="Arial" w:cs="Arial"/>
          <w:b/>
          <w:color w:val="1F3864" w:themeColor="accent5" w:themeShade="80"/>
          <w:sz w:val="24"/>
          <w:szCs w:val="24"/>
        </w:rPr>
        <w:t xml:space="preserve">IZVJEŠTAJ O OBVEZAMA </w:t>
      </w:r>
    </w:p>
    <w:p w:rsidR="0027751C" w:rsidRPr="003E5ED2" w:rsidRDefault="0027751C" w:rsidP="00B41A0B">
      <w:pPr>
        <w:keepNext/>
        <w:ind w:left="360"/>
        <w:jc w:val="both"/>
        <w:outlineLvl w:val="1"/>
        <w:rPr>
          <w:rFonts w:ascii="Arial" w:hAnsi="Arial" w:cs="Arial"/>
          <w:b/>
        </w:rPr>
      </w:pPr>
    </w:p>
    <w:p w:rsidR="004F3ECD" w:rsidRDefault="004F3ECD" w:rsidP="00E86F3B">
      <w:pPr>
        <w:jc w:val="both"/>
        <w:rPr>
          <w:rFonts w:ascii="Arial" w:hAnsi="Arial" w:cs="Arial"/>
          <w:b/>
          <w:sz w:val="22"/>
          <w:szCs w:val="22"/>
        </w:rPr>
      </w:pPr>
    </w:p>
    <w:p w:rsidR="005965CA" w:rsidRPr="003E5ED2" w:rsidRDefault="000E69DA" w:rsidP="00E86F3B">
      <w:pPr>
        <w:jc w:val="both"/>
        <w:rPr>
          <w:rFonts w:ascii="Arial" w:hAnsi="Arial" w:cs="Arial"/>
          <w:b/>
          <w:sz w:val="22"/>
          <w:szCs w:val="22"/>
        </w:rPr>
      </w:pPr>
      <w:r w:rsidRPr="003E5ED2">
        <w:rPr>
          <w:rFonts w:ascii="Arial" w:hAnsi="Arial" w:cs="Arial"/>
          <w:b/>
          <w:sz w:val="22"/>
          <w:szCs w:val="22"/>
        </w:rPr>
        <w:t>Bilješka broj 2</w:t>
      </w:r>
      <w:r w:rsidR="004A6FC0" w:rsidRPr="003E5ED2">
        <w:rPr>
          <w:rFonts w:ascii="Arial" w:hAnsi="Arial" w:cs="Arial"/>
          <w:b/>
          <w:sz w:val="22"/>
          <w:szCs w:val="22"/>
        </w:rPr>
        <w:t>2</w:t>
      </w:r>
      <w:r w:rsidRPr="003E5ED2">
        <w:rPr>
          <w:rFonts w:ascii="Arial" w:hAnsi="Arial" w:cs="Arial"/>
          <w:b/>
          <w:sz w:val="22"/>
          <w:szCs w:val="22"/>
        </w:rPr>
        <w:t xml:space="preserve"> –</w:t>
      </w:r>
      <w:r w:rsidR="00E86F3B" w:rsidRPr="003E5ED2">
        <w:rPr>
          <w:rFonts w:ascii="Arial" w:hAnsi="Arial" w:cs="Arial"/>
          <w:b/>
          <w:sz w:val="22"/>
          <w:szCs w:val="22"/>
        </w:rPr>
        <w:t xml:space="preserve"> Obveze</w:t>
      </w:r>
    </w:p>
    <w:p w:rsidR="007E0A59" w:rsidRPr="003E5ED2" w:rsidRDefault="007E0A59" w:rsidP="00E86F3B">
      <w:pPr>
        <w:jc w:val="both"/>
        <w:rPr>
          <w:rFonts w:ascii="Arial" w:hAnsi="Arial" w:cs="Arial"/>
          <w:sz w:val="22"/>
          <w:szCs w:val="22"/>
        </w:rPr>
      </w:pPr>
    </w:p>
    <w:p w:rsidR="007E0A59" w:rsidRPr="003E5ED2" w:rsidRDefault="007E0A59" w:rsidP="007E0A59">
      <w:pPr>
        <w:tabs>
          <w:tab w:val="left" w:pos="284"/>
          <w:tab w:val="left" w:pos="567"/>
          <w:tab w:val="left" w:pos="851"/>
        </w:tabs>
        <w:jc w:val="both"/>
        <w:rPr>
          <w:rFonts w:ascii="Arial" w:hAnsi="Arial"/>
          <w:sz w:val="22"/>
          <w:szCs w:val="22"/>
        </w:rPr>
      </w:pPr>
      <w:r w:rsidRPr="003E5ED2">
        <w:rPr>
          <w:rFonts w:ascii="Arial" w:hAnsi="Arial"/>
          <w:sz w:val="22"/>
          <w:szCs w:val="22"/>
        </w:rPr>
        <w:t xml:space="preserve">U Izvještaju o obvezama iskazuju se ukupne obveze Grada u razdoblju od 1. siječnja do 31. prosinca 2024. godine. Stanje </w:t>
      </w:r>
      <w:r w:rsidR="00FC2DD8">
        <w:rPr>
          <w:rFonts w:ascii="Arial" w:hAnsi="Arial"/>
          <w:sz w:val="22"/>
          <w:szCs w:val="22"/>
        </w:rPr>
        <w:t xml:space="preserve">ukupnih </w:t>
      </w:r>
      <w:r w:rsidRPr="003E5ED2">
        <w:rPr>
          <w:rFonts w:ascii="Arial" w:hAnsi="Arial"/>
          <w:sz w:val="22"/>
          <w:szCs w:val="22"/>
        </w:rPr>
        <w:t>obveza na kraju izvještajnog razdoblja (V006) iznosi 57.403.994,73 eura od čega: dospjele obveze (V007) iznose 4.040.532,70 eura (7%), a nedospjele obveze (V009) 53.363.462,03 eura (93%).</w:t>
      </w:r>
    </w:p>
    <w:p w:rsidR="007E0A59" w:rsidRPr="003E5ED2" w:rsidRDefault="007E0A59" w:rsidP="006E04AA">
      <w:pPr>
        <w:shd w:val="clear" w:color="auto" w:fill="FFFFFF" w:themeFill="background1"/>
        <w:tabs>
          <w:tab w:val="left" w:pos="284"/>
          <w:tab w:val="left" w:pos="567"/>
          <w:tab w:val="left" w:pos="851"/>
        </w:tabs>
        <w:jc w:val="both"/>
        <w:rPr>
          <w:rFonts w:ascii="Arial" w:hAnsi="Arial"/>
          <w:sz w:val="22"/>
          <w:szCs w:val="22"/>
        </w:rPr>
      </w:pPr>
      <w:r w:rsidRPr="003E5ED2">
        <w:rPr>
          <w:rFonts w:ascii="Arial" w:hAnsi="Arial"/>
          <w:sz w:val="22"/>
          <w:szCs w:val="22"/>
        </w:rPr>
        <w:t xml:space="preserve"> </w:t>
      </w:r>
    </w:p>
    <w:p w:rsidR="007E0A59" w:rsidRPr="003E5ED2" w:rsidRDefault="00FC2DD8" w:rsidP="006E04AA">
      <w:pPr>
        <w:shd w:val="clear" w:color="auto" w:fill="FFFFFF" w:themeFill="background1"/>
        <w:tabs>
          <w:tab w:val="left" w:pos="284"/>
          <w:tab w:val="left" w:pos="567"/>
          <w:tab w:val="left" w:pos="851"/>
        </w:tabs>
        <w:jc w:val="both"/>
        <w:rPr>
          <w:rFonts w:ascii="Arial" w:hAnsi="Arial"/>
          <w:sz w:val="22"/>
          <w:szCs w:val="22"/>
        </w:rPr>
      </w:pPr>
      <w:r w:rsidRPr="003E5ED2">
        <w:rPr>
          <w:rFonts w:ascii="Arial" w:hAnsi="Arial" w:cs="Arial"/>
          <w:sz w:val="22"/>
          <w:szCs w:val="22"/>
        </w:rPr>
        <w:t xml:space="preserve">Ukupne obveze bilježe smanjenje od </w:t>
      </w:r>
      <w:r w:rsidRPr="003E5ED2">
        <w:rPr>
          <w:rFonts w:ascii="Arial" w:hAnsi="Arial"/>
          <w:sz w:val="22"/>
          <w:szCs w:val="22"/>
        </w:rPr>
        <w:t>7.215.374,27 eura</w:t>
      </w:r>
      <w:r w:rsidRPr="003E5ED2">
        <w:rPr>
          <w:rFonts w:ascii="Arial" w:hAnsi="Arial" w:cs="Arial"/>
          <w:sz w:val="22"/>
          <w:szCs w:val="22"/>
        </w:rPr>
        <w:t xml:space="preserve"> </w:t>
      </w:r>
      <w:r w:rsidRPr="003E5ED2">
        <w:rPr>
          <w:rFonts w:ascii="Arial" w:hAnsi="Arial" w:cs="Arial"/>
          <w:sz w:val="22"/>
          <w:szCs w:val="22"/>
        </w:rPr>
        <w:t xml:space="preserve">ili </w:t>
      </w:r>
      <w:r w:rsidR="002A62E5" w:rsidRPr="002A62E5">
        <w:rPr>
          <w:rFonts w:ascii="Arial" w:hAnsi="Arial" w:cs="Arial"/>
          <w:sz w:val="22"/>
          <w:szCs w:val="22"/>
        </w:rPr>
        <w:t>11,2</w:t>
      </w:r>
      <w:r w:rsidRPr="002A62E5">
        <w:rPr>
          <w:rFonts w:ascii="Arial" w:hAnsi="Arial" w:cs="Arial"/>
          <w:sz w:val="22"/>
          <w:szCs w:val="22"/>
        </w:rPr>
        <w:t>%</w:t>
      </w:r>
      <w:r w:rsidRPr="003E5ED2">
        <w:rPr>
          <w:rFonts w:ascii="Arial" w:hAnsi="Arial" w:cs="Arial"/>
          <w:sz w:val="22"/>
          <w:szCs w:val="22"/>
        </w:rPr>
        <w:t xml:space="preserve"> u odnosu na stanje prethodne godine</w:t>
      </w:r>
      <w:r>
        <w:rPr>
          <w:rFonts w:ascii="Arial" w:hAnsi="Arial" w:cs="Arial"/>
          <w:sz w:val="22"/>
          <w:szCs w:val="22"/>
        </w:rPr>
        <w:t>,</w:t>
      </w:r>
      <w:r w:rsidRPr="003E5ED2">
        <w:rPr>
          <w:rFonts w:ascii="Arial" w:hAnsi="Arial"/>
          <w:sz w:val="22"/>
          <w:szCs w:val="22"/>
        </w:rPr>
        <w:t xml:space="preserve"> </w:t>
      </w:r>
      <w:r w:rsidR="007E0A59" w:rsidRPr="003E5ED2">
        <w:rPr>
          <w:rFonts w:ascii="Arial" w:hAnsi="Arial"/>
          <w:sz w:val="22"/>
          <w:szCs w:val="22"/>
        </w:rPr>
        <w:t xml:space="preserve">dok </w:t>
      </w:r>
      <w:r w:rsidR="00EA0CFF" w:rsidRPr="003E5ED2">
        <w:rPr>
          <w:rFonts w:ascii="Arial" w:hAnsi="Arial"/>
          <w:sz w:val="22"/>
          <w:szCs w:val="22"/>
        </w:rPr>
        <w:t xml:space="preserve">je stanje </w:t>
      </w:r>
      <w:r w:rsidR="007E0A59" w:rsidRPr="003E5ED2">
        <w:rPr>
          <w:rFonts w:ascii="Arial" w:hAnsi="Arial"/>
          <w:sz w:val="22"/>
          <w:szCs w:val="22"/>
        </w:rPr>
        <w:t>dospjel</w:t>
      </w:r>
      <w:r w:rsidR="00EA0CFF" w:rsidRPr="003E5ED2">
        <w:rPr>
          <w:rFonts w:ascii="Arial" w:hAnsi="Arial"/>
          <w:sz w:val="22"/>
          <w:szCs w:val="22"/>
        </w:rPr>
        <w:t>ih</w:t>
      </w:r>
      <w:r w:rsidR="007E0A59" w:rsidRPr="003E5ED2">
        <w:rPr>
          <w:rFonts w:ascii="Arial" w:hAnsi="Arial"/>
          <w:sz w:val="22"/>
          <w:szCs w:val="22"/>
        </w:rPr>
        <w:t xml:space="preserve"> obvez</w:t>
      </w:r>
      <w:r w:rsidR="00EA0CFF" w:rsidRPr="003E5ED2">
        <w:rPr>
          <w:rFonts w:ascii="Arial" w:hAnsi="Arial"/>
          <w:sz w:val="22"/>
          <w:szCs w:val="22"/>
        </w:rPr>
        <w:t>a</w:t>
      </w:r>
      <w:r w:rsidR="007E0A59" w:rsidRPr="003E5ED2">
        <w:rPr>
          <w:rFonts w:ascii="Arial" w:hAnsi="Arial"/>
          <w:sz w:val="22"/>
          <w:szCs w:val="22"/>
        </w:rPr>
        <w:t xml:space="preserve"> manje za </w:t>
      </w:r>
      <w:r w:rsidR="00166393" w:rsidRPr="003E5ED2">
        <w:rPr>
          <w:rFonts w:ascii="Arial" w:hAnsi="Arial"/>
          <w:sz w:val="22"/>
          <w:szCs w:val="22"/>
        </w:rPr>
        <w:t>1.520.121,36 eura</w:t>
      </w:r>
      <w:r w:rsidR="00166393">
        <w:rPr>
          <w:rFonts w:ascii="Arial" w:hAnsi="Arial"/>
          <w:sz w:val="22"/>
          <w:szCs w:val="22"/>
        </w:rPr>
        <w:t xml:space="preserve">, odnosno </w:t>
      </w:r>
      <w:r w:rsidR="007E0A59" w:rsidRPr="003E5ED2">
        <w:rPr>
          <w:rFonts w:ascii="Arial" w:hAnsi="Arial"/>
          <w:sz w:val="22"/>
          <w:szCs w:val="22"/>
        </w:rPr>
        <w:t>27,34%</w:t>
      </w:r>
      <w:r w:rsidR="00166393">
        <w:rPr>
          <w:rFonts w:ascii="Arial" w:hAnsi="Arial"/>
          <w:sz w:val="22"/>
          <w:szCs w:val="22"/>
        </w:rPr>
        <w:t xml:space="preserve"> manje.</w:t>
      </w:r>
      <w:r w:rsidR="007E0A59" w:rsidRPr="003E5ED2">
        <w:rPr>
          <w:rFonts w:ascii="Arial" w:hAnsi="Arial"/>
          <w:sz w:val="22"/>
          <w:szCs w:val="22"/>
        </w:rPr>
        <w:t>.</w:t>
      </w:r>
    </w:p>
    <w:p w:rsidR="007E0A59" w:rsidRPr="003E5ED2" w:rsidRDefault="007E0A59" w:rsidP="007E0A59">
      <w:pPr>
        <w:tabs>
          <w:tab w:val="left" w:pos="284"/>
          <w:tab w:val="left" w:pos="567"/>
          <w:tab w:val="left" w:pos="851"/>
        </w:tabs>
        <w:jc w:val="both"/>
        <w:rPr>
          <w:rFonts w:ascii="Arial" w:hAnsi="Arial"/>
          <w:sz w:val="22"/>
          <w:szCs w:val="22"/>
        </w:rPr>
      </w:pPr>
    </w:p>
    <w:p w:rsidR="007E0A59" w:rsidRPr="003E5ED2" w:rsidRDefault="007E0A59" w:rsidP="007E0A59">
      <w:pPr>
        <w:tabs>
          <w:tab w:val="left" w:pos="284"/>
          <w:tab w:val="left" w:pos="567"/>
          <w:tab w:val="left" w:pos="851"/>
        </w:tabs>
        <w:jc w:val="both"/>
        <w:rPr>
          <w:rFonts w:ascii="Arial" w:hAnsi="Arial"/>
          <w:sz w:val="22"/>
          <w:szCs w:val="22"/>
        </w:rPr>
      </w:pPr>
      <w:r w:rsidRPr="003E5ED2">
        <w:rPr>
          <w:rFonts w:ascii="Arial" w:hAnsi="Arial"/>
          <w:sz w:val="22"/>
          <w:szCs w:val="22"/>
        </w:rPr>
        <w:t>Stanje dospjelih obveza na kraju izvještajnog razdoblja iznosi 4.040.532,70 eura. Dospjele obveze s prekoračenjem u dospijeću od 1-60 dana iznose 420.086,90 eura (10,4%), s prekoračenjem od 61-180 dana 27.225,86 eura (0,67%), s prekoračenjem od 181-360 dana 19.714,71 eura (0,49%) i s prekoračenjem u dospijeću preko 360 dana 3.573.505,23 eura (88,44%).</w:t>
      </w:r>
    </w:p>
    <w:p w:rsidR="007E0A59" w:rsidRPr="003E5ED2" w:rsidRDefault="007E0A59" w:rsidP="007E0A59">
      <w:pPr>
        <w:tabs>
          <w:tab w:val="left" w:pos="284"/>
          <w:tab w:val="left" w:pos="567"/>
          <w:tab w:val="left" w:pos="851"/>
        </w:tabs>
        <w:jc w:val="both"/>
        <w:rPr>
          <w:rFonts w:ascii="Arial" w:hAnsi="Arial"/>
          <w:sz w:val="22"/>
          <w:szCs w:val="22"/>
        </w:rPr>
      </w:pPr>
    </w:p>
    <w:p w:rsidR="007E0A59" w:rsidRPr="003E5ED2" w:rsidRDefault="007E0A59" w:rsidP="007E0A59">
      <w:pPr>
        <w:tabs>
          <w:tab w:val="left" w:pos="284"/>
          <w:tab w:val="left" w:pos="567"/>
          <w:tab w:val="left" w:pos="851"/>
        </w:tabs>
        <w:jc w:val="both"/>
        <w:rPr>
          <w:rFonts w:ascii="Arial" w:hAnsi="Arial"/>
          <w:sz w:val="22"/>
          <w:szCs w:val="22"/>
        </w:rPr>
      </w:pPr>
      <w:r w:rsidRPr="003E5ED2">
        <w:rPr>
          <w:rFonts w:ascii="Arial" w:hAnsi="Arial"/>
          <w:sz w:val="22"/>
          <w:szCs w:val="22"/>
        </w:rPr>
        <w:t>Značajni udio u obvezama s dospijećem preko 360 dana, ali i u ukupno dospjelim nepodmirenim obvezama, čine obveze prema Državnom proračunu za 55% naplaćenih prihoda od prodaje stanova sa stanarskim pravom u visini od 3.329.342,60 eura.</w:t>
      </w:r>
    </w:p>
    <w:p w:rsidR="005A5D5E" w:rsidRPr="005269A2" w:rsidRDefault="005A5D5E" w:rsidP="005269A2">
      <w:pPr>
        <w:tabs>
          <w:tab w:val="left" w:pos="284"/>
          <w:tab w:val="left" w:pos="567"/>
          <w:tab w:val="left" w:pos="851"/>
        </w:tabs>
        <w:jc w:val="both"/>
        <w:rPr>
          <w:rFonts w:ascii="Arial" w:hAnsi="Arial"/>
          <w:sz w:val="22"/>
          <w:szCs w:val="22"/>
        </w:rPr>
      </w:pPr>
      <w:r w:rsidRPr="005269A2">
        <w:rPr>
          <w:rFonts w:ascii="Arial" w:hAnsi="Arial" w:cs="Arial"/>
          <w:sz w:val="22"/>
          <w:szCs w:val="22"/>
        </w:rPr>
        <w:t xml:space="preserve">Grad Rijeka od 2018. godine redovno i  u  dospijeću </w:t>
      </w:r>
      <w:r w:rsidR="005B1342">
        <w:rPr>
          <w:rFonts w:ascii="Arial" w:hAnsi="Arial" w:cs="Arial"/>
          <w:sz w:val="22"/>
          <w:szCs w:val="22"/>
        </w:rPr>
        <w:t>is</w:t>
      </w:r>
      <w:r w:rsidR="009966FC" w:rsidRPr="005269A2">
        <w:rPr>
          <w:rFonts w:ascii="Arial" w:hAnsi="Arial" w:cs="Arial"/>
          <w:sz w:val="22"/>
          <w:szCs w:val="22"/>
        </w:rPr>
        <w:t xml:space="preserve">plaćuje </w:t>
      </w:r>
      <w:r w:rsidRPr="005269A2">
        <w:rPr>
          <w:rFonts w:ascii="Arial" w:hAnsi="Arial" w:cs="Arial"/>
          <w:sz w:val="22"/>
          <w:szCs w:val="22"/>
        </w:rPr>
        <w:t xml:space="preserve">na račun Državnog proračuna Republike Hrvatske tekuće obveze prema Republici Hrvatskoj s osnova naplaćenih 55% prihoda od prodaje stanova na </w:t>
      </w:r>
      <w:r w:rsidRPr="00942081">
        <w:rPr>
          <w:rFonts w:ascii="Arial" w:hAnsi="Arial" w:cs="Arial"/>
          <w:sz w:val="22"/>
          <w:szCs w:val="22"/>
        </w:rPr>
        <w:t xml:space="preserve">kojima je postojalo stanarsko pravo (temeljem Zakona o prodaji stanova na kojima postoji stanarsko pravo). </w:t>
      </w:r>
      <w:r w:rsidR="009966FC" w:rsidRPr="00942081">
        <w:rPr>
          <w:rFonts w:ascii="Arial" w:hAnsi="Arial" w:cs="Arial"/>
          <w:sz w:val="22"/>
          <w:szCs w:val="22"/>
        </w:rPr>
        <w:t>U</w:t>
      </w:r>
      <w:r w:rsidRPr="00942081">
        <w:rPr>
          <w:rFonts w:ascii="Arial" w:hAnsi="Arial" w:cs="Arial"/>
          <w:sz w:val="22"/>
          <w:szCs w:val="22"/>
        </w:rPr>
        <w:t xml:space="preserve"> </w:t>
      </w:r>
      <w:r w:rsidRPr="00942081">
        <w:rPr>
          <w:rFonts w:ascii="Arial" w:hAnsi="Arial" w:cs="Arial"/>
          <w:bCs/>
          <w:sz w:val="22"/>
          <w:szCs w:val="22"/>
        </w:rPr>
        <w:t>razdoblju od 2018. do 2024. godine Republici Hrvatskoj uplaćeno je ukupno 4.290.720,92 eura.</w:t>
      </w:r>
      <w:r w:rsidRPr="005269A2">
        <w:rPr>
          <w:rFonts w:ascii="Arial" w:hAnsi="Arial" w:cs="Arial"/>
          <w:bCs/>
          <w:sz w:val="22"/>
          <w:szCs w:val="22"/>
        </w:rPr>
        <w:t xml:space="preserve"> </w:t>
      </w:r>
    </w:p>
    <w:p w:rsidR="005A5D5E" w:rsidRPr="005269A2" w:rsidRDefault="005A5D5E" w:rsidP="005A5D5E">
      <w:pPr>
        <w:jc w:val="both"/>
        <w:rPr>
          <w:rFonts w:ascii="Arial" w:hAnsi="Arial" w:cs="Arial"/>
          <w:sz w:val="22"/>
          <w:szCs w:val="22"/>
        </w:rPr>
      </w:pPr>
      <w:r w:rsidRPr="005269A2">
        <w:rPr>
          <w:rFonts w:ascii="Arial" w:hAnsi="Arial" w:cs="Arial"/>
          <w:sz w:val="22"/>
          <w:szCs w:val="22"/>
        </w:rPr>
        <w:t> </w:t>
      </w:r>
    </w:p>
    <w:p w:rsidR="005A5D5E" w:rsidRPr="005269A2" w:rsidRDefault="00446030" w:rsidP="005A5D5E">
      <w:pPr>
        <w:jc w:val="both"/>
        <w:rPr>
          <w:rFonts w:ascii="Arial" w:hAnsi="Arial" w:cs="Arial"/>
          <w:sz w:val="22"/>
          <w:szCs w:val="22"/>
        </w:rPr>
      </w:pPr>
      <w:r w:rsidRPr="005269A2">
        <w:rPr>
          <w:rFonts w:ascii="Arial" w:hAnsi="Arial" w:cs="Arial"/>
          <w:sz w:val="22"/>
          <w:szCs w:val="22"/>
        </w:rPr>
        <w:t>U</w:t>
      </w:r>
      <w:r w:rsidR="005A5D5E" w:rsidRPr="005269A2">
        <w:rPr>
          <w:rFonts w:ascii="Arial" w:hAnsi="Arial" w:cs="Arial"/>
          <w:sz w:val="22"/>
          <w:szCs w:val="22"/>
        </w:rPr>
        <w:t>kupn</w:t>
      </w:r>
      <w:r w:rsidRPr="005269A2">
        <w:rPr>
          <w:rFonts w:ascii="Arial" w:hAnsi="Arial" w:cs="Arial"/>
          <w:sz w:val="22"/>
          <w:szCs w:val="22"/>
        </w:rPr>
        <w:t xml:space="preserve">o nepodmireno dugovanje </w:t>
      </w:r>
      <w:r w:rsidR="005A5D5E" w:rsidRPr="005269A2">
        <w:rPr>
          <w:rFonts w:ascii="Arial" w:hAnsi="Arial" w:cs="Arial"/>
          <w:sz w:val="22"/>
          <w:szCs w:val="22"/>
        </w:rPr>
        <w:t>Grada prema Republici Hrvatskoj za 55% naplaćenih prihoda od prodaje stanova na kojima je postojalo stanarsko pravo</w:t>
      </w:r>
      <w:r w:rsidR="005B1342">
        <w:rPr>
          <w:rFonts w:ascii="Arial" w:hAnsi="Arial" w:cs="Arial"/>
          <w:sz w:val="22"/>
          <w:szCs w:val="22"/>
        </w:rPr>
        <w:t>,</w:t>
      </w:r>
      <w:r w:rsidRPr="005269A2">
        <w:rPr>
          <w:rFonts w:ascii="Arial" w:hAnsi="Arial" w:cs="Arial"/>
          <w:sz w:val="22"/>
          <w:szCs w:val="22"/>
        </w:rPr>
        <w:t xml:space="preserve"> </w:t>
      </w:r>
      <w:r w:rsidRPr="005269A2">
        <w:rPr>
          <w:rFonts w:ascii="Arial" w:hAnsi="Arial" w:cs="Arial"/>
          <w:sz w:val="22"/>
          <w:szCs w:val="22"/>
        </w:rPr>
        <w:t>iz ranijeg razdoblja (2010. -2017.).</w:t>
      </w:r>
      <w:r w:rsidR="005B1342">
        <w:rPr>
          <w:rFonts w:ascii="Arial" w:hAnsi="Arial" w:cs="Arial"/>
          <w:sz w:val="22"/>
          <w:szCs w:val="22"/>
        </w:rPr>
        <w:t>,</w:t>
      </w:r>
      <w:r w:rsidRPr="005269A2">
        <w:rPr>
          <w:rFonts w:ascii="Arial" w:hAnsi="Arial" w:cs="Arial"/>
          <w:sz w:val="22"/>
          <w:szCs w:val="22"/>
        </w:rPr>
        <w:t xml:space="preserve"> i</w:t>
      </w:r>
      <w:r w:rsidR="005A5D5E" w:rsidRPr="005269A2">
        <w:rPr>
          <w:rFonts w:ascii="Arial" w:hAnsi="Arial" w:cs="Arial"/>
          <w:sz w:val="22"/>
          <w:szCs w:val="22"/>
        </w:rPr>
        <w:t>znosil</w:t>
      </w:r>
      <w:r w:rsidR="00A90202" w:rsidRPr="005269A2">
        <w:rPr>
          <w:rFonts w:ascii="Arial" w:hAnsi="Arial" w:cs="Arial"/>
          <w:sz w:val="22"/>
          <w:szCs w:val="22"/>
        </w:rPr>
        <w:t>o</w:t>
      </w:r>
      <w:r w:rsidR="005A5D5E" w:rsidRPr="005269A2">
        <w:rPr>
          <w:rFonts w:ascii="Arial" w:hAnsi="Arial" w:cs="Arial"/>
          <w:sz w:val="22"/>
          <w:szCs w:val="22"/>
        </w:rPr>
        <w:t xml:space="preserve"> </w:t>
      </w:r>
      <w:r w:rsidR="00A90202" w:rsidRPr="005269A2">
        <w:rPr>
          <w:rFonts w:ascii="Arial" w:hAnsi="Arial" w:cs="Arial"/>
          <w:sz w:val="22"/>
          <w:szCs w:val="22"/>
        </w:rPr>
        <w:t>je</w:t>
      </w:r>
      <w:r w:rsidR="005A5D5E" w:rsidRPr="005269A2">
        <w:rPr>
          <w:rFonts w:ascii="Arial" w:hAnsi="Arial" w:cs="Arial"/>
          <w:sz w:val="22"/>
          <w:szCs w:val="22"/>
        </w:rPr>
        <w:t xml:space="preserve"> </w:t>
      </w:r>
      <w:r w:rsidR="005B1342" w:rsidRPr="005269A2">
        <w:rPr>
          <w:rFonts w:ascii="Arial" w:hAnsi="Arial" w:cs="Arial"/>
          <w:sz w:val="22"/>
          <w:szCs w:val="22"/>
        </w:rPr>
        <w:t>na dan 31.12.2017. godine</w:t>
      </w:r>
      <w:r w:rsidR="005B1342" w:rsidRPr="005269A2">
        <w:rPr>
          <w:rFonts w:ascii="Arial" w:hAnsi="Arial" w:cs="Arial"/>
          <w:bCs/>
          <w:sz w:val="22"/>
          <w:szCs w:val="22"/>
        </w:rPr>
        <w:t xml:space="preserve"> </w:t>
      </w:r>
      <w:r w:rsidR="005A5D5E" w:rsidRPr="005269A2">
        <w:rPr>
          <w:rFonts w:ascii="Arial" w:hAnsi="Arial" w:cs="Arial"/>
          <w:bCs/>
          <w:sz w:val="22"/>
          <w:szCs w:val="22"/>
        </w:rPr>
        <w:t>9.666.147,26 eura</w:t>
      </w:r>
      <w:r w:rsidR="001B4729">
        <w:rPr>
          <w:rFonts w:ascii="Arial" w:hAnsi="Arial" w:cs="Arial"/>
          <w:bCs/>
          <w:sz w:val="22"/>
          <w:szCs w:val="22"/>
        </w:rPr>
        <w:t>.</w:t>
      </w:r>
      <w:r w:rsidR="005A5D5E" w:rsidRPr="005269A2">
        <w:rPr>
          <w:rFonts w:ascii="Arial" w:hAnsi="Arial" w:cs="Arial"/>
          <w:sz w:val="22"/>
          <w:szCs w:val="22"/>
        </w:rPr>
        <w:t xml:space="preserve"> U daljnjem razdoblju dugovanje Grada po ovoj osnovi u značajnoj je mjeri podmireno te na dan 31. listopada 2020. godine iznosi </w:t>
      </w:r>
      <w:r w:rsidR="005A5D5E" w:rsidRPr="005269A2">
        <w:rPr>
          <w:rFonts w:ascii="Arial" w:hAnsi="Arial" w:cs="Arial"/>
          <w:bCs/>
          <w:sz w:val="22"/>
          <w:szCs w:val="22"/>
        </w:rPr>
        <w:t>3.329.342,60 eura</w:t>
      </w:r>
      <w:r w:rsidR="005A5D5E" w:rsidRPr="005269A2">
        <w:rPr>
          <w:rFonts w:ascii="Arial" w:hAnsi="Arial" w:cs="Arial"/>
          <w:sz w:val="22"/>
          <w:szCs w:val="22"/>
        </w:rPr>
        <w:t xml:space="preserve">. </w:t>
      </w:r>
      <w:r w:rsidR="00A90202" w:rsidRPr="005269A2">
        <w:rPr>
          <w:rFonts w:ascii="Arial" w:hAnsi="Arial" w:cs="Arial"/>
          <w:sz w:val="22"/>
          <w:szCs w:val="22"/>
        </w:rPr>
        <w:t>D</w:t>
      </w:r>
      <w:r w:rsidR="005A5D5E" w:rsidRPr="005269A2">
        <w:rPr>
          <w:rFonts w:ascii="Arial" w:hAnsi="Arial" w:cs="Arial"/>
          <w:sz w:val="22"/>
          <w:szCs w:val="22"/>
        </w:rPr>
        <w:t xml:space="preserve">ana 13. ožujka 2019. godine Grad Rijeka i Republika Hrvatska sklopili su Sporazum o namirenju dugovanja ustupanjem nekretnina u vlasništvu Grada Rijeke. Ovim Sporazumom Grad je Republici Hrvatskoj ustupio nekretnine procijenjene tržišne vrijednosti u ukupnom iznosu od </w:t>
      </w:r>
      <w:r w:rsidR="005A5D5E" w:rsidRPr="005269A2">
        <w:rPr>
          <w:rFonts w:ascii="Arial" w:hAnsi="Arial" w:cs="Arial"/>
          <w:bCs/>
          <w:sz w:val="22"/>
          <w:szCs w:val="22"/>
        </w:rPr>
        <w:t>6.526.130,66 eura</w:t>
      </w:r>
      <w:r w:rsidR="005A5D5E" w:rsidRPr="005269A2">
        <w:rPr>
          <w:rFonts w:ascii="Arial" w:hAnsi="Arial" w:cs="Arial"/>
          <w:sz w:val="22"/>
          <w:szCs w:val="22"/>
        </w:rPr>
        <w:t xml:space="preserve">, od čega se </w:t>
      </w:r>
      <w:r w:rsidR="005A5D5E" w:rsidRPr="005269A2">
        <w:rPr>
          <w:rFonts w:ascii="Arial" w:hAnsi="Arial" w:cs="Arial"/>
          <w:bCs/>
          <w:sz w:val="22"/>
          <w:szCs w:val="22"/>
        </w:rPr>
        <w:t>6.336.804,66 eura</w:t>
      </w:r>
      <w:r w:rsidR="005A5D5E" w:rsidRPr="005269A2">
        <w:rPr>
          <w:rFonts w:ascii="Arial" w:hAnsi="Arial" w:cs="Arial"/>
          <w:sz w:val="22"/>
          <w:szCs w:val="22"/>
        </w:rPr>
        <w:t xml:space="preserve"> odnosilo upravo na podmirenje obveze za 55% naplaćenih prihoda od prodaje stanova na kojima je postojalo stanarsko pravo. Na ovaj način  podmiren je značajni dio dugovanja Grada Republici Hrvatskoj, a u pogledu preostalog dugovanja po navedenoj osnovi u iznosu od </w:t>
      </w:r>
      <w:r w:rsidR="005A5D5E" w:rsidRPr="005269A2">
        <w:rPr>
          <w:rFonts w:ascii="Arial" w:hAnsi="Arial" w:cs="Arial"/>
          <w:bCs/>
          <w:sz w:val="22"/>
          <w:szCs w:val="22"/>
        </w:rPr>
        <w:t>3.329.342,60 eura</w:t>
      </w:r>
      <w:r w:rsidR="005A5D5E" w:rsidRPr="005269A2">
        <w:rPr>
          <w:rFonts w:ascii="Arial" w:hAnsi="Arial" w:cs="Arial"/>
          <w:sz w:val="22"/>
          <w:szCs w:val="22"/>
        </w:rPr>
        <w:t xml:space="preserve"> Sporazumom je utvrđeno da će se također podmiriti ustupanjem </w:t>
      </w:r>
      <w:r w:rsidR="00782D8B" w:rsidRPr="005269A2">
        <w:rPr>
          <w:rFonts w:ascii="Arial" w:hAnsi="Arial" w:cs="Arial"/>
          <w:sz w:val="22"/>
          <w:szCs w:val="22"/>
        </w:rPr>
        <w:t>nekretnina u vlasništvu Grada</w:t>
      </w:r>
      <w:r w:rsidR="00782D8B" w:rsidRPr="005269A2">
        <w:rPr>
          <w:rFonts w:ascii="Arial" w:hAnsi="Arial" w:cs="Arial"/>
          <w:sz w:val="22"/>
          <w:szCs w:val="22"/>
        </w:rPr>
        <w:t xml:space="preserve"> </w:t>
      </w:r>
      <w:r w:rsidR="005A5D5E" w:rsidRPr="005269A2">
        <w:rPr>
          <w:rFonts w:ascii="Arial" w:hAnsi="Arial" w:cs="Arial"/>
          <w:sz w:val="22"/>
          <w:szCs w:val="22"/>
        </w:rPr>
        <w:t xml:space="preserve">Republici Hrvatskoj. Stranke su se o tome obvezale sklopiti novi sporazum u daljnjem roku od 6 mjeseci, no isti do danas nije sklopljen. </w:t>
      </w:r>
    </w:p>
    <w:p w:rsidR="005A5D5E" w:rsidRPr="005269A2" w:rsidRDefault="005A5D5E" w:rsidP="005A5D5E">
      <w:pPr>
        <w:jc w:val="both"/>
        <w:rPr>
          <w:rFonts w:ascii="Arial" w:hAnsi="Arial" w:cs="Arial"/>
          <w:sz w:val="22"/>
          <w:szCs w:val="22"/>
        </w:rPr>
      </w:pPr>
      <w:r w:rsidRPr="005269A2">
        <w:rPr>
          <w:rFonts w:ascii="Arial" w:hAnsi="Arial" w:cs="Arial"/>
          <w:sz w:val="22"/>
          <w:szCs w:val="22"/>
        </w:rPr>
        <w:t> U cilju podmirenja preostalog dospjelog dugovanja Republici Hrvatskoj sklapanjem novog sporazuma Grad se od 2019. godine u više navrata pisanim putem obraćao nadležnom Ministarstvu prostornog uređenja, graditeljstva i državne imovine, a dana 29. kolovoza 2022. godine u Zagrebu je održan i sastanak predstavnika navedenog Ministarstva, Ministarstva znanosti i obrazovanja, Ekonomskog fakulteta u Rijeci (u daljnjem tekstu: Fakultet) i Grada Rijeke. Tom prilikom predložena je mogućnost podmirenja preostalog dugovanja ustupanjem Republici Hrvatskoj u vlasništvo nekretnine Grada koju koristi Fakultet.  Zaključeno je kako odluku o tome treba donijeti resorno ministarstvo te da će se po donošenju iste predstavnici Fakulteta javiti radi daljnjeg dogovora, no do danas Grad nije obaviješten je li takva odluka i donijeta. Slijedom navedenog, Grad Rijeka očekuje nastav</w:t>
      </w:r>
      <w:r w:rsidR="00782D8B" w:rsidRPr="005269A2">
        <w:rPr>
          <w:rFonts w:ascii="Arial" w:hAnsi="Arial" w:cs="Arial"/>
          <w:sz w:val="22"/>
          <w:szCs w:val="22"/>
        </w:rPr>
        <w:t>a</w:t>
      </w:r>
      <w:r w:rsidRPr="005269A2">
        <w:rPr>
          <w:rFonts w:ascii="Arial" w:hAnsi="Arial" w:cs="Arial"/>
          <w:sz w:val="22"/>
          <w:szCs w:val="22"/>
        </w:rPr>
        <w:t>k pregovora radi postizanja konačnog dogovora o načinu podmirenja preostalog dugovanja prema Republici Hrvatskoj.   </w:t>
      </w:r>
    </w:p>
    <w:p w:rsidR="005A5D5E" w:rsidRPr="005269A2" w:rsidRDefault="005A5D5E" w:rsidP="005A5D5E">
      <w:pPr>
        <w:jc w:val="both"/>
        <w:rPr>
          <w:rFonts w:ascii="Arial" w:hAnsi="Arial" w:cs="Arial"/>
          <w:sz w:val="22"/>
          <w:szCs w:val="22"/>
        </w:rPr>
      </w:pPr>
      <w:r w:rsidRPr="005269A2">
        <w:rPr>
          <w:rFonts w:ascii="Arial" w:hAnsi="Arial" w:cs="Arial"/>
          <w:sz w:val="22"/>
          <w:szCs w:val="22"/>
        </w:rPr>
        <w:t> </w:t>
      </w:r>
    </w:p>
    <w:p w:rsidR="007E0A59" w:rsidRPr="003E5ED2" w:rsidRDefault="007E0A59" w:rsidP="007E0A59">
      <w:pPr>
        <w:tabs>
          <w:tab w:val="left" w:pos="284"/>
          <w:tab w:val="left" w:pos="567"/>
          <w:tab w:val="left" w:pos="851"/>
        </w:tabs>
        <w:jc w:val="both"/>
        <w:rPr>
          <w:rFonts w:ascii="Arial" w:hAnsi="Arial"/>
          <w:sz w:val="22"/>
          <w:szCs w:val="22"/>
        </w:rPr>
      </w:pPr>
      <w:r w:rsidRPr="003E5ED2">
        <w:rPr>
          <w:rFonts w:ascii="Arial" w:hAnsi="Arial"/>
          <w:sz w:val="22"/>
          <w:szCs w:val="22"/>
        </w:rPr>
        <w:t>Ostale obveze dospjele preko 360 dana u iznosu od 244.162,63 eura odnose se na obveze za financijske i materijalne rashode te ostale tekuće obveze (povrati).</w:t>
      </w:r>
    </w:p>
    <w:p w:rsidR="007E0A59" w:rsidRPr="003E5ED2" w:rsidRDefault="007E0A59" w:rsidP="007E0A59">
      <w:pPr>
        <w:tabs>
          <w:tab w:val="left" w:pos="284"/>
          <w:tab w:val="left" w:pos="567"/>
          <w:tab w:val="left" w:pos="851"/>
        </w:tabs>
        <w:jc w:val="both"/>
        <w:rPr>
          <w:rFonts w:ascii="Arial" w:hAnsi="Arial"/>
          <w:sz w:val="22"/>
          <w:szCs w:val="22"/>
        </w:rPr>
      </w:pPr>
    </w:p>
    <w:p w:rsidR="007E0A59" w:rsidRPr="003E5ED2" w:rsidRDefault="007E0A59" w:rsidP="007E0A59">
      <w:pPr>
        <w:tabs>
          <w:tab w:val="left" w:pos="284"/>
          <w:tab w:val="left" w:pos="567"/>
          <w:tab w:val="left" w:pos="851"/>
        </w:tabs>
        <w:jc w:val="both"/>
        <w:rPr>
          <w:rFonts w:ascii="Arial" w:hAnsi="Arial"/>
          <w:sz w:val="22"/>
          <w:szCs w:val="22"/>
        </w:rPr>
      </w:pPr>
      <w:r w:rsidRPr="003E5ED2">
        <w:rPr>
          <w:rFonts w:ascii="Arial" w:hAnsi="Arial"/>
          <w:sz w:val="22"/>
          <w:szCs w:val="22"/>
        </w:rPr>
        <w:t>Preostali dio dospjelih obveza u iznosu od 467.027,47 eura, s kraćim prekoračenjem u dospijeću, jesu obveze za materijalne rashode (usluge tekućeg održavanja, komunalne usluge, energija), obveze za financijske rashode (kamate), obveze za subvencije, za naknade građanima i kućanstvima, ostale tekuće obveze i obveze za nabavu nefinancijske imovine.</w:t>
      </w:r>
    </w:p>
    <w:p w:rsidR="007E0A59" w:rsidRPr="003E5ED2" w:rsidRDefault="007E0A59" w:rsidP="007E0A59">
      <w:pPr>
        <w:tabs>
          <w:tab w:val="left" w:pos="284"/>
          <w:tab w:val="left" w:pos="567"/>
          <w:tab w:val="left" w:pos="851"/>
        </w:tabs>
        <w:jc w:val="both"/>
        <w:rPr>
          <w:rFonts w:ascii="Arial" w:hAnsi="Arial"/>
          <w:sz w:val="22"/>
          <w:szCs w:val="22"/>
        </w:rPr>
      </w:pPr>
    </w:p>
    <w:p w:rsidR="007E0A59" w:rsidRPr="003E5ED2" w:rsidRDefault="007E0A59" w:rsidP="007E0A59">
      <w:pPr>
        <w:tabs>
          <w:tab w:val="left" w:pos="284"/>
          <w:tab w:val="left" w:pos="567"/>
          <w:tab w:val="left" w:pos="851"/>
        </w:tabs>
        <w:jc w:val="both"/>
        <w:rPr>
          <w:rFonts w:ascii="Arial" w:hAnsi="Arial"/>
          <w:sz w:val="22"/>
          <w:szCs w:val="22"/>
        </w:rPr>
      </w:pPr>
      <w:r w:rsidRPr="003E5ED2">
        <w:rPr>
          <w:rFonts w:ascii="Arial" w:hAnsi="Arial"/>
          <w:sz w:val="22"/>
          <w:szCs w:val="22"/>
        </w:rPr>
        <w:t>Stanje nedospjelih obveza na kraju izvještajnog razdoblja (V009) iznosi 53.363.462,03 eura, a odnose se na slijedeće obveze: obveze za financijsku imovinu 34.280.030,95 eura (obveze za tuzemne kredite i zajmove prema kreditnim institucijama, bez zajmova prema Državnom proračunu i proračunskom korisniku), obveze za rashode poslovanja 11.820.144,50 eura (materijalne i financijske rashode, obveze za naknade građanima i kućanstvima, PDV i ostale obveze), nedospjele obveze za nabavu nefinancijske imovine u iznosu od 1.983.079,34 eura te na nedospjele međusobne obveze subjekata općeg proračuna 5.280.207,24 eura (od čega obveze za zajmove prema Državnom proračunu i proračunskom korisniku u iznosu od 2.174.409,42 eura).</w:t>
      </w:r>
    </w:p>
    <w:p w:rsidR="00854E02" w:rsidRPr="003E5ED2" w:rsidRDefault="00854E02" w:rsidP="00854E02">
      <w:pPr>
        <w:tabs>
          <w:tab w:val="left" w:pos="284"/>
          <w:tab w:val="left" w:pos="567"/>
          <w:tab w:val="left" w:pos="851"/>
        </w:tabs>
        <w:jc w:val="both"/>
        <w:rPr>
          <w:rFonts w:ascii="Arial" w:hAnsi="Arial"/>
          <w:sz w:val="22"/>
          <w:szCs w:val="22"/>
        </w:rPr>
      </w:pPr>
    </w:p>
    <w:p w:rsidR="000432DC" w:rsidRPr="003E5ED2" w:rsidRDefault="000432DC" w:rsidP="000E69DA">
      <w:pPr>
        <w:jc w:val="both"/>
        <w:rPr>
          <w:rFonts w:ascii="Arial" w:hAnsi="Arial" w:cs="Arial"/>
          <w:sz w:val="22"/>
          <w:szCs w:val="22"/>
        </w:rPr>
      </w:pPr>
    </w:p>
    <w:p w:rsidR="00854E02" w:rsidRPr="003E5ED2" w:rsidRDefault="00854E02" w:rsidP="00854E02">
      <w:pPr>
        <w:jc w:val="both"/>
        <w:rPr>
          <w:rFonts w:ascii="Calibri" w:hAnsi="Calibri" w:cs="Calibri"/>
          <w:sz w:val="22"/>
          <w:szCs w:val="22"/>
        </w:rPr>
      </w:pPr>
    </w:p>
    <w:p w:rsidR="001E6264" w:rsidRPr="003E5ED2" w:rsidRDefault="000E69DA" w:rsidP="000E69DA">
      <w:pPr>
        <w:tabs>
          <w:tab w:val="left" w:pos="284"/>
          <w:tab w:val="left" w:pos="567"/>
          <w:tab w:val="left" w:pos="851"/>
        </w:tabs>
        <w:jc w:val="both"/>
        <w:rPr>
          <w:rFonts w:ascii="Arial" w:hAnsi="Arial"/>
          <w:sz w:val="22"/>
          <w:szCs w:val="22"/>
        </w:rPr>
      </w:pPr>
      <w:r w:rsidRPr="003E5ED2">
        <w:rPr>
          <w:rFonts w:ascii="Arial" w:hAnsi="Arial"/>
          <w:sz w:val="22"/>
          <w:szCs w:val="22"/>
        </w:rPr>
        <w:t>Prilog</w:t>
      </w:r>
      <w:r w:rsidR="005F4102" w:rsidRPr="003E5ED2">
        <w:rPr>
          <w:rFonts w:ascii="Arial" w:hAnsi="Arial"/>
          <w:sz w:val="22"/>
          <w:szCs w:val="22"/>
        </w:rPr>
        <w:t xml:space="preserve"> Bilješkama</w:t>
      </w:r>
      <w:r w:rsidRPr="003E5ED2">
        <w:rPr>
          <w:rFonts w:ascii="Arial" w:hAnsi="Arial"/>
          <w:sz w:val="22"/>
          <w:szCs w:val="22"/>
        </w:rPr>
        <w:t>:</w:t>
      </w:r>
    </w:p>
    <w:p w:rsidR="000E69DA" w:rsidRPr="003E5ED2" w:rsidRDefault="000E69DA" w:rsidP="000E69DA">
      <w:pPr>
        <w:tabs>
          <w:tab w:val="left" w:pos="284"/>
          <w:tab w:val="left" w:pos="567"/>
          <w:tab w:val="left" w:pos="851"/>
        </w:tabs>
        <w:jc w:val="both"/>
        <w:rPr>
          <w:rFonts w:ascii="Arial" w:hAnsi="Arial"/>
          <w:sz w:val="22"/>
          <w:szCs w:val="22"/>
        </w:rPr>
      </w:pPr>
      <w:r w:rsidRPr="003E5ED2">
        <w:rPr>
          <w:rFonts w:ascii="Arial" w:hAnsi="Arial"/>
          <w:sz w:val="22"/>
          <w:szCs w:val="22"/>
        </w:rPr>
        <w:t xml:space="preserve"> </w:t>
      </w:r>
    </w:p>
    <w:p w:rsidR="00A12880" w:rsidRPr="003E5ED2" w:rsidRDefault="000E69DA" w:rsidP="00A12880">
      <w:pPr>
        <w:numPr>
          <w:ilvl w:val="0"/>
          <w:numId w:val="14"/>
        </w:numPr>
        <w:tabs>
          <w:tab w:val="left" w:pos="284"/>
          <w:tab w:val="left" w:pos="567"/>
          <w:tab w:val="left" w:pos="851"/>
        </w:tabs>
        <w:jc w:val="both"/>
        <w:rPr>
          <w:rFonts w:ascii="Arial" w:hAnsi="Arial"/>
          <w:sz w:val="22"/>
          <w:szCs w:val="22"/>
        </w:rPr>
      </w:pPr>
      <w:r w:rsidRPr="003E5ED2">
        <w:rPr>
          <w:rFonts w:ascii="Arial" w:hAnsi="Arial"/>
          <w:sz w:val="22"/>
          <w:szCs w:val="22"/>
        </w:rPr>
        <w:t xml:space="preserve">Dodatak 1: Tablica Popis sudskih sporova u tijeku – Grad tužitelj </w:t>
      </w:r>
    </w:p>
    <w:p w:rsidR="000E69DA" w:rsidRPr="003E5ED2" w:rsidRDefault="000E69DA" w:rsidP="00D907B7">
      <w:pPr>
        <w:numPr>
          <w:ilvl w:val="0"/>
          <w:numId w:val="14"/>
        </w:numPr>
        <w:tabs>
          <w:tab w:val="left" w:pos="284"/>
          <w:tab w:val="left" w:pos="567"/>
          <w:tab w:val="left" w:pos="851"/>
        </w:tabs>
        <w:jc w:val="both"/>
        <w:rPr>
          <w:rFonts w:ascii="Arial" w:hAnsi="Arial"/>
          <w:sz w:val="22"/>
          <w:szCs w:val="22"/>
        </w:rPr>
      </w:pPr>
      <w:r w:rsidRPr="003E5ED2">
        <w:rPr>
          <w:rFonts w:ascii="Arial" w:hAnsi="Arial"/>
          <w:sz w:val="22"/>
          <w:szCs w:val="22"/>
        </w:rPr>
        <w:t xml:space="preserve">Dodatak 2: Tablica Popis sudskih sporova u tijeku – Grad tuženik </w:t>
      </w:r>
    </w:p>
    <w:p w:rsidR="000E69DA" w:rsidRPr="003E5ED2" w:rsidRDefault="000E69DA" w:rsidP="000E69DA">
      <w:pPr>
        <w:jc w:val="both"/>
        <w:rPr>
          <w:rFonts w:ascii="Arial" w:hAnsi="Arial"/>
          <w:sz w:val="22"/>
          <w:szCs w:val="22"/>
        </w:rPr>
      </w:pPr>
    </w:p>
    <w:p w:rsidR="00A12880" w:rsidRPr="003E5ED2" w:rsidRDefault="00A12880" w:rsidP="000E69DA">
      <w:pPr>
        <w:jc w:val="both"/>
        <w:rPr>
          <w:rFonts w:ascii="Arial" w:hAnsi="Arial"/>
          <w:sz w:val="22"/>
          <w:szCs w:val="22"/>
        </w:rPr>
      </w:pPr>
    </w:p>
    <w:p w:rsidR="000E69DA" w:rsidRPr="003E5ED2" w:rsidRDefault="000E69DA" w:rsidP="000E69DA">
      <w:pPr>
        <w:jc w:val="both"/>
        <w:rPr>
          <w:rFonts w:ascii="Arial" w:hAnsi="Arial"/>
          <w:sz w:val="22"/>
          <w:szCs w:val="22"/>
        </w:rPr>
      </w:pPr>
    </w:p>
    <w:p w:rsidR="000E69DA" w:rsidRPr="003E5ED2" w:rsidRDefault="000E69DA" w:rsidP="000E69DA">
      <w:pPr>
        <w:jc w:val="both"/>
        <w:rPr>
          <w:rFonts w:ascii="Arial" w:hAnsi="Arial"/>
          <w:sz w:val="22"/>
          <w:szCs w:val="22"/>
        </w:rPr>
      </w:pPr>
      <w:r w:rsidRPr="003E5ED2">
        <w:rPr>
          <w:rFonts w:ascii="Arial" w:hAnsi="Arial"/>
          <w:sz w:val="22"/>
          <w:szCs w:val="22"/>
        </w:rPr>
        <w:t>Rijeka, 1</w:t>
      </w:r>
      <w:r w:rsidR="00FC3851" w:rsidRPr="003E5ED2">
        <w:rPr>
          <w:rFonts w:ascii="Arial" w:hAnsi="Arial"/>
          <w:sz w:val="22"/>
          <w:szCs w:val="22"/>
        </w:rPr>
        <w:t>4</w:t>
      </w:r>
      <w:r w:rsidR="007F605C" w:rsidRPr="003E5ED2">
        <w:rPr>
          <w:rFonts w:ascii="Arial" w:hAnsi="Arial"/>
          <w:sz w:val="22"/>
          <w:szCs w:val="22"/>
        </w:rPr>
        <w:t>. veljače 2025</w:t>
      </w:r>
      <w:r w:rsidRPr="003E5ED2">
        <w:rPr>
          <w:rFonts w:ascii="Arial" w:hAnsi="Arial"/>
          <w:sz w:val="22"/>
          <w:szCs w:val="22"/>
        </w:rPr>
        <w:t>.</w:t>
      </w:r>
      <w:r w:rsidRPr="003E5ED2">
        <w:rPr>
          <w:rFonts w:ascii="Arial" w:hAnsi="Arial"/>
          <w:sz w:val="22"/>
          <w:szCs w:val="22"/>
        </w:rPr>
        <w:tab/>
      </w:r>
      <w:r w:rsidRPr="003E5ED2">
        <w:rPr>
          <w:rFonts w:ascii="Arial" w:hAnsi="Arial"/>
          <w:sz w:val="22"/>
          <w:szCs w:val="22"/>
        </w:rPr>
        <w:tab/>
      </w:r>
      <w:r w:rsidRPr="003E5ED2">
        <w:rPr>
          <w:rFonts w:ascii="Arial" w:hAnsi="Arial"/>
          <w:sz w:val="22"/>
          <w:szCs w:val="22"/>
        </w:rPr>
        <w:tab/>
      </w:r>
      <w:r w:rsidRPr="003E5ED2">
        <w:rPr>
          <w:rFonts w:ascii="Arial" w:hAnsi="Arial"/>
          <w:sz w:val="22"/>
          <w:szCs w:val="22"/>
        </w:rPr>
        <w:tab/>
      </w:r>
      <w:r w:rsidRPr="003E5ED2">
        <w:rPr>
          <w:rFonts w:ascii="Arial" w:hAnsi="Arial"/>
          <w:sz w:val="22"/>
          <w:szCs w:val="22"/>
        </w:rPr>
        <w:tab/>
      </w:r>
      <w:r w:rsidRPr="003E5ED2">
        <w:rPr>
          <w:rFonts w:ascii="Arial" w:hAnsi="Arial"/>
          <w:sz w:val="22"/>
          <w:szCs w:val="22"/>
        </w:rPr>
        <w:tab/>
      </w:r>
    </w:p>
    <w:p w:rsidR="000E69DA" w:rsidRPr="003E5ED2" w:rsidRDefault="000E69DA" w:rsidP="000E69DA">
      <w:pPr>
        <w:jc w:val="both"/>
        <w:rPr>
          <w:rFonts w:ascii="Arial" w:hAnsi="Arial"/>
          <w:sz w:val="22"/>
          <w:szCs w:val="22"/>
        </w:rPr>
      </w:pPr>
    </w:p>
    <w:p w:rsidR="008E0579" w:rsidRPr="003E5ED2" w:rsidRDefault="008E0579" w:rsidP="008E0579">
      <w:pPr>
        <w:rPr>
          <w:rFonts w:ascii="Arial" w:hAnsi="Arial" w:cs="Arial"/>
          <w:noProof/>
          <w:sz w:val="22"/>
          <w:szCs w:val="22"/>
        </w:rPr>
      </w:pPr>
    </w:p>
    <w:p w:rsidR="004F133B" w:rsidRPr="003E5ED2" w:rsidRDefault="004F133B" w:rsidP="008E0579">
      <w:pPr>
        <w:rPr>
          <w:rFonts w:ascii="Arial" w:hAnsi="Arial" w:cs="Arial"/>
          <w:noProof/>
          <w:sz w:val="22"/>
          <w:szCs w:val="22"/>
        </w:rPr>
      </w:pPr>
    </w:p>
    <w:p w:rsidR="009462D8" w:rsidRPr="003E5ED2" w:rsidRDefault="009462D8" w:rsidP="008E0579">
      <w:pPr>
        <w:rPr>
          <w:rFonts w:ascii="Arial" w:hAnsi="Arial" w:cs="Arial"/>
          <w:noProof/>
          <w:sz w:val="22"/>
          <w:szCs w:val="22"/>
        </w:rPr>
      </w:pPr>
      <w:r w:rsidRPr="003E5ED2">
        <w:rPr>
          <w:rFonts w:ascii="Arial" w:hAnsi="Arial" w:cs="Arial"/>
          <w:noProof/>
          <w:sz w:val="22"/>
          <w:szCs w:val="22"/>
        </w:rPr>
        <w:t>Bilješke sastavil</w:t>
      </w:r>
      <w:r w:rsidR="007E0CE2" w:rsidRPr="003E5ED2">
        <w:rPr>
          <w:rFonts w:ascii="Arial" w:hAnsi="Arial" w:cs="Arial"/>
          <w:noProof/>
          <w:sz w:val="22"/>
          <w:szCs w:val="22"/>
        </w:rPr>
        <w:t>e</w:t>
      </w:r>
      <w:r w:rsidR="008E0579" w:rsidRPr="003E5ED2">
        <w:rPr>
          <w:rFonts w:ascii="Arial" w:hAnsi="Arial" w:cs="Arial"/>
          <w:noProof/>
          <w:sz w:val="22"/>
          <w:szCs w:val="22"/>
        </w:rPr>
        <w:t>:</w:t>
      </w:r>
    </w:p>
    <w:p w:rsidR="009462D8" w:rsidRPr="003E5ED2" w:rsidRDefault="009462D8" w:rsidP="008E0579">
      <w:pPr>
        <w:rPr>
          <w:rFonts w:ascii="Arial" w:hAnsi="Arial" w:cs="Arial"/>
          <w:b/>
          <w:noProof/>
          <w:sz w:val="24"/>
          <w:szCs w:val="24"/>
        </w:rPr>
      </w:pPr>
      <w:r w:rsidRPr="003E5ED2">
        <w:rPr>
          <w:rFonts w:ascii="Arial" w:hAnsi="Arial" w:cs="Arial"/>
          <w:noProof/>
          <w:sz w:val="22"/>
          <w:szCs w:val="22"/>
        </w:rPr>
        <w:tab/>
      </w:r>
      <w:r w:rsidRPr="003E5ED2">
        <w:rPr>
          <w:rFonts w:ascii="Arial" w:hAnsi="Arial" w:cs="Arial"/>
          <w:noProof/>
          <w:sz w:val="22"/>
          <w:szCs w:val="22"/>
        </w:rPr>
        <w:tab/>
      </w:r>
      <w:r w:rsidRPr="003E5ED2">
        <w:rPr>
          <w:rFonts w:ascii="Arial" w:hAnsi="Arial" w:cs="Arial"/>
          <w:noProof/>
          <w:sz w:val="22"/>
          <w:szCs w:val="22"/>
        </w:rPr>
        <w:tab/>
      </w:r>
      <w:r w:rsidR="008E0579" w:rsidRPr="003E5ED2">
        <w:rPr>
          <w:rFonts w:ascii="Arial" w:hAnsi="Arial" w:cs="Arial"/>
          <w:b/>
          <w:noProof/>
          <w:sz w:val="22"/>
          <w:szCs w:val="22"/>
        </w:rPr>
        <w:t xml:space="preserve"> </w:t>
      </w:r>
      <w:r w:rsidR="008E0579" w:rsidRPr="003E5ED2">
        <w:rPr>
          <w:rFonts w:ascii="Arial" w:hAnsi="Arial" w:cs="Arial"/>
          <w:b/>
          <w:noProof/>
          <w:sz w:val="22"/>
          <w:szCs w:val="22"/>
        </w:rPr>
        <w:tab/>
      </w:r>
      <w:r w:rsidR="008E0579" w:rsidRPr="003E5ED2">
        <w:rPr>
          <w:rFonts w:ascii="Arial" w:hAnsi="Arial" w:cs="Arial"/>
          <w:b/>
          <w:noProof/>
          <w:sz w:val="22"/>
          <w:szCs w:val="22"/>
        </w:rPr>
        <w:tab/>
      </w:r>
      <w:r w:rsidR="008E0579" w:rsidRPr="003E5ED2">
        <w:rPr>
          <w:rFonts w:ascii="Arial" w:hAnsi="Arial" w:cs="Arial"/>
          <w:b/>
          <w:noProof/>
          <w:sz w:val="22"/>
          <w:szCs w:val="22"/>
        </w:rPr>
        <w:tab/>
      </w:r>
      <w:r w:rsidR="008E0579" w:rsidRPr="003E5ED2">
        <w:rPr>
          <w:rFonts w:ascii="Arial" w:hAnsi="Arial" w:cs="Arial"/>
          <w:b/>
          <w:noProof/>
          <w:sz w:val="22"/>
          <w:szCs w:val="22"/>
        </w:rPr>
        <w:tab/>
      </w:r>
      <w:r w:rsidR="008E0579" w:rsidRPr="003E5ED2">
        <w:rPr>
          <w:rFonts w:ascii="Arial" w:hAnsi="Arial" w:cs="Arial"/>
          <w:b/>
          <w:noProof/>
          <w:sz w:val="22"/>
          <w:szCs w:val="22"/>
        </w:rPr>
        <w:tab/>
      </w:r>
      <w:r w:rsidR="008E0579" w:rsidRPr="003E5ED2">
        <w:rPr>
          <w:rFonts w:ascii="Arial" w:hAnsi="Arial" w:cs="Arial"/>
          <w:b/>
          <w:noProof/>
          <w:sz w:val="22"/>
          <w:szCs w:val="22"/>
        </w:rPr>
        <w:tab/>
      </w:r>
      <w:r w:rsidR="008E0579" w:rsidRPr="003E5ED2">
        <w:rPr>
          <w:rFonts w:ascii="Arial" w:hAnsi="Arial" w:cs="Arial"/>
          <w:b/>
          <w:noProof/>
          <w:sz w:val="22"/>
          <w:szCs w:val="22"/>
        </w:rPr>
        <w:tab/>
      </w:r>
      <w:r w:rsidR="008E0579" w:rsidRPr="003E5ED2">
        <w:rPr>
          <w:rFonts w:ascii="Arial" w:hAnsi="Arial" w:cs="Arial"/>
          <w:b/>
          <w:noProof/>
          <w:sz w:val="24"/>
          <w:szCs w:val="24"/>
        </w:rPr>
        <w:t xml:space="preserve">Gradonačelnik </w:t>
      </w:r>
    </w:p>
    <w:p w:rsidR="008E0579" w:rsidRPr="003E5ED2" w:rsidRDefault="009462D8" w:rsidP="008E0579">
      <w:pPr>
        <w:rPr>
          <w:rFonts w:ascii="Arial" w:hAnsi="Arial" w:cs="Arial"/>
          <w:b/>
          <w:noProof/>
          <w:sz w:val="22"/>
          <w:szCs w:val="22"/>
        </w:rPr>
      </w:pPr>
      <w:r w:rsidRPr="003E5ED2">
        <w:rPr>
          <w:rFonts w:ascii="Arial" w:hAnsi="Arial" w:cs="Arial"/>
          <w:noProof/>
          <w:sz w:val="22"/>
          <w:szCs w:val="22"/>
        </w:rPr>
        <w:t>Vanda Sesar</w:t>
      </w:r>
      <w:r w:rsidR="007E0CE2" w:rsidRPr="003E5ED2">
        <w:rPr>
          <w:rFonts w:ascii="Arial" w:hAnsi="Arial" w:cs="Arial"/>
          <w:noProof/>
          <w:sz w:val="22"/>
          <w:szCs w:val="22"/>
        </w:rPr>
        <w:t xml:space="preserve"> i</w:t>
      </w:r>
      <w:r w:rsidR="008E0579" w:rsidRPr="003E5ED2">
        <w:rPr>
          <w:rFonts w:ascii="Arial" w:hAnsi="Arial" w:cs="Arial"/>
          <w:b/>
          <w:noProof/>
          <w:sz w:val="22"/>
          <w:szCs w:val="22"/>
        </w:rPr>
        <w:tab/>
      </w:r>
    </w:p>
    <w:p w:rsidR="008E0579" w:rsidRPr="003E5ED2" w:rsidRDefault="007E0CE2" w:rsidP="008E0579">
      <w:pPr>
        <w:rPr>
          <w:rFonts w:ascii="Arial" w:hAnsi="Arial" w:cs="Arial"/>
          <w:noProof/>
          <w:sz w:val="22"/>
          <w:szCs w:val="22"/>
        </w:rPr>
      </w:pPr>
      <w:r w:rsidRPr="003E5ED2">
        <w:rPr>
          <w:rFonts w:ascii="Arial" w:hAnsi="Arial" w:cs="Arial"/>
          <w:noProof/>
          <w:sz w:val="22"/>
          <w:szCs w:val="22"/>
        </w:rPr>
        <w:t>Ljiljana Kukuljan</w:t>
      </w:r>
      <w:r w:rsidR="009462D8" w:rsidRPr="003E5ED2">
        <w:rPr>
          <w:rFonts w:ascii="Arial" w:hAnsi="Arial" w:cs="Arial"/>
          <w:noProof/>
          <w:sz w:val="22"/>
          <w:szCs w:val="22"/>
        </w:rPr>
        <w:tab/>
      </w:r>
      <w:r w:rsidR="008E0579" w:rsidRPr="003E5ED2">
        <w:rPr>
          <w:rFonts w:ascii="Arial" w:hAnsi="Arial" w:cs="Arial"/>
          <w:noProof/>
          <w:sz w:val="22"/>
          <w:szCs w:val="22"/>
        </w:rPr>
        <w:tab/>
      </w:r>
      <w:r w:rsidR="008E0579" w:rsidRPr="003E5ED2">
        <w:rPr>
          <w:rFonts w:ascii="Arial" w:hAnsi="Arial" w:cs="Arial"/>
          <w:b/>
          <w:noProof/>
          <w:sz w:val="22"/>
          <w:szCs w:val="22"/>
        </w:rPr>
        <w:tab/>
      </w:r>
      <w:r w:rsidR="008E0579" w:rsidRPr="003E5ED2">
        <w:rPr>
          <w:rFonts w:ascii="Arial" w:hAnsi="Arial" w:cs="Arial"/>
          <w:b/>
          <w:noProof/>
          <w:sz w:val="22"/>
          <w:szCs w:val="22"/>
        </w:rPr>
        <w:tab/>
      </w:r>
      <w:r w:rsidR="008E0579" w:rsidRPr="003E5ED2">
        <w:rPr>
          <w:rFonts w:ascii="Arial" w:hAnsi="Arial" w:cs="Arial"/>
          <w:b/>
          <w:noProof/>
          <w:sz w:val="22"/>
          <w:szCs w:val="22"/>
        </w:rPr>
        <w:tab/>
      </w:r>
      <w:r w:rsidR="008E0579" w:rsidRPr="003E5ED2">
        <w:rPr>
          <w:rFonts w:ascii="Arial" w:hAnsi="Arial" w:cs="Arial"/>
          <w:noProof/>
          <w:sz w:val="22"/>
          <w:szCs w:val="22"/>
        </w:rPr>
        <w:t>M.P.</w:t>
      </w:r>
    </w:p>
    <w:p w:rsidR="008E0579" w:rsidRPr="003E5ED2" w:rsidRDefault="008E0579" w:rsidP="008E0579">
      <w:pPr>
        <w:rPr>
          <w:rFonts w:ascii="Arial" w:hAnsi="Arial" w:cs="Arial"/>
          <w:noProof/>
          <w:sz w:val="22"/>
          <w:szCs w:val="22"/>
        </w:rPr>
      </w:pPr>
      <w:r w:rsidRPr="003E5ED2">
        <w:rPr>
          <w:rFonts w:ascii="Arial" w:hAnsi="Arial" w:cs="Arial"/>
          <w:noProof/>
          <w:sz w:val="22"/>
          <w:szCs w:val="22"/>
        </w:rPr>
        <w:tab/>
      </w:r>
      <w:r w:rsidRPr="003E5ED2">
        <w:rPr>
          <w:rFonts w:ascii="Arial" w:hAnsi="Arial" w:cs="Arial"/>
          <w:noProof/>
          <w:sz w:val="22"/>
          <w:szCs w:val="22"/>
        </w:rPr>
        <w:tab/>
      </w:r>
    </w:p>
    <w:p w:rsidR="008E0579" w:rsidRPr="003E5ED2" w:rsidRDefault="008E0579" w:rsidP="008E0579">
      <w:pPr>
        <w:rPr>
          <w:rFonts w:ascii="Arial" w:hAnsi="Arial" w:cs="Arial"/>
          <w:noProof/>
          <w:sz w:val="24"/>
          <w:szCs w:val="24"/>
        </w:rPr>
      </w:pPr>
      <w:r w:rsidRPr="003E5ED2">
        <w:rPr>
          <w:rFonts w:ascii="Arial" w:hAnsi="Arial" w:cs="Arial"/>
          <w:noProof/>
          <w:sz w:val="22"/>
          <w:szCs w:val="22"/>
        </w:rPr>
        <w:tab/>
      </w:r>
      <w:r w:rsidRPr="003E5ED2">
        <w:rPr>
          <w:rFonts w:ascii="Arial" w:hAnsi="Arial" w:cs="Arial"/>
          <w:noProof/>
          <w:sz w:val="22"/>
          <w:szCs w:val="22"/>
        </w:rPr>
        <w:tab/>
      </w:r>
      <w:r w:rsidRPr="003E5ED2">
        <w:rPr>
          <w:rFonts w:ascii="Arial" w:hAnsi="Arial" w:cs="Arial"/>
          <w:noProof/>
          <w:sz w:val="22"/>
          <w:szCs w:val="22"/>
        </w:rPr>
        <w:tab/>
      </w:r>
      <w:r w:rsidRPr="003E5ED2">
        <w:rPr>
          <w:rFonts w:ascii="Arial" w:hAnsi="Arial" w:cs="Arial"/>
          <w:noProof/>
          <w:sz w:val="22"/>
          <w:szCs w:val="22"/>
        </w:rPr>
        <w:tab/>
      </w:r>
      <w:r w:rsidRPr="003E5ED2">
        <w:rPr>
          <w:rFonts w:ascii="Arial" w:hAnsi="Arial" w:cs="Arial"/>
          <w:noProof/>
          <w:sz w:val="22"/>
          <w:szCs w:val="22"/>
        </w:rPr>
        <w:tab/>
      </w:r>
      <w:r w:rsidRPr="003E5ED2">
        <w:rPr>
          <w:rFonts w:ascii="Arial" w:hAnsi="Arial" w:cs="Arial"/>
          <w:noProof/>
          <w:sz w:val="22"/>
          <w:szCs w:val="22"/>
        </w:rPr>
        <w:tab/>
      </w:r>
      <w:r w:rsidRPr="003E5ED2">
        <w:rPr>
          <w:rFonts w:ascii="Arial" w:hAnsi="Arial" w:cs="Arial"/>
          <w:noProof/>
          <w:sz w:val="22"/>
          <w:szCs w:val="22"/>
        </w:rPr>
        <w:tab/>
      </w:r>
      <w:r w:rsidRPr="003E5ED2">
        <w:rPr>
          <w:rFonts w:ascii="Arial" w:hAnsi="Arial" w:cs="Arial"/>
          <w:noProof/>
          <w:sz w:val="22"/>
          <w:szCs w:val="22"/>
        </w:rPr>
        <w:tab/>
      </w:r>
      <w:r w:rsidRPr="003E5ED2">
        <w:rPr>
          <w:rFonts w:ascii="Arial" w:hAnsi="Arial" w:cs="Arial"/>
          <w:noProof/>
          <w:sz w:val="22"/>
          <w:szCs w:val="22"/>
        </w:rPr>
        <w:tab/>
      </w:r>
      <w:r w:rsidRPr="003E5ED2">
        <w:rPr>
          <w:rFonts w:ascii="Arial" w:hAnsi="Arial" w:cs="Arial"/>
          <w:noProof/>
          <w:sz w:val="22"/>
          <w:szCs w:val="22"/>
        </w:rPr>
        <w:tab/>
      </w:r>
      <w:r w:rsidRPr="003E5ED2">
        <w:rPr>
          <w:rFonts w:ascii="Arial" w:hAnsi="Arial" w:cs="Arial"/>
          <w:b/>
          <w:noProof/>
          <w:sz w:val="24"/>
          <w:szCs w:val="24"/>
        </w:rPr>
        <w:t>Marko Filipović</w:t>
      </w:r>
    </w:p>
    <w:p w:rsidR="008E0579" w:rsidRPr="003E5ED2" w:rsidRDefault="008E0579" w:rsidP="008E0579">
      <w:pPr>
        <w:pStyle w:val="Footer"/>
        <w:tabs>
          <w:tab w:val="clear" w:pos="4153"/>
          <w:tab w:val="clear" w:pos="8306"/>
        </w:tabs>
        <w:rPr>
          <w:rFonts w:ascii="Arial" w:hAnsi="Arial" w:cs="Arial"/>
          <w:noProof/>
          <w:sz w:val="22"/>
          <w:szCs w:val="22"/>
        </w:rPr>
      </w:pPr>
    </w:p>
    <w:p w:rsidR="008E0579" w:rsidRPr="003E5ED2" w:rsidRDefault="008E0579" w:rsidP="008E0579">
      <w:pPr>
        <w:pStyle w:val="Footer"/>
        <w:tabs>
          <w:tab w:val="clear" w:pos="4153"/>
          <w:tab w:val="clear" w:pos="8306"/>
        </w:tabs>
        <w:rPr>
          <w:rFonts w:ascii="Arial" w:hAnsi="Arial" w:cs="Arial"/>
          <w:noProof/>
          <w:sz w:val="22"/>
          <w:szCs w:val="22"/>
        </w:rPr>
      </w:pPr>
    </w:p>
    <w:p w:rsidR="008E0579" w:rsidRPr="003E5ED2" w:rsidRDefault="008E0579" w:rsidP="008E0579">
      <w:pPr>
        <w:pStyle w:val="Footer"/>
        <w:tabs>
          <w:tab w:val="clear" w:pos="4153"/>
          <w:tab w:val="clear" w:pos="8306"/>
        </w:tabs>
        <w:rPr>
          <w:rFonts w:ascii="Arial" w:hAnsi="Arial" w:cs="Arial"/>
          <w:noProof/>
          <w:sz w:val="22"/>
          <w:szCs w:val="22"/>
        </w:rPr>
      </w:pPr>
    </w:p>
    <w:p w:rsidR="008E0579" w:rsidRPr="003E5ED2" w:rsidRDefault="008E0579" w:rsidP="000E69DA">
      <w:pPr>
        <w:jc w:val="both"/>
        <w:rPr>
          <w:rFonts w:ascii="Arial" w:hAnsi="Arial"/>
          <w:sz w:val="22"/>
          <w:szCs w:val="22"/>
        </w:rPr>
      </w:pPr>
    </w:p>
    <w:sectPr w:rsidR="008E0579" w:rsidRPr="003E5ED2" w:rsidSect="00BB3AAF">
      <w:footerReference w:type="default" r:id="rId12"/>
      <w:pgSz w:w="11906" w:h="16838"/>
      <w:pgMar w:top="1134" w:right="1021" w:bottom="851" w:left="1134" w:header="720" w:footer="79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F94" w:rsidRDefault="00DA2F94">
      <w:r>
        <w:separator/>
      </w:r>
    </w:p>
  </w:endnote>
  <w:endnote w:type="continuationSeparator" w:id="0">
    <w:p w:rsidR="00DA2F94" w:rsidRDefault="00DA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RO_Calligraph-Bold">
    <w:altName w:val="Times New Roman"/>
    <w:charset w:val="00"/>
    <w:family w:val="auto"/>
    <w:pitch w:val="variable"/>
    <w:sig w:usb0="00000087" w:usb1="00000000" w:usb2="00000000" w:usb3="00000000" w:csb0="0000001B"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639299"/>
      <w:docPartObj>
        <w:docPartGallery w:val="Page Numbers (Bottom of Page)"/>
        <w:docPartUnique/>
      </w:docPartObj>
    </w:sdtPr>
    <w:sdtEndPr>
      <w:rPr>
        <w:noProof/>
      </w:rPr>
    </w:sdtEndPr>
    <w:sdtContent>
      <w:p w:rsidR="00B64504" w:rsidRDefault="00B64504">
        <w:pPr>
          <w:pStyle w:val="Footer"/>
          <w:jc w:val="center"/>
        </w:pPr>
        <w:r>
          <w:fldChar w:fldCharType="begin"/>
        </w:r>
        <w:r>
          <w:instrText xml:space="preserve"> PAGE   \* MERGEFORMAT </w:instrText>
        </w:r>
        <w:r>
          <w:fldChar w:fldCharType="separate"/>
        </w:r>
        <w:r w:rsidR="00902970">
          <w:rPr>
            <w:noProof/>
          </w:rPr>
          <w:t>21</w:t>
        </w:r>
        <w:r>
          <w:rPr>
            <w:noProof/>
          </w:rPr>
          <w:fldChar w:fldCharType="end"/>
        </w:r>
      </w:p>
    </w:sdtContent>
  </w:sdt>
  <w:p w:rsidR="00B64504" w:rsidRDefault="00B64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F94" w:rsidRDefault="00DA2F94">
      <w:r>
        <w:separator/>
      </w:r>
    </w:p>
  </w:footnote>
  <w:footnote w:type="continuationSeparator" w:id="0">
    <w:p w:rsidR="00DA2F94" w:rsidRDefault="00DA2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055"/>
    <w:multiLevelType w:val="hybridMultilevel"/>
    <w:tmpl w:val="F3D0F4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E52776"/>
    <w:multiLevelType w:val="hybridMultilevel"/>
    <w:tmpl w:val="6476A122"/>
    <w:lvl w:ilvl="0" w:tplc="CE82D6C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B847648"/>
    <w:multiLevelType w:val="hybridMultilevel"/>
    <w:tmpl w:val="E80EE5CA"/>
    <w:lvl w:ilvl="0" w:tplc="041A0005">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 w15:restartNumberingAfterBreak="0">
    <w:nsid w:val="0F5B5775"/>
    <w:multiLevelType w:val="hybridMultilevel"/>
    <w:tmpl w:val="44CE28C4"/>
    <w:lvl w:ilvl="0" w:tplc="041A0009">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22B83"/>
    <w:multiLevelType w:val="hybridMultilevel"/>
    <w:tmpl w:val="05BC54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C646E1"/>
    <w:multiLevelType w:val="hybridMultilevel"/>
    <w:tmpl w:val="D99001F6"/>
    <w:lvl w:ilvl="0" w:tplc="E4F05526">
      <w:start w:val="39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923CE3"/>
    <w:multiLevelType w:val="hybridMultilevel"/>
    <w:tmpl w:val="086A20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3261060"/>
    <w:multiLevelType w:val="hybridMultilevel"/>
    <w:tmpl w:val="EF54EF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5AE3882"/>
    <w:multiLevelType w:val="hybridMultilevel"/>
    <w:tmpl w:val="7520D4B0"/>
    <w:lvl w:ilvl="0" w:tplc="29CA78DE">
      <w:start w:val="2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503D13"/>
    <w:multiLevelType w:val="hybridMultilevel"/>
    <w:tmpl w:val="1C428964"/>
    <w:lvl w:ilvl="0" w:tplc="CE82D6C8">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72C1D"/>
    <w:multiLevelType w:val="hybridMultilevel"/>
    <w:tmpl w:val="4482C0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8A5A65"/>
    <w:multiLevelType w:val="hybridMultilevel"/>
    <w:tmpl w:val="A0069506"/>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38514C2F"/>
    <w:multiLevelType w:val="hybridMultilevel"/>
    <w:tmpl w:val="D71281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9176162"/>
    <w:multiLevelType w:val="hybridMultilevel"/>
    <w:tmpl w:val="69E4A714"/>
    <w:lvl w:ilvl="0" w:tplc="041A0001">
      <w:start w:val="1"/>
      <w:numFmt w:val="bullet"/>
      <w:lvlText w:val=""/>
      <w:lvlJc w:val="left"/>
      <w:pPr>
        <w:ind w:left="1008" w:hanging="360"/>
      </w:pPr>
      <w:rPr>
        <w:rFonts w:ascii="Symbol" w:hAnsi="Symbol" w:hint="default"/>
      </w:rPr>
    </w:lvl>
    <w:lvl w:ilvl="1" w:tplc="041A0003" w:tentative="1">
      <w:start w:val="1"/>
      <w:numFmt w:val="bullet"/>
      <w:lvlText w:val="o"/>
      <w:lvlJc w:val="left"/>
      <w:pPr>
        <w:ind w:left="1728" w:hanging="360"/>
      </w:pPr>
      <w:rPr>
        <w:rFonts w:ascii="Courier New" w:hAnsi="Courier New" w:cs="Courier New" w:hint="default"/>
      </w:rPr>
    </w:lvl>
    <w:lvl w:ilvl="2" w:tplc="041A0005" w:tentative="1">
      <w:start w:val="1"/>
      <w:numFmt w:val="bullet"/>
      <w:lvlText w:val=""/>
      <w:lvlJc w:val="left"/>
      <w:pPr>
        <w:ind w:left="2448" w:hanging="360"/>
      </w:pPr>
      <w:rPr>
        <w:rFonts w:ascii="Wingdings" w:hAnsi="Wingdings" w:hint="default"/>
      </w:rPr>
    </w:lvl>
    <w:lvl w:ilvl="3" w:tplc="041A0001" w:tentative="1">
      <w:start w:val="1"/>
      <w:numFmt w:val="bullet"/>
      <w:lvlText w:val=""/>
      <w:lvlJc w:val="left"/>
      <w:pPr>
        <w:ind w:left="3168" w:hanging="360"/>
      </w:pPr>
      <w:rPr>
        <w:rFonts w:ascii="Symbol" w:hAnsi="Symbol" w:hint="default"/>
      </w:rPr>
    </w:lvl>
    <w:lvl w:ilvl="4" w:tplc="041A0003" w:tentative="1">
      <w:start w:val="1"/>
      <w:numFmt w:val="bullet"/>
      <w:lvlText w:val="o"/>
      <w:lvlJc w:val="left"/>
      <w:pPr>
        <w:ind w:left="3888" w:hanging="360"/>
      </w:pPr>
      <w:rPr>
        <w:rFonts w:ascii="Courier New" w:hAnsi="Courier New" w:cs="Courier New" w:hint="default"/>
      </w:rPr>
    </w:lvl>
    <w:lvl w:ilvl="5" w:tplc="041A0005" w:tentative="1">
      <w:start w:val="1"/>
      <w:numFmt w:val="bullet"/>
      <w:lvlText w:val=""/>
      <w:lvlJc w:val="left"/>
      <w:pPr>
        <w:ind w:left="4608" w:hanging="360"/>
      </w:pPr>
      <w:rPr>
        <w:rFonts w:ascii="Wingdings" w:hAnsi="Wingdings" w:hint="default"/>
      </w:rPr>
    </w:lvl>
    <w:lvl w:ilvl="6" w:tplc="041A0001" w:tentative="1">
      <w:start w:val="1"/>
      <w:numFmt w:val="bullet"/>
      <w:lvlText w:val=""/>
      <w:lvlJc w:val="left"/>
      <w:pPr>
        <w:ind w:left="5328" w:hanging="360"/>
      </w:pPr>
      <w:rPr>
        <w:rFonts w:ascii="Symbol" w:hAnsi="Symbol" w:hint="default"/>
      </w:rPr>
    </w:lvl>
    <w:lvl w:ilvl="7" w:tplc="041A0003" w:tentative="1">
      <w:start w:val="1"/>
      <w:numFmt w:val="bullet"/>
      <w:lvlText w:val="o"/>
      <w:lvlJc w:val="left"/>
      <w:pPr>
        <w:ind w:left="6048" w:hanging="360"/>
      </w:pPr>
      <w:rPr>
        <w:rFonts w:ascii="Courier New" w:hAnsi="Courier New" w:cs="Courier New" w:hint="default"/>
      </w:rPr>
    </w:lvl>
    <w:lvl w:ilvl="8" w:tplc="041A0005" w:tentative="1">
      <w:start w:val="1"/>
      <w:numFmt w:val="bullet"/>
      <w:lvlText w:val=""/>
      <w:lvlJc w:val="left"/>
      <w:pPr>
        <w:ind w:left="6768" w:hanging="360"/>
      </w:pPr>
      <w:rPr>
        <w:rFonts w:ascii="Wingdings" w:hAnsi="Wingdings" w:hint="default"/>
      </w:rPr>
    </w:lvl>
  </w:abstractNum>
  <w:abstractNum w:abstractNumId="14" w15:restartNumberingAfterBreak="0">
    <w:nsid w:val="3CCA4CCF"/>
    <w:multiLevelType w:val="multilevel"/>
    <w:tmpl w:val="C830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F4214"/>
    <w:multiLevelType w:val="hybridMultilevel"/>
    <w:tmpl w:val="9C16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37754"/>
    <w:multiLevelType w:val="hybridMultilevel"/>
    <w:tmpl w:val="5EE2A080"/>
    <w:lvl w:ilvl="0" w:tplc="041A0001">
      <w:start w:val="1"/>
      <w:numFmt w:val="bullet"/>
      <w:lvlText w:val=""/>
      <w:lvlJc w:val="left"/>
      <w:pPr>
        <w:ind w:left="1008" w:hanging="360"/>
      </w:pPr>
      <w:rPr>
        <w:rFonts w:ascii="Symbol" w:hAnsi="Symbol" w:hint="default"/>
      </w:rPr>
    </w:lvl>
    <w:lvl w:ilvl="1" w:tplc="041A0003" w:tentative="1">
      <w:start w:val="1"/>
      <w:numFmt w:val="bullet"/>
      <w:lvlText w:val="o"/>
      <w:lvlJc w:val="left"/>
      <w:pPr>
        <w:ind w:left="1728" w:hanging="360"/>
      </w:pPr>
      <w:rPr>
        <w:rFonts w:ascii="Courier New" w:hAnsi="Courier New" w:cs="Courier New" w:hint="default"/>
      </w:rPr>
    </w:lvl>
    <w:lvl w:ilvl="2" w:tplc="041A0005" w:tentative="1">
      <w:start w:val="1"/>
      <w:numFmt w:val="bullet"/>
      <w:lvlText w:val=""/>
      <w:lvlJc w:val="left"/>
      <w:pPr>
        <w:ind w:left="2448" w:hanging="360"/>
      </w:pPr>
      <w:rPr>
        <w:rFonts w:ascii="Wingdings" w:hAnsi="Wingdings" w:hint="default"/>
      </w:rPr>
    </w:lvl>
    <w:lvl w:ilvl="3" w:tplc="041A0001" w:tentative="1">
      <w:start w:val="1"/>
      <w:numFmt w:val="bullet"/>
      <w:lvlText w:val=""/>
      <w:lvlJc w:val="left"/>
      <w:pPr>
        <w:ind w:left="3168" w:hanging="360"/>
      </w:pPr>
      <w:rPr>
        <w:rFonts w:ascii="Symbol" w:hAnsi="Symbol" w:hint="default"/>
      </w:rPr>
    </w:lvl>
    <w:lvl w:ilvl="4" w:tplc="041A0003" w:tentative="1">
      <w:start w:val="1"/>
      <w:numFmt w:val="bullet"/>
      <w:lvlText w:val="o"/>
      <w:lvlJc w:val="left"/>
      <w:pPr>
        <w:ind w:left="3888" w:hanging="360"/>
      </w:pPr>
      <w:rPr>
        <w:rFonts w:ascii="Courier New" w:hAnsi="Courier New" w:cs="Courier New" w:hint="default"/>
      </w:rPr>
    </w:lvl>
    <w:lvl w:ilvl="5" w:tplc="041A0005" w:tentative="1">
      <w:start w:val="1"/>
      <w:numFmt w:val="bullet"/>
      <w:lvlText w:val=""/>
      <w:lvlJc w:val="left"/>
      <w:pPr>
        <w:ind w:left="4608" w:hanging="360"/>
      </w:pPr>
      <w:rPr>
        <w:rFonts w:ascii="Wingdings" w:hAnsi="Wingdings" w:hint="default"/>
      </w:rPr>
    </w:lvl>
    <w:lvl w:ilvl="6" w:tplc="041A0001" w:tentative="1">
      <w:start w:val="1"/>
      <w:numFmt w:val="bullet"/>
      <w:lvlText w:val=""/>
      <w:lvlJc w:val="left"/>
      <w:pPr>
        <w:ind w:left="5328" w:hanging="360"/>
      </w:pPr>
      <w:rPr>
        <w:rFonts w:ascii="Symbol" w:hAnsi="Symbol" w:hint="default"/>
      </w:rPr>
    </w:lvl>
    <w:lvl w:ilvl="7" w:tplc="041A0003" w:tentative="1">
      <w:start w:val="1"/>
      <w:numFmt w:val="bullet"/>
      <w:lvlText w:val="o"/>
      <w:lvlJc w:val="left"/>
      <w:pPr>
        <w:ind w:left="6048" w:hanging="360"/>
      </w:pPr>
      <w:rPr>
        <w:rFonts w:ascii="Courier New" w:hAnsi="Courier New" w:cs="Courier New" w:hint="default"/>
      </w:rPr>
    </w:lvl>
    <w:lvl w:ilvl="8" w:tplc="041A0005" w:tentative="1">
      <w:start w:val="1"/>
      <w:numFmt w:val="bullet"/>
      <w:lvlText w:val=""/>
      <w:lvlJc w:val="left"/>
      <w:pPr>
        <w:ind w:left="6768" w:hanging="360"/>
      </w:pPr>
      <w:rPr>
        <w:rFonts w:ascii="Wingdings" w:hAnsi="Wingdings" w:hint="default"/>
      </w:rPr>
    </w:lvl>
  </w:abstractNum>
  <w:abstractNum w:abstractNumId="17" w15:restartNumberingAfterBreak="0">
    <w:nsid w:val="4D6C7E7B"/>
    <w:multiLevelType w:val="hybridMultilevel"/>
    <w:tmpl w:val="F09C4B48"/>
    <w:lvl w:ilvl="0" w:tplc="704CB55E">
      <w:start w:val="1"/>
      <w:numFmt w:val="bullet"/>
      <w:lvlText w:val=""/>
      <w:lvlJc w:val="left"/>
      <w:pPr>
        <w:ind w:left="502"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DE05B70"/>
    <w:multiLevelType w:val="hybridMultilevel"/>
    <w:tmpl w:val="5780361C"/>
    <w:lvl w:ilvl="0" w:tplc="041A0005">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50F22437"/>
    <w:multiLevelType w:val="hybridMultilevel"/>
    <w:tmpl w:val="1AFA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B5C10"/>
    <w:multiLevelType w:val="hybridMultilevel"/>
    <w:tmpl w:val="CA92B966"/>
    <w:lvl w:ilvl="0" w:tplc="644C2E22">
      <w:start w:val="392"/>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AD6006F"/>
    <w:multiLevelType w:val="hybridMultilevel"/>
    <w:tmpl w:val="9F5CFD68"/>
    <w:lvl w:ilvl="0" w:tplc="041A0001">
      <w:start w:val="1"/>
      <w:numFmt w:val="bullet"/>
      <w:lvlText w:val=""/>
      <w:lvlJc w:val="left"/>
      <w:pPr>
        <w:ind w:left="1008" w:hanging="360"/>
      </w:pPr>
      <w:rPr>
        <w:rFonts w:ascii="Symbol" w:hAnsi="Symbol" w:hint="default"/>
      </w:rPr>
    </w:lvl>
    <w:lvl w:ilvl="1" w:tplc="041A0003" w:tentative="1">
      <w:start w:val="1"/>
      <w:numFmt w:val="bullet"/>
      <w:lvlText w:val="o"/>
      <w:lvlJc w:val="left"/>
      <w:pPr>
        <w:ind w:left="1728" w:hanging="360"/>
      </w:pPr>
      <w:rPr>
        <w:rFonts w:ascii="Courier New" w:hAnsi="Courier New" w:cs="Courier New" w:hint="default"/>
      </w:rPr>
    </w:lvl>
    <w:lvl w:ilvl="2" w:tplc="041A0005" w:tentative="1">
      <w:start w:val="1"/>
      <w:numFmt w:val="bullet"/>
      <w:lvlText w:val=""/>
      <w:lvlJc w:val="left"/>
      <w:pPr>
        <w:ind w:left="2448" w:hanging="360"/>
      </w:pPr>
      <w:rPr>
        <w:rFonts w:ascii="Wingdings" w:hAnsi="Wingdings" w:hint="default"/>
      </w:rPr>
    </w:lvl>
    <w:lvl w:ilvl="3" w:tplc="041A0001" w:tentative="1">
      <w:start w:val="1"/>
      <w:numFmt w:val="bullet"/>
      <w:lvlText w:val=""/>
      <w:lvlJc w:val="left"/>
      <w:pPr>
        <w:ind w:left="3168" w:hanging="360"/>
      </w:pPr>
      <w:rPr>
        <w:rFonts w:ascii="Symbol" w:hAnsi="Symbol" w:hint="default"/>
      </w:rPr>
    </w:lvl>
    <w:lvl w:ilvl="4" w:tplc="041A0003" w:tentative="1">
      <w:start w:val="1"/>
      <w:numFmt w:val="bullet"/>
      <w:lvlText w:val="o"/>
      <w:lvlJc w:val="left"/>
      <w:pPr>
        <w:ind w:left="3888" w:hanging="360"/>
      </w:pPr>
      <w:rPr>
        <w:rFonts w:ascii="Courier New" w:hAnsi="Courier New" w:cs="Courier New" w:hint="default"/>
      </w:rPr>
    </w:lvl>
    <w:lvl w:ilvl="5" w:tplc="041A0005" w:tentative="1">
      <w:start w:val="1"/>
      <w:numFmt w:val="bullet"/>
      <w:lvlText w:val=""/>
      <w:lvlJc w:val="left"/>
      <w:pPr>
        <w:ind w:left="4608" w:hanging="360"/>
      </w:pPr>
      <w:rPr>
        <w:rFonts w:ascii="Wingdings" w:hAnsi="Wingdings" w:hint="default"/>
      </w:rPr>
    </w:lvl>
    <w:lvl w:ilvl="6" w:tplc="041A0001" w:tentative="1">
      <w:start w:val="1"/>
      <w:numFmt w:val="bullet"/>
      <w:lvlText w:val=""/>
      <w:lvlJc w:val="left"/>
      <w:pPr>
        <w:ind w:left="5328" w:hanging="360"/>
      </w:pPr>
      <w:rPr>
        <w:rFonts w:ascii="Symbol" w:hAnsi="Symbol" w:hint="default"/>
      </w:rPr>
    </w:lvl>
    <w:lvl w:ilvl="7" w:tplc="041A0003" w:tentative="1">
      <w:start w:val="1"/>
      <w:numFmt w:val="bullet"/>
      <w:lvlText w:val="o"/>
      <w:lvlJc w:val="left"/>
      <w:pPr>
        <w:ind w:left="6048" w:hanging="360"/>
      </w:pPr>
      <w:rPr>
        <w:rFonts w:ascii="Courier New" w:hAnsi="Courier New" w:cs="Courier New" w:hint="default"/>
      </w:rPr>
    </w:lvl>
    <w:lvl w:ilvl="8" w:tplc="041A0005" w:tentative="1">
      <w:start w:val="1"/>
      <w:numFmt w:val="bullet"/>
      <w:lvlText w:val=""/>
      <w:lvlJc w:val="left"/>
      <w:pPr>
        <w:ind w:left="6768" w:hanging="360"/>
      </w:pPr>
      <w:rPr>
        <w:rFonts w:ascii="Wingdings" w:hAnsi="Wingdings" w:hint="default"/>
      </w:rPr>
    </w:lvl>
  </w:abstractNum>
  <w:abstractNum w:abstractNumId="22" w15:restartNumberingAfterBreak="0">
    <w:nsid w:val="5B593FCB"/>
    <w:multiLevelType w:val="hybridMultilevel"/>
    <w:tmpl w:val="49C8F2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D711004"/>
    <w:multiLevelType w:val="hybridMultilevel"/>
    <w:tmpl w:val="22BCF5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0A13C1B"/>
    <w:multiLevelType w:val="hybridMultilevel"/>
    <w:tmpl w:val="333A9AFE"/>
    <w:lvl w:ilvl="0" w:tplc="704C8898">
      <w:numFmt w:val="bullet"/>
      <w:lvlText w:val="-"/>
      <w:lvlJc w:val="left"/>
      <w:pPr>
        <w:tabs>
          <w:tab w:val="num" w:pos="360"/>
        </w:tabs>
        <w:ind w:left="360" w:hanging="360"/>
      </w:pPr>
      <w:rPr>
        <w:rFonts w:ascii="Arial" w:eastAsia="Times New Roman" w:hAnsi="Arial" w:cs="Arial" w:hint="default"/>
        <w:b/>
        <w:color w:val="auto"/>
        <w:sz w:val="22"/>
      </w:rPr>
    </w:lvl>
    <w:lvl w:ilvl="1" w:tplc="041A0003" w:tentative="1">
      <w:start w:val="1"/>
      <w:numFmt w:val="bullet"/>
      <w:lvlText w:val="o"/>
      <w:lvlJc w:val="left"/>
      <w:pPr>
        <w:tabs>
          <w:tab w:val="num" w:pos="1232"/>
        </w:tabs>
        <w:ind w:left="1232" w:hanging="360"/>
      </w:pPr>
      <w:rPr>
        <w:rFonts w:ascii="Courier New" w:hAnsi="Courier New" w:cs="Courier New" w:hint="default"/>
      </w:rPr>
    </w:lvl>
    <w:lvl w:ilvl="2" w:tplc="041A0005" w:tentative="1">
      <w:start w:val="1"/>
      <w:numFmt w:val="bullet"/>
      <w:lvlText w:val=""/>
      <w:lvlJc w:val="left"/>
      <w:pPr>
        <w:tabs>
          <w:tab w:val="num" w:pos="1952"/>
        </w:tabs>
        <w:ind w:left="1952" w:hanging="360"/>
      </w:pPr>
      <w:rPr>
        <w:rFonts w:ascii="Wingdings" w:hAnsi="Wingdings" w:hint="default"/>
      </w:rPr>
    </w:lvl>
    <w:lvl w:ilvl="3" w:tplc="041A0001" w:tentative="1">
      <w:start w:val="1"/>
      <w:numFmt w:val="bullet"/>
      <w:lvlText w:val=""/>
      <w:lvlJc w:val="left"/>
      <w:pPr>
        <w:tabs>
          <w:tab w:val="num" w:pos="2672"/>
        </w:tabs>
        <w:ind w:left="2672" w:hanging="360"/>
      </w:pPr>
      <w:rPr>
        <w:rFonts w:ascii="Symbol" w:hAnsi="Symbol" w:hint="default"/>
      </w:rPr>
    </w:lvl>
    <w:lvl w:ilvl="4" w:tplc="041A0003" w:tentative="1">
      <w:start w:val="1"/>
      <w:numFmt w:val="bullet"/>
      <w:lvlText w:val="o"/>
      <w:lvlJc w:val="left"/>
      <w:pPr>
        <w:tabs>
          <w:tab w:val="num" w:pos="3392"/>
        </w:tabs>
        <w:ind w:left="3392" w:hanging="360"/>
      </w:pPr>
      <w:rPr>
        <w:rFonts w:ascii="Courier New" w:hAnsi="Courier New" w:cs="Courier New" w:hint="default"/>
      </w:rPr>
    </w:lvl>
    <w:lvl w:ilvl="5" w:tplc="041A0005" w:tentative="1">
      <w:start w:val="1"/>
      <w:numFmt w:val="bullet"/>
      <w:lvlText w:val=""/>
      <w:lvlJc w:val="left"/>
      <w:pPr>
        <w:tabs>
          <w:tab w:val="num" w:pos="4112"/>
        </w:tabs>
        <w:ind w:left="4112" w:hanging="360"/>
      </w:pPr>
      <w:rPr>
        <w:rFonts w:ascii="Wingdings" w:hAnsi="Wingdings" w:hint="default"/>
      </w:rPr>
    </w:lvl>
    <w:lvl w:ilvl="6" w:tplc="041A0001" w:tentative="1">
      <w:start w:val="1"/>
      <w:numFmt w:val="bullet"/>
      <w:lvlText w:val=""/>
      <w:lvlJc w:val="left"/>
      <w:pPr>
        <w:tabs>
          <w:tab w:val="num" w:pos="4832"/>
        </w:tabs>
        <w:ind w:left="4832" w:hanging="360"/>
      </w:pPr>
      <w:rPr>
        <w:rFonts w:ascii="Symbol" w:hAnsi="Symbol" w:hint="default"/>
      </w:rPr>
    </w:lvl>
    <w:lvl w:ilvl="7" w:tplc="041A0003" w:tentative="1">
      <w:start w:val="1"/>
      <w:numFmt w:val="bullet"/>
      <w:lvlText w:val="o"/>
      <w:lvlJc w:val="left"/>
      <w:pPr>
        <w:tabs>
          <w:tab w:val="num" w:pos="5552"/>
        </w:tabs>
        <w:ind w:left="5552" w:hanging="360"/>
      </w:pPr>
      <w:rPr>
        <w:rFonts w:ascii="Courier New" w:hAnsi="Courier New" w:cs="Courier New" w:hint="default"/>
      </w:rPr>
    </w:lvl>
    <w:lvl w:ilvl="8" w:tplc="041A0005" w:tentative="1">
      <w:start w:val="1"/>
      <w:numFmt w:val="bullet"/>
      <w:lvlText w:val=""/>
      <w:lvlJc w:val="left"/>
      <w:pPr>
        <w:tabs>
          <w:tab w:val="num" w:pos="6272"/>
        </w:tabs>
        <w:ind w:left="6272" w:hanging="360"/>
      </w:pPr>
      <w:rPr>
        <w:rFonts w:ascii="Wingdings" w:hAnsi="Wingdings" w:hint="default"/>
      </w:rPr>
    </w:lvl>
  </w:abstractNum>
  <w:abstractNum w:abstractNumId="25" w15:restartNumberingAfterBreak="0">
    <w:nsid w:val="62215647"/>
    <w:multiLevelType w:val="hybridMultilevel"/>
    <w:tmpl w:val="376E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A20A2B"/>
    <w:multiLevelType w:val="hybridMultilevel"/>
    <w:tmpl w:val="54ACDE0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B0E53FE"/>
    <w:multiLevelType w:val="hybridMultilevel"/>
    <w:tmpl w:val="17625456"/>
    <w:lvl w:ilvl="0" w:tplc="E178473A">
      <w:start w:val="1"/>
      <w:numFmt w:val="bullet"/>
      <w:lvlText w:val=""/>
      <w:lvlJc w:val="left"/>
      <w:pPr>
        <w:tabs>
          <w:tab w:val="num" w:pos="360"/>
        </w:tabs>
        <w:ind w:left="360" w:hanging="360"/>
      </w:pPr>
      <w:rPr>
        <w:rFonts w:ascii="Wingdings" w:hAnsi="Wingdings" w:hint="default"/>
        <w:b/>
        <w:color w:val="1F4E79" w:themeColor="accent1" w:themeShade="80"/>
        <w:sz w:val="28"/>
        <w:szCs w:val="28"/>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6CB15A9"/>
    <w:multiLevelType w:val="hybridMultilevel"/>
    <w:tmpl w:val="46A8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7535D"/>
    <w:multiLevelType w:val="hybridMultilevel"/>
    <w:tmpl w:val="BE540E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B69436C"/>
    <w:multiLevelType w:val="hybridMultilevel"/>
    <w:tmpl w:val="458EE83C"/>
    <w:lvl w:ilvl="0" w:tplc="041A0005">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1" w15:restartNumberingAfterBreak="0">
    <w:nsid w:val="7E931AC3"/>
    <w:multiLevelType w:val="hybridMultilevel"/>
    <w:tmpl w:val="C71AA4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30"/>
  </w:num>
  <w:num w:numId="4">
    <w:abstractNumId w:val="2"/>
  </w:num>
  <w:num w:numId="5">
    <w:abstractNumId w:val="22"/>
  </w:num>
  <w:num w:numId="6">
    <w:abstractNumId w:val="17"/>
  </w:num>
  <w:num w:numId="7">
    <w:abstractNumId w:val="9"/>
  </w:num>
  <w:num w:numId="8">
    <w:abstractNumId w:val="7"/>
  </w:num>
  <w:num w:numId="9">
    <w:abstractNumId w:val="0"/>
  </w:num>
  <w:num w:numId="10">
    <w:abstractNumId w:val="10"/>
  </w:num>
  <w:num w:numId="11">
    <w:abstractNumId w:val="8"/>
  </w:num>
  <w:num w:numId="12">
    <w:abstractNumId w:val="26"/>
  </w:num>
  <w:num w:numId="13">
    <w:abstractNumId w:val="12"/>
  </w:num>
  <w:num w:numId="14">
    <w:abstractNumId w:val="23"/>
  </w:num>
  <w:num w:numId="15">
    <w:abstractNumId w:val="19"/>
  </w:num>
  <w:num w:numId="16">
    <w:abstractNumId w:val="18"/>
  </w:num>
  <w:num w:numId="17">
    <w:abstractNumId w:val="15"/>
  </w:num>
  <w:num w:numId="18">
    <w:abstractNumId w:val="13"/>
  </w:num>
  <w:num w:numId="19">
    <w:abstractNumId w:val="21"/>
  </w:num>
  <w:num w:numId="20">
    <w:abstractNumId w:val="16"/>
  </w:num>
  <w:num w:numId="21">
    <w:abstractNumId w:val="1"/>
  </w:num>
  <w:num w:numId="22">
    <w:abstractNumId w:val="11"/>
  </w:num>
  <w:num w:numId="23">
    <w:abstractNumId w:val="6"/>
  </w:num>
  <w:num w:numId="24">
    <w:abstractNumId w:val="29"/>
  </w:num>
  <w:num w:numId="25">
    <w:abstractNumId w:val="20"/>
  </w:num>
  <w:num w:numId="26">
    <w:abstractNumId w:val="5"/>
  </w:num>
  <w:num w:numId="27">
    <w:abstractNumId w:val="31"/>
  </w:num>
  <w:num w:numId="28">
    <w:abstractNumId w:val="4"/>
  </w:num>
  <w:num w:numId="29">
    <w:abstractNumId w:val="28"/>
  </w:num>
  <w:num w:numId="30">
    <w:abstractNumId w:val="14"/>
  </w:num>
  <w:num w:numId="31">
    <w:abstractNumId w:val="12"/>
  </w:num>
  <w:num w:numId="32">
    <w:abstractNumId w:val="25"/>
  </w:num>
  <w:num w:numId="33">
    <w:abstractNumId w:val="20"/>
  </w:num>
  <w:num w:numId="34">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EC"/>
    <w:rsid w:val="00000CEB"/>
    <w:rsid w:val="000013EB"/>
    <w:rsid w:val="000014BF"/>
    <w:rsid w:val="00002316"/>
    <w:rsid w:val="00003261"/>
    <w:rsid w:val="00003D81"/>
    <w:rsid w:val="00004BC7"/>
    <w:rsid w:val="00004D71"/>
    <w:rsid w:val="00005475"/>
    <w:rsid w:val="000056F1"/>
    <w:rsid w:val="00005C2F"/>
    <w:rsid w:val="00005D28"/>
    <w:rsid w:val="00006093"/>
    <w:rsid w:val="0000794B"/>
    <w:rsid w:val="00010F74"/>
    <w:rsid w:val="000128C6"/>
    <w:rsid w:val="000128ED"/>
    <w:rsid w:val="00012BB8"/>
    <w:rsid w:val="00013642"/>
    <w:rsid w:val="00013AC7"/>
    <w:rsid w:val="00014E56"/>
    <w:rsid w:val="000156F2"/>
    <w:rsid w:val="00015BA5"/>
    <w:rsid w:val="00016753"/>
    <w:rsid w:val="000172C8"/>
    <w:rsid w:val="00017DFC"/>
    <w:rsid w:val="000201C6"/>
    <w:rsid w:val="00020FAE"/>
    <w:rsid w:val="00021247"/>
    <w:rsid w:val="00022206"/>
    <w:rsid w:val="000229DA"/>
    <w:rsid w:val="00022E92"/>
    <w:rsid w:val="00023518"/>
    <w:rsid w:val="000235BD"/>
    <w:rsid w:val="00023A07"/>
    <w:rsid w:val="00023BFA"/>
    <w:rsid w:val="00024F7D"/>
    <w:rsid w:val="00025270"/>
    <w:rsid w:val="0002549B"/>
    <w:rsid w:val="00025955"/>
    <w:rsid w:val="00025E76"/>
    <w:rsid w:val="00025EA9"/>
    <w:rsid w:val="000260F8"/>
    <w:rsid w:val="000273CC"/>
    <w:rsid w:val="0002782C"/>
    <w:rsid w:val="00027851"/>
    <w:rsid w:val="0003087D"/>
    <w:rsid w:val="00030B72"/>
    <w:rsid w:val="00030C92"/>
    <w:rsid w:val="00030F9F"/>
    <w:rsid w:val="00031B0C"/>
    <w:rsid w:val="00031E86"/>
    <w:rsid w:val="00031F60"/>
    <w:rsid w:val="00034074"/>
    <w:rsid w:val="00034714"/>
    <w:rsid w:val="00034F37"/>
    <w:rsid w:val="000368A7"/>
    <w:rsid w:val="000369AF"/>
    <w:rsid w:val="00040D9A"/>
    <w:rsid w:val="00041BB6"/>
    <w:rsid w:val="0004256B"/>
    <w:rsid w:val="000432DC"/>
    <w:rsid w:val="000441EF"/>
    <w:rsid w:val="000448A7"/>
    <w:rsid w:val="000462A8"/>
    <w:rsid w:val="0004657B"/>
    <w:rsid w:val="00046CA1"/>
    <w:rsid w:val="00047F70"/>
    <w:rsid w:val="00047FBC"/>
    <w:rsid w:val="00052231"/>
    <w:rsid w:val="00052830"/>
    <w:rsid w:val="00053615"/>
    <w:rsid w:val="00053895"/>
    <w:rsid w:val="00053AE8"/>
    <w:rsid w:val="00054041"/>
    <w:rsid w:val="000543EC"/>
    <w:rsid w:val="00054B24"/>
    <w:rsid w:val="00055375"/>
    <w:rsid w:val="000553CC"/>
    <w:rsid w:val="00055980"/>
    <w:rsid w:val="000559BA"/>
    <w:rsid w:val="00055C05"/>
    <w:rsid w:val="00055FCC"/>
    <w:rsid w:val="0005675E"/>
    <w:rsid w:val="000610AF"/>
    <w:rsid w:val="00061301"/>
    <w:rsid w:val="0006151D"/>
    <w:rsid w:val="000624D0"/>
    <w:rsid w:val="00062569"/>
    <w:rsid w:val="000628D3"/>
    <w:rsid w:val="00062F60"/>
    <w:rsid w:val="000644B8"/>
    <w:rsid w:val="00065185"/>
    <w:rsid w:val="00065260"/>
    <w:rsid w:val="000658B0"/>
    <w:rsid w:val="000664C5"/>
    <w:rsid w:val="00066595"/>
    <w:rsid w:val="00066AE6"/>
    <w:rsid w:val="00066B62"/>
    <w:rsid w:val="00066FDF"/>
    <w:rsid w:val="00067375"/>
    <w:rsid w:val="000676CB"/>
    <w:rsid w:val="000677B0"/>
    <w:rsid w:val="00067B75"/>
    <w:rsid w:val="00067C31"/>
    <w:rsid w:val="00067D10"/>
    <w:rsid w:val="00067E8E"/>
    <w:rsid w:val="00070408"/>
    <w:rsid w:val="00070661"/>
    <w:rsid w:val="0007093B"/>
    <w:rsid w:val="00070B5D"/>
    <w:rsid w:val="0007267C"/>
    <w:rsid w:val="0007301A"/>
    <w:rsid w:val="00073758"/>
    <w:rsid w:val="00073872"/>
    <w:rsid w:val="00073E9C"/>
    <w:rsid w:val="000761C7"/>
    <w:rsid w:val="00076536"/>
    <w:rsid w:val="000772A5"/>
    <w:rsid w:val="0007766A"/>
    <w:rsid w:val="00077C6D"/>
    <w:rsid w:val="00080B13"/>
    <w:rsid w:val="000812C1"/>
    <w:rsid w:val="00081549"/>
    <w:rsid w:val="000816C5"/>
    <w:rsid w:val="000817ED"/>
    <w:rsid w:val="00083825"/>
    <w:rsid w:val="00084274"/>
    <w:rsid w:val="00084375"/>
    <w:rsid w:val="000847BA"/>
    <w:rsid w:val="00085FFC"/>
    <w:rsid w:val="0008712D"/>
    <w:rsid w:val="000910D7"/>
    <w:rsid w:val="00092140"/>
    <w:rsid w:val="000928C4"/>
    <w:rsid w:val="00092969"/>
    <w:rsid w:val="0009306D"/>
    <w:rsid w:val="00093B7F"/>
    <w:rsid w:val="00094CF6"/>
    <w:rsid w:val="0009578A"/>
    <w:rsid w:val="000957BC"/>
    <w:rsid w:val="0009618F"/>
    <w:rsid w:val="000976E0"/>
    <w:rsid w:val="00097F85"/>
    <w:rsid w:val="000A02E3"/>
    <w:rsid w:val="000A03E7"/>
    <w:rsid w:val="000A04AB"/>
    <w:rsid w:val="000A05B5"/>
    <w:rsid w:val="000A0F8A"/>
    <w:rsid w:val="000A16DE"/>
    <w:rsid w:val="000A1C1D"/>
    <w:rsid w:val="000A1DE6"/>
    <w:rsid w:val="000A1F43"/>
    <w:rsid w:val="000A2290"/>
    <w:rsid w:val="000A24D9"/>
    <w:rsid w:val="000A2C96"/>
    <w:rsid w:val="000A3507"/>
    <w:rsid w:val="000A3814"/>
    <w:rsid w:val="000A3E03"/>
    <w:rsid w:val="000A44F6"/>
    <w:rsid w:val="000A52E1"/>
    <w:rsid w:val="000A56DC"/>
    <w:rsid w:val="000A6234"/>
    <w:rsid w:val="000A6C21"/>
    <w:rsid w:val="000A6C9E"/>
    <w:rsid w:val="000A6CBB"/>
    <w:rsid w:val="000A71EB"/>
    <w:rsid w:val="000A753D"/>
    <w:rsid w:val="000A7A71"/>
    <w:rsid w:val="000A7DB5"/>
    <w:rsid w:val="000B09CF"/>
    <w:rsid w:val="000B149B"/>
    <w:rsid w:val="000B17DB"/>
    <w:rsid w:val="000B1D2D"/>
    <w:rsid w:val="000B2606"/>
    <w:rsid w:val="000B3661"/>
    <w:rsid w:val="000B425E"/>
    <w:rsid w:val="000B4516"/>
    <w:rsid w:val="000B4F13"/>
    <w:rsid w:val="000B5625"/>
    <w:rsid w:val="000B5733"/>
    <w:rsid w:val="000B5818"/>
    <w:rsid w:val="000B5922"/>
    <w:rsid w:val="000B5AEE"/>
    <w:rsid w:val="000B6806"/>
    <w:rsid w:val="000B6A69"/>
    <w:rsid w:val="000B7046"/>
    <w:rsid w:val="000B7186"/>
    <w:rsid w:val="000B7365"/>
    <w:rsid w:val="000C060C"/>
    <w:rsid w:val="000C1CFF"/>
    <w:rsid w:val="000C2895"/>
    <w:rsid w:val="000C2D6F"/>
    <w:rsid w:val="000C301C"/>
    <w:rsid w:val="000C327F"/>
    <w:rsid w:val="000C442B"/>
    <w:rsid w:val="000C456C"/>
    <w:rsid w:val="000C46D5"/>
    <w:rsid w:val="000C509B"/>
    <w:rsid w:val="000C54B8"/>
    <w:rsid w:val="000C5B36"/>
    <w:rsid w:val="000C5DB6"/>
    <w:rsid w:val="000C6064"/>
    <w:rsid w:val="000D31FD"/>
    <w:rsid w:val="000D3472"/>
    <w:rsid w:val="000D380D"/>
    <w:rsid w:val="000D399C"/>
    <w:rsid w:val="000D4515"/>
    <w:rsid w:val="000D5357"/>
    <w:rsid w:val="000D5BCB"/>
    <w:rsid w:val="000D5E00"/>
    <w:rsid w:val="000D5E24"/>
    <w:rsid w:val="000D67DB"/>
    <w:rsid w:val="000D6950"/>
    <w:rsid w:val="000D7C58"/>
    <w:rsid w:val="000E00DC"/>
    <w:rsid w:val="000E07A3"/>
    <w:rsid w:val="000E0820"/>
    <w:rsid w:val="000E0E7A"/>
    <w:rsid w:val="000E1DDB"/>
    <w:rsid w:val="000E1E11"/>
    <w:rsid w:val="000E24C1"/>
    <w:rsid w:val="000E25E8"/>
    <w:rsid w:val="000E295D"/>
    <w:rsid w:val="000E3410"/>
    <w:rsid w:val="000E3631"/>
    <w:rsid w:val="000E375E"/>
    <w:rsid w:val="000E3B3B"/>
    <w:rsid w:val="000E3ECA"/>
    <w:rsid w:val="000E45A9"/>
    <w:rsid w:val="000E5427"/>
    <w:rsid w:val="000E54E3"/>
    <w:rsid w:val="000E5859"/>
    <w:rsid w:val="000E58B7"/>
    <w:rsid w:val="000E6729"/>
    <w:rsid w:val="000E68B6"/>
    <w:rsid w:val="000E69DA"/>
    <w:rsid w:val="000F1279"/>
    <w:rsid w:val="000F18BD"/>
    <w:rsid w:val="000F1FE3"/>
    <w:rsid w:val="000F233A"/>
    <w:rsid w:val="000F27D4"/>
    <w:rsid w:val="000F2CF6"/>
    <w:rsid w:val="000F2E5C"/>
    <w:rsid w:val="000F350A"/>
    <w:rsid w:val="000F3DD0"/>
    <w:rsid w:val="000F3EA0"/>
    <w:rsid w:val="000F4A5A"/>
    <w:rsid w:val="000F4BBB"/>
    <w:rsid w:val="000F4D73"/>
    <w:rsid w:val="000F530A"/>
    <w:rsid w:val="000F53E4"/>
    <w:rsid w:val="000F679F"/>
    <w:rsid w:val="000F6ACF"/>
    <w:rsid w:val="000F7705"/>
    <w:rsid w:val="0010013A"/>
    <w:rsid w:val="001004A0"/>
    <w:rsid w:val="00100B3C"/>
    <w:rsid w:val="0010129C"/>
    <w:rsid w:val="00101AF2"/>
    <w:rsid w:val="00101FE3"/>
    <w:rsid w:val="001023F6"/>
    <w:rsid w:val="00102DFD"/>
    <w:rsid w:val="00103186"/>
    <w:rsid w:val="00103462"/>
    <w:rsid w:val="001036AE"/>
    <w:rsid w:val="0010399B"/>
    <w:rsid w:val="0010471B"/>
    <w:rsid w:val="00104D66"/>
    <w:rsid w:val="00105388"/>
    <w:rsid w:val="00105C84"/>
    <w:rsid w:val="00105FD5"/>
    <w:rsid w:val="001062A5"/>
    <w:rsid w:val="001067AF"/>
    <w:rsid w:val="00106821"/>
    <w:rsid w:val="00106887"/>
    <w:rsid w:val="00106AC5"/>
    <w:rsid w:val="00107A52"/>
    <w:rsid w:val="00107FD7"/>
    <w:rsid w:val="00110A70"/>
    <w:rsid w:val="00111747"/>
    <w:rsid w:val="001118BE"/>
    <w:rsid w:val="0011217A"/>
    <w:rsid w:val="001128A9"/>
    <w:rsid w:val="00112F4C"/>
    <w:rsid w:val="001131E9"/>
    <w:rsid w:val="00113858"/>
    <w:rsid w:val="001149D2"/>
    <w:rsid w:val="00115321"/>
    <w:rsid w:val="00115A9C"/>
    <w:rsid w:val="00115C2F"/>
    <w:rsid w:val="00116039"/>
    <w:rsid w:val="001164CB"/>
    <w:rsid w:val="0011654B"/>
    <w:rsid w:val="001171D1"/>
    <w:rsid w:val="001172A9"/>
    <w:rsid w:val="0012049D"/>
    <w:rsid w:val="00120E47"/>
    <w:rsid w:val="00121A8D"/>
    <w:rsid w:val="00122475"/>
    <w:rsid w:val="00123A64"/>
    <w:rsid w:val="001243A3"/>
    <w:rsid w:val="001244B6"/>
    <w:rsid w:val="00124582"/>
    <w:rsid w:val="00125744"/>
    <w:rsid w:val="00125C48"/>
    <w:rsid w:val="00126005"/>
    <w:rsid w:val="00126193"/>
    <w:rsid w:val="00130208"/>
    <w:rsid w:val="00130857"/>
    <w:rsid w:val="00130874"/>
    <w:rsid w:val="00130B1B"/>
    <w:rsid w:val="001310AA"/>
    <w:rsid w:val="001315A7"/>
    <w:rsid w:val="00131857"/>
    <w:rsid w:val="00131A91"/>
    <w:rsid w:val="001321F1"/>
    <w:rsid w:val="001326D5"/>
    <w:rsid w:val="001326F0"/>
    <w:rsid w:val="00133588"/>
    <w:rsid w:val="00134CAF"/>
    <w:rsid w:val="001351DB"/>
    <w:rsid w:val="00135879"/>
    <w:rsid w:val="0013589B"/>
    <w:rsid w:val="001361D0"/>
    <w:rsid w:val="001367C4"/>
    <w:rsid w:val="00136936"/>
    <w:rsid w:val="001373D1"/>
    <w:rsid w:val="00137DD9"/>
    <w:rsid w:val="00137F07"/>
    <w:rsid w:val="0014086D"/>
    <w:rsid w:val="00141FE6"/>
    <w:rsid w:val="001427C8"/>
    <w:rsid w:val="00142A56"/>
    <w:rsid w:val="00142AD5"/>
    <w:rsid w:val="001430EA"/>
    <w:rsid w:val="001441C4"/>
    <w:rsid w:val="00144694"/>
    <w:rsid w:val="001448BE"/>
    <w:rsid w:val="00144EAB"/>
    <w:rsid w:val="00145627"/>
    <w:rsid w:val="00145876"/>
    <w:rsid w:val="00145C33"/>
    <w:rsid w:val="00147026"/>
    <w:rsid w:val="001470F6"/>
    <w:rsid w:val="001471D1"/>
    <w:rsid w:val="00147FF5"/>
    <w:rsid w:val="00150583"/>
    <w:rsid w:val="00150886"/>
    <w:rsid w:val="0015171B"/>
    <w:rsid w:val="001521A3"/>
    <w:rsid w:val="00152FE2"/>
    <w:rsid w:val="001536DF"/>
    <w:rsid w:val="00153A20"/>
    <w:rsid w:val="00153CD6"/>
    <w:rsid w:val="00154D08"/>
    <w:rsid w:val="00154FF1"/>
    <w:rsid w:val="001552EF"/>
    <w:rsid w:val="00155331"/>
    <w:rsid w:val="00156413"/>
    <w:rsid w:val="0015719B"/>
    <w:rsid w:val="00157757"/>
    <w:rsid w:val="00157C81"/>
    <w:rsid w:val="00157EEF"/>
    <w:rsid w:val="00160994"/>
    <w:rsid w:val="00161485"/>
    <w:rsid w:val="00161541"/>
    <w:rsid w:val="00162350"/>
    <w:rsid w:val="00162778"/>
    <w:rsid w:val="00164D5E"/>
    <w:rsid w:val="00164F94"/>
    <w:rsid w:val="001657C6"/>
    <w:rsid w:val="00165F09"/>
    <w:rsid w:val="00165FAA"/>
    <w:rsid w:val="001662A8"/>
    <w:rsid w:val="00166393"/>
    <w:rsid w:val="0016753D"/>
    <w:rsid w:val="0016765E"/>
    <w:rsid w:val="001705F2"/>
    <w:rsid w:val="0017086F"/>
    <w:rsid w:val="00170999"/>
    <w:rsid w:val="00170D0D"/>
    <w:rsid w:val="00170F1A"/>
    <w:rsid w:val="00172D56"/>
    <w:rsid w:val="00174041"/>
    <w:rsid w:val="001747E6"/>
    <w:rsid w:val="001748E4"/>
    <w:rsid w:val="00174AEC"/>
    <w:rsid w:val="00174DD7"/>
    <w:rsid w:val="001757FD"/>
    <w:rsid w:val="00175D32"/>
    <w:rsid w:val="00176B0A"/>
    <w:rsid w:val="00176EEF"/>
    <w:rsid w:val="00176F9A"/>
    <w:rsid w:val="001771F9"/>
    <w:rsid w:val="001776E5"/>
    <w:rsid w:val="001779AB"/>
    <w:rsid w:val="00177C56"/>
    <w:rsid w:val="00180315"/>
    <w:rsid w:val="00180938"/>
    <w:rsid w:val="0018104D"/>
    <w:rsid w:val="00181194"/>
    <w:rsid w:val="00181666"/>
    <w:rsid w:val="00181C66"/>
    <w:rsid w:val="001820A6"/>
    <w:rsid w:val="001821F8"/>
    <w:rsid w:val="00183734"/>
    <w:rsid w:val="00184F6F"/>
    <w:rsid w:val="0018728B"/>
    <w:rsid w:val="001877D4"/>
    <w:rsid w:val="00187CE2"/>
    <w:rsid w:val="001902E0"/>
    <w:rsid w:val="0019067F"/>
    <w:rsid w:val="00190A53"/>
    <w:rsid w:val="00190F0F"/>
    <w:rsid w:val="001934AB"/>
    <w:rsid w:val="0019386F"/>
    <w:rsid w:val="001949C6"/>
    <w:rsid w:val="00195652"/>
    <w:rsid w:val="00195BBB"/>
    <w:rsid w:val="00195BF6"/>
    <w:rsid w:val="001962CD"/>
    <w:rsid w:val="00196AA9"/>
    <w:rsid w:val="00197355"/>
    <w:rsid w:val="0019781A"/>
    <w:rsid w:val="001979D0"/>
    <w:rsid w:val="001A0D0A"/>
    <w:rsid w:val="001A0D26"/>
    <w:rsid w:val="001A1F0E"/>
    <w:rsid w:val="001A2666"/>
    <w:rsid w:val="001A268E"/>
    <w:rsid w:val="001A3B5B"/>
    <w:rsid w:val="001A4744"/>
    <w:rsid w:val="001A4809"/>
    <w:rsid w:val="001A5170"/>
    <w:rsid w:val="001A538A"/>
    <w:rsid w:val="001A5C76"/>
    <w:rsid w:val="001A6003"/>
    <w:rsid w:val="001A622B"/>
    <w:rsid w:val="001A63D5"/>
    <w:rsid w:val="001A69B4"/>
    <w:rsid w:val="001A6E32"/>
    <w:rsid w:val="001A709C"/>
    <w:rsid w:val="001A7C9A"/>
    <w:rsid w:val="001B00D6"/>
    <w:rsid w:val="001B0150"/>
    <w:rsid w:val="001B01D8"/>
    <w:rsid w:val="001B0C6C"/>
    <w:rsid w:val="001B0F8E"/>
    <w:rsid w:val="001B1081"/>
    <w:rsid w:val="001B1A36"/>
    <w:rsid w:val="001B3B65"/>
    <w:rsid w:val="001B4729"/>
    <w:rsid w:val="001B4E2A"/>
    <w:rsid w:val="001B559E"/>
    <w:rsid w:val="001B5915"/>
    <w:rsid w:val="001B63E0"/>
    <w:rsid w:val="001B6C71"/>
    <w:rsid w:val="001B707D"/>
    <w:rsid w:val="001B7083"/>
    <w:rsid w:val="001B7B22"/>
    <w:rsid w:val="001C0CD4"/>
    <w:rsid w:val="001C1470"/>
    <w:rsid w:val="001C1B27"/>
    <w:rsid w:val="001C1F4F"/>
    <w:rsid w:val="001C1FE0"/>
    <w:rsid w:val="001C26D4"/>
    <w:rsid w:val="001C2737"/>
    <w:rsid w:val="001C479F"/>
    <w:rsid w:val="001C4A86"/>
    <w:rsid w:val="001C534B"/>
    <w:rsid w:val="001C53BA"/>
    <w:rsid w:val="001C5CD4"/>
    <w:rsid w:val="001C6B01"/>
    <w:rsid w:val="001C71CD"/>
    <w:rsid w:val="001C7375"/>
    <w:rsid w:val="001C78BF"/>
    <w:rsid w:val="001C7978"/>
    <w:rsid w:val="001D0790"/>
    <w:rsid w:val="001D14FA"/>
    <w:rsid w:val="001D1544"/>
    <w:rsid w:val="001D1996"/>
    <w:rsid w:val="001D19A9"/>
    <w:rsid w:val="001D1A60"/>
    <w:rsid w:val="001D1B7C"/>
    <w:rsid w:val="001D22DC"/>
    <w:rsid w:val="001D2E08"/>
    <w:rsid w:val="001D3434"/>
    <w:rsid w:val="001D3725"/>
    <w:rsid w:val="001D49B4"/>
    <w:rsid w:val="001D520D"/>
    <w:rsid w:val="001D5BFC"/>
    <w:rsid w:val="001D6849"/>
    <w:rsid w:val="001D7444"/>
    <w:rsid w:val="001D7FE6"/>
    <w:rsid w:val="001E0171"/>
    <w:rsid w:val="001E02E1"/>
    <w:rsid w:val="001E0792"/>
    <w:rsid w:val="001E0DDD"/>
    <w:rsid w:val="001E105F"/>
    <w:rsid w:val="001E1127"/>
    <w:rsid w:val="001E2304"/>
    <w:rsid w:val="001E236E"/>
    <w:rsid w:val="001E237D"/>
    <w:rsid w:val="001E2716"/>
    <w:rsid w:val="001E2EF1"/>
    <w:rsid w:val="001E2FB4"/>
    <w:rsid w:val="001E36A9"/>
    <w:rsid w:val="001E3E47"/>
    <w:rsid w:val="001E4A1C"/>
    <w:rsid w:val="001E590F"/>
    <w:rsid w:val="001E6264"/>
    <w:rsid w:val="001E63E4"/>
    <w:rsid w:val="001E7D99"/>
    <w:rsid w:val="001F0B39"/>
    <w:rsid w:val="001F23C5"/>
    <w:rsid w:val="001F2662"/>
    <w:rsid w:val="001F3F08"/>
    <w:rsid w:val="001F4ACA"/>
    <w:rsid w:val="001F4F48"/>
    <w:rsid w:val="001F53B3"/>
    <w:rsid w:val="001F5BA3"/>
    <w:rsid w:val="001F5D55"/>
    <w:rsid w:val="001F6381"/>
    <w:rsid w:val="001F6395"/>
    <w:rsid w:val="001F73E3"/>
    <w:rsid w:val="001F7908"/>
    <w:rsid w:val="002003E3"/>
    <w:rsid w:val="0020172C"/>
    <w:rsid w:val="00201B1B"/>
    <w:rsid w:val="00201ED2"/>
    <w:rsid w:val="00202F01"/>
    <w:rsid w:val="00203007"/>
    <w:rsid w:val="002032EA"/>
    <w:rsid w:val="002034A5"/>
    <w:rsid w:val="00203C72"/>
    <w:rsid w:val="00203E6E"/>
    <w:rsid w:val="002048E0"/>
    <w:rsid w:val="0020535D"/>
    <w:rsid w:val="00205D0A"/>
    <w:rsid w:val="00206285"/>
    <w:rsid w:val="002065CD"/>
    <w:rsid w:val="002069C9"/>
    <w:rsid w:val="00206ED1"/>
    <w:rsid w:val="002076F0"/>
    <w:rsid w:val="002105AE"/>
    <w:rsid w:val="00210754"/>
    <w:rsid w:val="002109DD"/>
    <w:rsid w:val="00210D4E"/>
    <w:rsid w:val="0021146A"/>
    <w:rsid w:val="00211A59"/>
    <w:rsid w:val="00211CC2"/>
    <w:rsid w:val="00211E67"/>
    <w:rsid w:val="002125E9"/>
    <w:rsid w:val="00212A91"/>
    <w:rsid w:val="00212E71"/>
    <w:rsid w:val="00212FC8"/>
    <w:rsid w:val="0021402B"/>
    <w:rsid w:val="00214034"/>
    <w:rsid w:val="002140F2"/>
    <w:rsid w:val="002141E6"/>
    <w:rsid w:val="002144E3"/>
    <w:rsid w:val="00215455"/>
    <w:rsid w:val="002160CE"/>
    <w:rsid w:val="002162A0"/>
    <w:rsid w:val="0021661E"/>
    <w:rsid w:val="0021666B"/>
    <w:rsid w:val="002205E5"/>
    <w:rsid w:val="00220DD3"/>
    <w:rsid w:val="00221098"/>
    <w:rsid w:val="002211E7"/>
    <w:rsid w:val="002224F1"/>
    <w:rsid w:val="00222E2E"/>
    <w:rsid w:val="00222F54"/>
    <w:rsid w:val="00223C20"/>
    <w:rsid w:val="002241BC"/>
    <w:rsid w:val="002248A7"/>
    <w:rsid w:val="00224A9F"/>
    <w:rsid w:val="00224F4E"/>
    <w:rsid w:val="002251DB"/>
    <w:rsid w:val="00225AB4"/>
    <w:rsid w:val="00226546"/>
    <w:rsid w:val="00226553"/>
    <w:rsid w:val="00226890"/>
    <w:rsid w:val="00226A99"/>
    <w:rsid w:val="002271E8"/>
    <w:rsid w:val="002278BE"/>
    <w:rsid w:val="00231829"/>
    <w:rsid w:val="002321E9"/>
    <w:rsid w:val="00232260"/>
    <w:rsid w:val="002323F8"/>
    <w:rsid w:val="00233104"/>
    <w:rsid w:val="002331F6"/>
    <w:rsid w:val="0023341B"/>
    <w:rsid w:val="002337CB"/>
    <w:rsid w:val="00233B75"/>
    <w:rsid w:val="00233B78"/>
    <w:rsid w:val="00233F3F"/>
    <w:rsid w:val="00234939"/>
    <w:rsid w:val="002354B1"/>
    <w:rsid w:val="00235ABE"/>
    <w:rsid w:val="002360EC"/>
    <w:rsid w:val="00236791"/>
    <w:rsid w:val="00236FEB"/>
    <w:rsid w:val="00237649"/>
    <w:rsid w:val="00237D97"/>
    <w:rsid w:val="00240990"/>
    <w:rsid w:val="0024105C"/>
    <w:rsid w:val="00241CD9"/>
    <w:rsid w:val="002427F3"/>
    <w:rsid w:val="00242D65"/>
    <w:rsid w:val="002430D9"/>
    <w:rsid w:val="002436BB"/>
    <w:rsid w:val="00245727"/>
    <w:rsid w:val="002462DD"/>
    <w:rsid w:val="00246AC9"/>
    <w:rsid w:val="00246F34"/>
    <w:rsid w:val="00247B4C"/>
    <w:rsid w:val="00250082"/>
    <w:rsid w:val="0025008E"/>
    <w:rsid w:val="0025054E"/>
    <w:rsid w:val="002508DC"/>
    <w:rsid w:val="002508FD"/>
    <w:rsid w:val="00250A65"/>
    <w:rsid w:val="0025112F"/>
    <w:rsid w:val="00251C2F"/>
    <w:rsid w:val="002530D9"/>
    <w:rsid w:val="00253886"/>
    <w:rsid w:val="00253ABF"/>
    <w:rsid w:val="0025406A"/>
    <w:rsid w:val="002545DC"/>
    <w:rsid w:val="00254AAC"/>
    <w:rsid w:val="002554D5"/>
    <w:rsid w:val="00255C40"/>
    <w:rsid w:val="00257986"/>
    <w:rsid w:val="00260960"/>
    <w:rsid w:val="00260B03"/>
    <w:rsid w:val="00260D9D"/>
    <w:rsid w:val="00260E94"/>
    <w:rsid w:val="002615BD"/>
    <w:rsid w:val="00261D6F"/>
    <w:rsid w:val="0026214C"/>
    <w:rsid w:val="00262CE0"/>
    <w:rsid w:val="00263052"/>
    <w:rsid w:val="002635A0"/>
    <w:rsid w:val="00263797"/>
    <w:rsid w:val="00263E78"/>
    <w:rsid w:val="00264900"/>
    <w:rsid w:val="002652F3"/>
    <w:rsid w:val="00265BAC"/>
    <w:rsid w:val="00266735"/>
    <w:rsid w:val="00267641"/>
    <w:rsid w:val="002677ED"/>
    <w:rsid w:val="00267AB3"/>
    <w:rsid w:val="0027112E"/>
    <w:rsid w:val="00272FCD"/>
    <w:rsid w:val="00273404"/>
    <w:rsid w:val="002735D2"/>
    <w:rsid w:val="0027468B"/>
    <w:rsid w:val="00274D36"/>
    <w:rsid w:val="00274E70"/>
    <w:rsid w:val="00274E85"/>
    <w:rsid w:val="00274F95"/>
    <w:rsid w:val="00275027"/>
    <w:rsid w:val="0027512E"/>
    <w:rsid w:val="00275545"/>
    <w:rsid w:val="002756BB"/>
    <w:rsid w:val="00276304"/>
    <w:rsid w:val="00276BF7"/>
    <w:rsid w:val="0027700C"/>
    <w:rsid w:val="00277456"/>
    <w:rsid w:val="0027751C"/>
    <w:rsid w:val="0027784F"/>
    <w:rsid w:val="002778BE"/>
    <w:rsid w:val="0028066E"/>
    <w:rsid w:val="0028106F"/>
    <w:rsid w:val="00281682"/>
    <w:rsid w:val="002819BB"/>
    <w:rsid w:val="00282219"/>
    <w:rsid w:val="00283114"/>
    <w:rsid w:val="002834A7"/>
    <w:rsid w:val="00285532"/>
    <w:rsid w:val="00285A5F"/>
    <w:rsid w:val="00286AB2"/>
    <w:rsid w:val="00287A92"/>
    <w:rsid w:val="00287D86"/>
    <w:rsid w:val="00290544"/>
    <w:rsid w:val="00290799"/>
    <w:rsid w:val="00290E91"/>
    <w:rsid w:val="0029252C"/>
    <w:rsid w:val="00292739"/>
    <w:rsid w:val="00292AA6"/>
    <w:rsid w:val="00293530"/>
    <w:rsid w:val="0029374E"/>
    <w:rsid w:val="00293B54"/>
    <w:rsid w:val="002944F6"/>
    <w:rsid w:val="00294A40"/>
    <w:rsid w:val="00294C25"/>
    <w:rsid w:val="00294FD1"/>
    <w:rsid w:val="00295DEB"/>
    <w:rsid w:val="00296B9C"/>
    <w:rsid w:val="002978DC"/>
    <w:rsid w:val="00297A03"/>
    <w:rsid w:val="00297E54"/>
    <w:rsid w:val="002A0D7A"/>
    <w:rsid w:val="002A19E6"/>
    <w:rsid w:val="002A1C12"/>
    <w:rsid w:val="002A25BE"/>
    <w:rsid w:val="002A2A6C"/>
    <w:rsid w:val="002A2DAB"/>
    <w:rsid w:val="002A2F45"/>
    <w:rsid w:val="002A311C"/>
    <w:rsid w:val="002A36BB"/>
    <w:rsid w:val="002A393E"/>
    <w:rsid w:val="002A3E94"/>
    <w:rsid w:val="002A3ED0"/>
    <w:rsid w:val="002A400B"/>
    <w:rsid w:val="002A4AA0"/>
    <w:rsid w:val="002A4D39"/>
    <w:rsid w:val="002A4D9B"/>
    <w:rsid w:val="002A4F07"/>
    <w:rsid w:val="002A5C5B"/>
    <w:rsid w:val="002A62E5"/>
    <w:rsid w:val="002A6C4A"/>
    <w:rsid w:val="002A77BE"/>
    <w:rsid w:val="002B009A"/>
    <w:rsid w:val="002B0294"/>
    <w:rsid w:val="002B1335"/>
    <w:rsid w:val="002B174E"/>
    <w:rsid w:val="002B1F65"/>
    <w:rsid w:val="002B27EE"/>
    <w:rsid w:val="002B2B46"/>
    <w:rsid w:val="002B37F8"/>
    <w:rsid w:val="002B3AE7"/>
    <w:rsid w:val="002B3CE9"/>
    <w:rsid w:val="002B3F20"/>
    <w:rsid w:val="002B40AF"/>
    <w:rsid w:val="002B5486"/>
    <w:rsid w:val="002B5801"/>
    <w:rsid w:val="002B5A5A"/>
    <w:rsid w:val="002B5B16"/>
    <w:rsid w:val="002B5C49"/>
    <w:rsid w:val="002B5D64"/>
    <w:rsid w:val="002B638C"/>
    <w:rsid w:val="002C0A21"/>
    <w:rsid w:val="002C0D4D"/>
    <w:rsid w:val="002C0D58"/>
    <w:rsid w:val="002C29E2"/>
    <w:rsid w:val="002C41F8"/>
    <w:rsid w:val="002C5DB7"/>
    <w:rsid w:val="002C5E0C"/>
    <w:rsid w:val="002C6556"/>
    <w:rsid w:val="002C65DB"/>
    <w:rsid w:val="002C67EC"/>
    <w:rsid w:val="002C69C7"/>
    <w:rsid w:val="002C7509"/>
    <w:rsid w:val="002C77E8"/>
    <w:rsid w:val="002C7826"/>
    <w:rsid w:val="002C7880"/>
    <w:rsid w:val="002C7B4D"/>
    <w:rsid w:val="002D04EE"/>
    <w:rsid w:val="002D11E1"/>
    <w:rsid w:val="002D1351"/>
    <w:rsid w:val="002D1931"/>
    <w:rsid w:val="002D1A50"/>
    <w:rsid w:val="002D3385"/>
    <w:rsid w:val="002D3AE0"/>
    <w:rsid w:val="002D3DE4"/>
    <w:rsid w:val="002D41E3"/>
    <w:rsid w:val="002D4746"/>
    <w:rsid w:val="002D4E47"/>
    <w:rsid w:val="002D4E66"/>
    <w:rsid w:val="002D4EB8"/>
    <w:rsid w:val="002D4ED4"/>
    <w:rsid w:val="002D4F13"/>
    <w:rsid w:val="002D5CC3"/>
    <w:rsid w:val="002D6B65"/>
    <w:rsid w:val="002D7210"/>
    <w:rsid w:val="002E0B09"/>
    <w:rsid w:val="002E18FB"/>
    <w:rsid w:val="002E1938"/>
    <w:rsid w:val="002E31B3"/>
    <w:rsid w:val="002E364E"/>
    <w:rsid w:val="002E5160"/>
    <w:rsid w:val="002E521E"/>
    <w:rsid w:val="002E6AEF"/>
    <w:rsid w:val="002E70F4"/>
    <w:rsid w:val="002E7AF5"/>
    <w:rsid w:val="002F0146"/>
    <w:rsid w:val="002F0320"/>
    <w:rsid w:val="002F114F"/>
    <w:rsid w:val="002F145C"/>
    <w:rsid w:val="002F2E2F"/>
    <w:rsid w:val="002F2E34"/>
    <w:rsid w:val="002F30A6"/>
    <w:rsid w:val="002F31CC"/>
    <w:rsid w:val="002F354B"/>
    <w:rsid w:val="002F377A"/>
    <w:rsid w:val="002F3AE8"/>
    <w:rsid w:val="002F3DFF"/>
    <w:rsid w:val="002F3FD7"/>
    <w:rsid w:val="002F4BA0"/>
    <w:rsid w:val="002F67AE"/>
    <w:rsid w:val="002F6AF1"/>
    <w:rsid w:val="002F6AF2"/>
    <w:rsid w:val="002F6B2D"/>
    <w:rsid w:val="002F7544"/>
    <w:rsid w:val="002F7AEB"/>
    <w:rsid w:val="002F7C2B"/>
    <w:rsid w:val="002F7DB4"/>
    <w:rsid w:val="0030123F"/>
    <w:rsid w:val="003014FE"/>
    <w:rsid w:val="00301AA3"/>
    <w:rsid w:val="00302329"/>
    <w:rsid w:val="00302490"/>
    <w:rsid w:val="003029BE"/>
    <w:rsid w:val="00302C17"/>
    <w:rsid w:val="00302E9E"/>
    <w:rsid w:val="00303A08"/>
    <w:rsid w:val="00303BF7"/>
    <w:rsid w:val="00303FBC"/>
    <w:rsid w:val="003043A5"/>
    <w:rsid w:val="00304F63"/>
    <w:rsid w:val="003058C1"/>
    <w:rsid w:val="00306B33"/>
    <w:rsid w:val="00306E1B"/>
    <w:rsid w:val="00306EF4"/>
    <w:rsid w:val="003078F3"/>
    <w:rsid w:val="00307C39"/>
    <w:rsid w:val="003106B7"/>
    <w:rsid w:val="003111E2"/>
    <w:rsid w:val="00311790"/>
    <w:rsid w:val="00312605"/>
    <w:rsid w:val="0031277F"/>
    <w:rsid w:val="003132DD"/>
    <w:rsid w:val="00313479"/>
    <w:rsid w:val="00313DEC"/>
    <w:rsid w:val="00314CB2"/>
    <w:rsid w:val="00316290"/>
    <w:rsid w:val="0031697A"/>
    <w:rsid w:val="00320620"/>
    <w:rsid w:val="00321D91"/>
    <w:rsid w:val="003224C0"/>
    <w:rsid w:val="0032252A"/>
    <w:rsid w:val="00322B39"/>
    <w:rsid w:val="00322E18"/>
    <w:rsid w:val="003236C6"/>
    <w:rsid w:val="003237FD"/>
    <w:rsid w:val="00323815"/>
    <w:rsid w:val="0032383C"/>
    <w:rsid w:val="003239B3"/>
    <w:rsid w:val="003255AB"/>
    <w:rsid w:val="0032584B"/>
    <w:rsid w:val="00325E50"/>
    <w:rsid w:val="003274FA"/>
    <w:rsid w:val="00327E36"/>
    <w:rsid w:val="003300CB"/>
    <w:rsid w:val="003306CD"/>
    <w:rsid w:val="0033176F"/>
    <w:rsid w:val="00331D92"/>
    <w:rsid w:val="00331DD7"/>
    <w:rsid w:val="003324D4"/>
    <w:rsid w:val="00333643"/>
    <w:rsid w:val="00333A78"/>
    <w:rsid w:val="0033402E"/>
    <w:rsid w:val="003341B9"/>
    <w:rsid w:val="00334904"/>
    <w:rsid w:val="0033520D"/>
    <w:rsid w:val="00335637"/>
    <w:rsid w:val="00335AD4"/>
    <w:rsid w:val="003360D1"/>
    <w:rsid w:val="003361B2"/>
    <w:rsid w:val="0033666B"/>
    <w:rsid w:val="00337AEB"/>
    <w:rsid w:val="00337C0D"/>
    <w:rsid w:val="00337E15"/>
    <w:rsid w:val="00340B4D"/>
    <w:rsid w:val="00340DE6"/>
    <w:rsid w:val="00340E2A"/>
    <w:rsid w:val="0034190F"/>
    <w:rsid w:val="00342522"/>
    <w:rsid w:val="00342DDC"/>
    <w:rsid w:val="003430E2"/>
    <w:rsid w:val="003442BE"/>
    <w:rsid w:val="00344819"/>
    <w:rsid w:val="0034526A"/>
    <w:rsid w:val="00345901"/>
    <w:rsid w:val="00345C4A"/>
    <w:rsid w:val="00346635"/>
    <w:rsid w:val="00346813"/>
    <w:rsid w:val="003475FE"/>
    <w:rsid w:val="00347977"/>
    <w:rsid w:val="0035040F"/>
    <w:rsid w:val="00350615"/>
    <w:rsid w:val="00351184"/>
    <w:rsid w:val="00351B91"/>
    <w:rsid w:val="0035256C"/>
    <w:rsid w:val="00352FA4"/>
    <w:rsid w:val="00352FBE"/>
    <w:rsid w:val="0035305E"/>
    <w:rsid w:val="00355026"/>
    <w:rsid w:val="0035625B"/>
    <w:rsid w:val="0035633A"/>
    <w:rsid w:val="00357439"/>
    <w:rsid w:val="003602C3"/>
    <w:rsid w:val="0036032E"/>
    <w:rsid w:val="00360620"/>
    <w:rsid w:val="00360A5B"/>
    <w:rsid w:val="00361744"/>
    <w:rsid w:val="00361895"/>
    <w:rsid w:val="0036283D"/>
    <w:rsid w:val="0036298E"/>
    <w:rsid w:val="00362EC8"/>
    <w:rsid w:val="003636EC"/>
    <w:rsid w:val="0036388E"/>
    <w:rsid w:val="00364464"/>
    <w:rsid w:val="00364CBB"/>
    <w:rsid w:val="00364E41"/>
    <w:rsid w:val="0036571D"/>
    <w:rsid w:val="00365870"/>
    <w:rsid w:val="00365EE5"/>
    <w:rsid w:val="00366857"/>
    <w:rsid w:val="00366CC7"/>
    <w:rsid w:val="00366FDB"/>
    <w:rsid w:val="0036702D"/>
    <w:rsid w:val="003676A5"/>
    <w:rsid w:val="003700AF"/>
    <w:rsid w:val="00370D07"/>
    <w:rsid w:val="00370F76"/>
    <w:rsid w:val="00370FC9"/>
    <w:rsid w:val="003711B0"/>
    <w:rsid w:val="00371678"/>
    <w:rsid w:val="00371FCD"/>
    <w:rsid w:val="003720C1"/>
    <w:rsid w:val="0037238A"/>
    <w:rsid w:val="00373193"/>
    <w:rsid w:val="00373BE6"/>
    <w:rsid w:val="00375014"/>
    <w:rsid w:val="00375C7E"/>
    <w:rsid w:val="00375DCF"/>
    <w:rsid w:val="0037600B"/>
    <w:rsid w:val="00376132"/>
    <w:rsid w:val="003767F9"/>
    <w:rsid w:val="00376904"/>
    <w:rsid w:val="00377510"/>
    <w:rsid w:val="00377A82"/>
    <w:rsid w:val="00377D48"/>
    <w:rsid w:val="003807C0"/>
    <w:rsid w:val="00380EFB"/>
    <w:rsid w:val="003812C2"/>
    <w:rsid w:val="0038163D"/>
    <w:rsid w:val="003818DF"/>
    <w:rsid w:val="00382240"/>
    <w:rsid w:val="00383397"/>
    <w:rsid w:val="00383B18"/>
    <w:rsid w:val="00384890"/>
    <w:rsid w:val="00384F6F"/>
    <w:rsid w:val="003856E0"/>
    <w:rsid w:val="00385DD0"/>
    <w:rsid w:val="00385E69"/>
    <w:rsid w:val="00386065"/>
    <w:rsid w:val="00386B99"/>
    <w:rsid w:val="0038785A"/>
    <w:rsid w:val="00387A70"/>
    <w:rsid w:val="00387B82"/>
    <w:rsid w:val="003900EC"/>
    <w:rsid w:val="00390124"/>
    <w:rsid w:val="00390392"/>
    <w:rsid w:val="0039048F"/>
    <w:rsid w:val="00390911"/>
    <w:rsid w:val="00391E1D"/>
    <w:rsid w:val="00391F4F"/>
    <w:rsid w:val="00391F87"/>
    <w:rsid w:val="00392E92"/>
    <w:rsid w:val="0039384E"/>
    <w:rsid w:val="003945F9"/>
    <w:rsid w:val="00394A47"/>
    <w:rsid w:val="0039581B"/>
    <w:rsid w:val="00396543"/>
    <w:rsid w:val="003965D6"/>
    <w:rsid w:val="003967C1"/>
    <w:rsid w:val="00396F20"/>
    <w:rsid w:val="003973C3"/>
    <w:rsid w:val="003977E9"/>
    <w:rsid w:val="00397E0C"/>
    <w:rsid w:val="003A0202"/>
    <w:rsid w:val="003A0AD7"/>
    <w:rsid w:val="003A16B1"/>
    <w:rsid w:val="003A19EB"/>
    <w:rsid w:val="003A1F1C"/>
    <w:rsid w:val="003A2181"/>
    <w:rsid w:val="003A2A86"/>
    <w:rsid w:val="003A2EF3"/>
    <w:rsid w:val="003A3555"/>
    <w:rsid w:val="003A42B4"/>
    <w:rsid w:val="003A4454"/>
    <w:rsid w:val="003A4818"/>
    <w:rsid w:val="003A4D3E"/>
    <w:rsid w:val="003A4DB6"/>
    <w:rsid w:val="003A5394"/>
    <w:rsid w:val="003A5C68"/>
    <w:rsid w:val="003A62A3"/>
    <w:rsid w:val="003A77D8"/>
    <w:rsid w:val="003B07C1"/>
    <w:rsid w:val="003B1131"/>
    <w:rsid w:val="003B1948"/>
    <w:rsid w:val="003B25DD"/>
    <w:rsid w:val="003B36D7"/>
    <w:rsid w:val="003B3CD1"/>
    <w:rsid w:val="003B3F88"/>
    <w:rsid w:val="003B440F"/>
    <w:rsid w:val="003B4751"/>
    <w:rsid w:val="003B47AA"/>
    <w:rsid w:val="003B5363"/>
    <w:rsid w:val="003B60B2"/>
    <w:rsid w:val="003B6A66"/>
    <w:rsid w:val="003B6BB2"/>
    <w:rsid w:val="003B6C4D"/>
    <w:rsid w:val="003B6F7D"/>
    <w:rsid w:val="003B714C"/>
    <w:rsid w:val="003B7A37"/>
    <w:rsid w:val="003B7AA8"/>
    <w:rsid w:val="003C0661"/>
    <w:rsid w:val="003C0A8F"/>
    <w:rsid w:val="003C0ADA"/>
    <w:rsid w:val="003C1F87"/>
    <w:rsid w:val="003C263A"/>
    <w:rsid w:val="003C291A"/>
    <w:rsid w:val="003C2CC7"/>
    <w:rsid w:val="003C51A7"/>
    <w:rsid w:val="003C598F"/>
    <w:rsid w:val="003C60B4"/>
    <w:rsid w:val="003C71E1"/>
    <w:rsid w:val="003C7DC5"/>
    <w:rsid w:val="003D019B"/>
    <w:rsid w:val="003D03BF"/>
    <w:rsid w:val="003D0A09"/>
    <w:rsid w:val="003D2474"/>
    <w:rsid w:val="003D3AFF"/>
    <w:rsid w:val="003D4143"/>
    <w:rsid w:val="003D4AE5"/>
    <w:rsid w:val="003D4D2C"/>
    <w:rsid w:val="003D537E"/>
    <w:rsid w:val="003D6801"/>
    <w:rsid w:val="003D7625"/>
    <w:rsid w:val="003E042B"/>
    <w:rsid w:val="003E0AC3"/>
    <w:rsid w:val="003E0AF3"/>
    <w:rsid w:val="003E0C93"/>
    <w:rsid w:val="003E1540"/>
    <w:rsid w:val="003E158C"/>
    <w:rsid w:val="003E20B3"/>
    <w:rsid w:val="003E2AF9"/>
    <w:rsid w:val="003E3150"/>
    <w:rsid w:val="003E3725"/>
    <w:rsid w:val="003E3DAF"/>
    <w:rsid w:val="003E41B6"/>
    <w:rsid w:val="003E4D8C"/>
    <w:rsid w:val="003E4DD0"/>
    <w:rsid w:val="003E4DE6"/>
    <w:rsid w:val="003E5462"/>
    <w:rsid w:val="003E55B3"/>
    <w:rsid w:val="003E5C74"/>
    <w:rsid w:val="003E5ED2"/>
    <w:rsid w:val="003E7168"/>
    <w:rsid w:val="003E7202"/>
    <w:rsid w:val="003E72C9"/>
    <w:rsid w:val="003E7996"/>
    <w:rsid w:val="003E7CA7"/>
    <w:rsid w:val="003F02BD"/>
    <w:rsid w:val="003F068D"/>
    <w:rsid w:val="003F17DB"/>
    <w:rsid w:val="003F1963"/>
    <w:rsid w:val="003F24E7"/>
    <w:rsid w:val="003F38F7"/>
    <w:rsid w:val="003F3A13"/>
    <w:rsid w:val="003F3CFE"/>
    <w:rsid w:val="003F40FC"/>
    <w:rsid w:val="003F41C4"/>
    <w:rsid w:val="003F4D19"/>
    <w:rsid w:val="003F63F6"/>
    <w:rsid w:val="003F65B7"/>
    <w:rsid w:val="003F681A"/>
    <w:rsid w:val="003F6E0F"/>
    <w:rsid w:val="003F72E9"/>
    <w:rsid w:val="003F77F0"/>
    <w:rsid w:val="004005C6"/>
    <w:rsid w:val="00400E58"/>
    <w:rsid w:val="0040179D"/>
    <w:rsid w:val="00401F23"/>
    <w:rsid w:val="00402483"/>
    <w:rsid w:val="0040268C"/>
    <w:rsid w:val="0040297D"/>
    <w:rsid w:val="00402FC3"/>
    <w:rsid w:val="00403520"/>
    <w:rsid w:val="004038CA"/>
    <w:rsid w:val="0040416F"/>
    <w:rsid w:val="00404360"/>
    <w:rsid w:val="004046BF"/>
    <w:rsid w:val="00404A3C"/>
    <w:rsid w:val="004062ED"/>
    <w:rsid w:val="0040635A"/>
    <w:rsid w:val="00407BF7"/>
    <w:rsid w:val="00407F41"/>
    <w:rsid w:val="00411A80"/>
    <w:rsid w:val="00412A12"/>
    <w:rsid w:val="00412A33"/>
    <w:rsid w:val="00413322"/>
    <w:rsid w:val="0041375F"/>
    <w:rsid w:val="0041416A"/>
    <w:rsid w:val="00414D86"/>
    <w:rsid w:val="004151CD"/>
    <w:rsid w:val="00415300"/>
    <w:rsid w:val="0041548B"/>
    <w:rsid w:val="00415546"/>
    <w:rsid w:val="004160DB"/>
    <w:rsid w:val="00417611"/>
    <w:rsid w:val="0041791E"/>
    <w:rsid w:val="004179B7"/>
    <w:rsid w:val="00417F4C"/>
    <w:rsid w:val="00420716"/>
    <w:rsid w:val="00420B8E"/>
    <w:rsid w:val="00421E2D"/>
    <w:rsid w:val="0042211D"/>
    <w:rsid w:val="00422B21"/>
    <w:rsid w:val="0042392F"/>
    <w:rsid w:val="00423AC3"/>
    <w:rsid w:val="00423B5F"/>
    <w:rsid w:val="00423D45"/>
    <w:rsid w:val="004240AA"/>
    <w:rsid w:val="0042447B"/>
    <w:rsid w:val="00424738"/>
    <w:rsid w:val="00424E39"/>
    <w:rsid w:val="00425481"/>
    <w:rsid w:val="00425DEA"/>
    <w:rsid w:val="004260A8"/>
    <w:rsid w:val="00426CDC"/>
    <w:rsid w:val="004279A3"/>
    <w:rsid w:val="004305DB"/>
    <w:rsid w:val="00430740"/>
    <w:rsid w:val="00431265"/>
    <w:rsid w:val="0043150E"/>
    <w:rsid w:val="00431CDE"/>
    <w:rsid w:val="00431D87"/>
    <w:rsid w:val="00432002"/>
    <w:rsid w:val="004326DE"/>
    <w:rsid w:val="004326FB"/>
    <w:rsid w:val="00433059"/>
    <w:rsid w:val="0043314B"/>
    <w:rsid w:val="004337DE"/>
    <w:rsid w:val="00433D88"/>
    <w:rsid w:val="00434344"/>
    <w:rsid w:val="00434867"/>
    <w:rsid w:val="00434B61"/>
    <w:rsid w:val="00435242"/>
    <w:rsid w:val="00435AFD"/>
    <w:rsid w:val="00435F90"/>
    <w:rsid w:val="00436002"/>
    <w:rsid w:val="0043606E"/>
    <w:rsid w:val="0043648D"/>
    <w:rsid w:val="004371F1"/>
    <w:rsid w:val="004379C2"/>
    <w:rsid w:val="00437DA2"/>
    <w:rsid w:val="00440D5C"/>
    <w:rsid w:val="00440FCA"/>
    <w:rsid w:val="0044132F"/>
    <w:rsid w:val="0044145C"/>
    <w:rsid w:val="004418E1"/>
    <w:rsid w:val="004435A9"/>
    <w:rsid w:val="00443FA2"/>
    <w:rsid w:val="0044459B"/>
    <w:rsid w:val="00444EAE"/>
    <w:rsid w:val="00444EBE"/>
    <w:rsid w:val="004459E1"/>
    <w:rsid w:val="00445B35"/>
    <w:rsid w:val="00446030"/>
    <w:rsid w:val="004463E7"/>
    <w:rsid w:val="00447B24"/>
    <w:rsid w:val="00450156"/>
    <w:rsid w:val="00450161"/>
    <w:rsid w:val="004536CF"/>
    <w:rsid w:val="00454528"/>
    <w:rsid w:val="004549CB"/>
    <w:rsid w:val="00455086"/>
    <w:rsid w:val="00455C7A"/>
    <w:rsid w:val="00455C8C"/>
    <w:rsid w:val="00455E8A"/>
    <w:rsid w:val="00455FB8"/>
    <w:rsid w:val="00456777"/>
    <w:rsid w:val="0045715E"/>
    <w:rsid w:val="0045759F"/>
    <w:rsid w:val="00460549"/>
    <w:rsid w:val="004606A9"/>
    <w:rsid w:val="0046129F"/>
    <w:rsid w:val="0046156B"/>
    <w:rsid w:val="0046182D"/>
    <w:rsid w:val="004625D8"/>
    <w:rsid w:val="004629BE"/>
    <w:rsid w:val="0046329D"/>
    <w:rsid w:val="004634D5"/>
    <w:rsid w:val="004637B5"/>
    <w:rsid w:val="004639B4"/>
    <w:rsid w:val="00463D21"/>
    <w:rsid w:val="0046433E"/>
    <w:rsid w:val="004647B0"/>
    <w:rsid w:val="0046485A"/>
    <w:rsid w:val="004651E4"/>
    <w:rsid w:val="004658AC"/>
    <w:rsid w:val="00465EDC"/>
    <w:rsid w:val="004665AB"/>
    <w:rsid w:val="004665D7"/>
    <w:rsid w:val="00466E07"/>
    <w:rsid w:val="0046745F"/>
    <w:rsid w:val="00467963"/>
    <w:rsid w:val="00467A4D"/>
    <w:rsid w:val="00470736"/>
    <w:rsid w:val="004714E6"/>
    <w:rsid w:val="00471D9B"/>
    <w:rsid w:val="00471DE7"/>
    <w:rsid w:val="0047204A"/>
    <w:rsid w:val="00472324"/>
    <w:rsid w:val="0047277B"/>
    <w:rsid w:val="004732DD"/>
    <w:rsid w:val="004748AB"/>
    <w:rsid w:val="0047541E"/>
    <w:rsid w:val="00475960"/>
    <w:rsid w:val="00475CB9"/>
    <w:rsid w:val="00476286"/>
    <w:rsid w:val="00476A7F"/>
    <w:rsid w:val="004770A8"/>
    <w:rsid w:val="00477C0F"/>
    <w:rsid w:val="00481A3D"/>
    <w:rsid w:val="00481D26"/>
    <w:rsid w:val="00481F77"/>
    <w:rsid w:val="00481FF0"/>
    <w:rsid w:val="00482573"/>
    <w:rsid w:val="00482D50"/>
    <w:rsid w:val="00483585"/>
    <w:rsid w:val="00484386"/>
    <w:rsid w:val="00484552"/>
    <w:rsid w:val="004849CB"/>
    <w:rsid w:val="004850D3"/>
    <w:rsid w:val="004908BC"/>
    <w:rsid w:val="004917E2"/>
    <w:rsid w:val="00492B78"/>
    <w:rsid w:val="00493C27"/>
    <w:rsid w:val="00494271"/>
    <w:rsid w:val="00494933"/>
    <w:rsid w:val="004960E9"/>
    <w:rsid w:val="00496890"/>
    <w:rsid w:val="004968BA"/>
    <w:rsid w:val="004974E7"/>
    <w:rsid w:val="004A03A9"/>
    <w:rsid w:val="004A0401"/>
    <w:rsid w:val="004A0CF8"/>
    <w:rsid w:val="004A2346"/>
    <w:rsid w:val="004A2C40"/>
    <w:rsid w:val="004A32FF"/>
    <w:rsid w:val="004A37C4"/>
    <w:rsid w:val="004A3A19"/>
    <w:rsid w:val="004A3ACC"/>
    <w:rsid w:val="004A43E2"/>
    <w:rsid w:val="004A4F55"/>
    <w:rsid w:val="004A5671"/>
    <w:rsid w:val="004A6118"/>
    <w:rsid w:val="004A6387"/>
    <w:rsid w:val="004A6FC0"/>
    <w:rsid w:val="004B03C6"/>
    <w:rsid w:val="004B0949"/>
    <w:rsid w:val="004B0968"/>
    <w:rsid w:val="004B16E6"/>
    <w:rsid w:val="004B2B59"/>
    <w:rsid w:val="004B49A9"/>
    <w:rsid w:val="004B52BF"/>
    <w:rsid w:val="004B5377"/>
    <w:rsid w:val="004B598E"/>
    <w:rsid w:val="004B5ACD"/>
    <w:rsid w:val="004B5CB7"/>
    <w:rsid w:val="004B684A"/>
    <w:rsid w:val="004B6C0C"/>
    <w:rsid w:val="004B6EB9"/>
    <w:rsid w:val="004B708A"/>
    <w:rsid w:val="004B73F8"/>
    <w:rsid w:val="004B753E"/>
    <w:rsid w:val="004B7F02"/>
    <w:rsid w:val="004C109B"/>
    <w:rsid w:val="004C18D8"/>
    <w:rsid w:val="004C254B"/>
    <w:rsid w:val="004C35B7"/>
    <w:rsid w:val="004C3F51"/>
    <w:rsid w:val="004C4251"/>
    <w:rsid w:val="004C51F9"/>
    <w:rsid w:val="004C520C"/>
    <w:rsid w:val="004C53B8"/>
    <w:rsid w:val="004C55E8"/>
    <w:rsid w:val="004C564C"/>
    <w:rsid w:val="004C580C"/>
    <w:rsid w:val="004C64A7"/>
    <w:rsid w:val="004C65E9"/>
    <w:rsid w:val="004C71F3"/>
    <w:rsid w:val="004C79D6"/>
    <w:rsid w:val="004C7F38"/>
    <w:rsid w:val="004D0526"/>
    <w:rsid w:val="004D212A"/>
    <w:rsid w:val="004D2CC4"/>
    <w:rsid w:val="004D3110"/>
    <w:rsid w:val="004D48FC"/>
    <w:rsid w:val="004D4B93"/>
    <w:rsid w:val="004D4C11"/>
    <w:rsid w:val="004D5A8B"/>
    <w:rsid w:val="004D634B"/>
    <w:rsid w:val="004D66AA"/>
    <w:rsid w:val="004D6F50"/>
    <w:rsid w:val="004D729D"/>
    <w:rsid w:val="004E0304"/>
    <w:rsid w:val="004E1AC4"/>
    <w:rsid w:val="004E1D52"/>
    <w:rsid w:val="004E20E4"/>
    <w:rsid w:val="004E2B18"/>
    <w:rsid w:val="004E3194"/>
    <w:rsid w:val="004E33DD"/>
    <w:rsid w:val="004E36D8"/>
    <w:rsid w:val="004E3B55"/>
    <w:rsid w:val="004E4085"/>
    <w:rsid w:val="004E47E6"/>
    <w:rsid w:val="004E4ACD"/>
    <w:rsid w:val="004E529A"/>
    <w:rsid w:val="004E5517"/>
    <w:rsid w:val="004E5EC2"/>
    <w:rsid w:val="004E6C6E"/>
    <w:rsid w:val="004E6DAA"/>
    <w:rsid w:val="004E78FB"/>
    <w:rsid w:val="004F07A9"/>
    <w:rsid w:val="004F10FF"/>
    <w:rsid w:val="004F133B"/>
    <w:rsid w:val="004F1CCB"/>
    <w:rsid w:val="004F244C"/>
    <w:rsid w:val="004F2977"/>
    <w:rsid w:val="004F2C4F"/>
    <w:rsid w:val="004F2FEC"/>
    <w:rsid w:val="004F31EE"/>
    <w:rsid w:val="004F3ECD"/>
    <w:rsid w:val="004F5884"/>
    <w:rsid w:val="004F6664"/>
    <w:rsid w:val="004F722A"/>
    <w:rsid w:val="004F78B6"/>
    <w:rsid w:val="004F7E95"/>
    <w:rsid w:val="00500198"/>
    <w:rsid w:val="005005CD"/>
    <w:rsid w:val="00500AC3"/>
    <w:rsid w:val="00501734"/>
    <w:rsid w:val="005018CD"/>
    <w:rsid w:val="00502423"/>
    <w:rsid w:val="00502591"/>
    <w:rsid w:val="005025B1"/>
    <w:rsid w:val="005032EC"/>
    <w:rsid w:val="005034B8"/>
    <w:rsid w:val="00503B73"/>
    <w:rsid w:val="00504203"/>
    <w:rsid w:val="00504F9C"/>
    <w:rsid w:val="00505082"/>
    <w:rsid w:val="00505134"/>
    <w:rsid w:val="005063FF"/>
    <w:rsid w:val="005065AA"/>
    <w:rsid w:val="00506D45"/>
    <w:rsid w:val="00510A74"/>
    <w:rsid w:val="00510B46"/>
    <w:rsid w:val="00511ACC"/>
    <w:rsid w:val="00511EB6"/>
    <w:rsid w:val="00512DEC"/>
    <w:rsid w:val="005136DC"/>
    <w:rsid w:val="0051461F"/>
    <w:rsid w:val="00514A34"/>
    <w:rsid w:val="005151E5"/>
    <w:rsid w:val="005174F2"/>
    <w:rsid w:val="00520C3F"/>
    <w:rsid w:val="005215C6"/>
    <w:rsid w:val="00521DE7"/>
    <w:rsid w:val="005220B7"/>
    <w:rsid w:val="0052212B"/>
    <w:rsid w:val="0052258A"/>
    <w:rsid w:val="005226B9"/>
    <w:rsid w:val="00522A8F"/>
    <w:rsid w:val="00522D83"/>
    <w:rsid w:val="005231C9"/>
    <w:rsid w:val="0052323A"/>
    <w:rsid w:val="00523BF1"/>
    <w:rsid w:val="005242B3"/>
    <w:rsid w:val="005242F6"/>
    <w:rsid w:val="0052447D"/>
    <w:rsid w:val="00524534"/>
    <w:rsid w:val="005253CB"/>
    <w:rsid w:val="005259FF"/>
    <w:rsid w:val="00525A5D"/>
    <w:rsid w:val="00525CD4"/>
    <w:rsid w:val="00525F67"/>
    <w:rsid w:val="0052668D"/>
    <w:rsid w:val="005269A2"/>
    <w:rsid w:val="00527E0F"/>
    <w:rsid w:val="00527F5A"/>
    <w:rsid w:val="00530078"/>
    <w:rsid w:val="00530391"/>
    <w:rsid w:val="00530BCF"/>
    <w:rsid w:val="00531867"/>
    <w:rsid w:val="00532F52"/>
    <w:rsid w:val="00534669"/>
    <w:rsid w:val="005352C3"/>
    <w:rsid w:val="0053569A"/>
    <w:rsid w:val="005356D9"/>
    <w:rsid w:val="005359C4"/>
    <w:rsid w:val="00535CF1"/>
    <w:rsid w:val="00536A64"/>
    <w:rsid w:val="00537056"/>
    <w:rsid w:val="005372AE"/>
    <w:rsid w:val="0054005A"/>
    <w:rsid w:val="0054088F"/>
    <w:rsid w:val="005415C2"/>
    <w:rsid w:val="00543036"/>
    <w:rsid w:val="00543D08"/>
    <w:rsid w:val="0054476B"/>
    <w:rsid w:val="00544C1D"/>
    <w:rsid w:val="00544DF4"/>
    <w:rsid w:val="0054588A"/>
    <w:rsid w:val="00545CB7"/>
    <w:rsid w:val="0054609E"/>
    <w:rsid w:val="005469C3"/>
    <w:rsid w:val="00546CE0"/>
    <w:rsid w:val="00547071"/>
    <w:rsid w:val="005471B0"/>
    <w:rsid w:val="00547649"/>
    <w:rsid w:val="00547904"/>
    <w:rsid w:val="00551697"/>
    <w:rsid w:val="00551A8B"/>
    <w:rsid w:val="00552237"/>
    <w:rsid w:val="00552472"/>
    <w:rsid w:val="00553254"/>
    <w:rsid w:val="005534B3"/>
    <w:rsid w:val="00553555"/>
    <w:rsid w:val="00553776"/>
    <w:rsid w:val="00553AE0"/>
    <w:rsid w:val="00554787"/>
    <w:rsid w:val="00556BD4"/>
    <w:rsid w:val="005603E3"/>
    <w:rsid w:val="00560E1C"/>
    <w:rsid w:val="00560E5B"/>
    <w:rsid w:val="00560E65"/>
    <w:rsid w:val="00561673"/>
    <w:rsid w:val="00561E16"/>
    <w:rsid w:val="00562884"/>
    <w:rsid w:val="00562BED"/>
    <w:rsid w:val="005635B9"/>
    <w:rsid w:val="005635DF"/>
    <w:rsid w:val="005640BC"/>
    <w:rsid w:val="005640C1"/>
    <w:rsid w:val="00564196"/>
    <w:rsid w:val="0056457B"/>
    <w:rsid w:val="00564F30"/>
    <w:rsid w:val="00564FAC"/>
    <w:rsid w:val="00564FBE"/>
    <w:rsid w:val="00565117"/>
    <w:rsid w:val="005654CD"/>
    <w:rsid w:val="005668F0"/>
    <w:rsid w:val="005669B7"/>
    <w:rsid w:val="00567CFD"/>
    <w:rsid w:val="00570184"/>
    <w:rsid w:val="0057035A"/>
    <w:rsid w:val="005703C5"/>
    <w:rsid w:val="0057057A"/>
    <w:rsid w:val="00571415"/>
    <w:rsid w:val="00571807"/>
    <w:rsid w:val="00571A0A"/>
    <w:rsid w:val="00571CEA"/>
    <w:rsid w:val="005720A3"/>
    <w:rsid w:val="00572579"/>
    <w:rsid w:val="00572BF3"/>
    <w:rsid w:val="00572C12"/>
    <w:rsid w:val="0057327F"/>
    <w:rsid w:val="005736BF"/>
    <w:rsid w:val="005737F5"/>
    <w:rsid w:val="00573CC7"/>
    <w:rsid w:val="00574475"/>
    <w:rsid w:val="00575220"/>
    <w:rsid w:val="00575867"/>
    <w:rsid w:val="00575A79"/>
    <w:rsid w:val="00576FA8"/>
    <w:rsid w:val="005775EA"/>
    <w:rsid w:val="00577C6B"/>
    <w:rsid w:val="00580314"/>
    <w:rsid w:val="00580E7D"/>
    <w:rsid w:val="00580E91"/>
    <w:rsid w:val="0058137D"/>
    <w:rsid w:val="0058156E"/>
    <w:rsid w:val="005823BB"/>
    <w:rsid w:val="00582AD6"/>
    <w:rsid w:val="005835C2"/>
    <w:rsid w:val="0058401B"/>
    <w:rsid w:val="005843B2"/>
    <w:rsid w:val="0058492C"/>
    <w:rsid w:val="0058555C"/>
    <w:rsid w:val="005857D5"/>
    <w:rsid w:val="00586A81"/>
    <w:rsid w:val="0058721D"/>
    <w:rsid w:val="00587C09"/>
    <w:rsid w:val="0059010F"/>
    <w:rsid w:val="0059020E"/>
    <w:rsid w:val="0059074F"/>
    <w:rsid w:val="0059189E"/>
    <w:rsid w:val="0059284F"/>
    <w:rsid w:val="0059296B"/>
    <w:rsid w:val="00592999"/>
    <w:rsid w:val="00592B50"/>
    <w:rsid w:val="005935A5"/>
    <w:rsid w:val="005936CD"/>
    <w:rsid w:val="005941E6"/>
    <w:rsid w:val="005942E7"/>
    <w:rsid w:val="005948D5"/>
    <w:rsid w:val="00594996"/>
    <w:rsid w:val="00594D7A"/>
    <w:rsid w:val="00594F7E"/>
    <w:rsid w:val="005953A0"/>
    <w:rsid w:val="00595660"/>
    <w:rsid w:val="005958A4"/>
    <w:rsid w:val="00595AFD"/>
    <w:rsid w:val="005965CA"/>
    <w:rsid w:val="00596C59"/>
    <w:rsid w:val="00597B9A"/>
    <w:rsid w:val="005A1C66"/>
    <w:rsid w:val="005A1F52"/>
    <w:rsid w:val="005A263D"/>
    <w:rsid w:val="005A2EDE"/>
    <w:rsid w:val="005A3CA8"/>
    <w:rsid w:val="005A418D"/>
    <w:rsid w:val="005A4E83"/>
    <w:rsid w:val="005A55EC"/>
    <w:rsid w:val="005A5732"/>
    <w:rsid w:val="005A5D5E"/>
    <w:rsid w:val="005A628D"/>
    <w:rsid w:val="005A6290"/>
    <w:rsid w:val="005A65B2"/>
    <w:rsid w:val="005A6607"/>
    <w:rsid w:val="005B00D9"/>
    <w:rsid w:val="005B0133"/>
    <w:rsid w:val="005B0349"/>
    <w:rsid w:val="005B0365"/>
    <w:rsid w:val="005B0C30"/>
    <w:rsid w:val="005B0C92"/>
    <w:rsid w:val="005B11B7"/>
    <w:rsid w:val="005B1342"/>
    <w:rsid w:val="005B16D2"/>
    <w:rsid w:val="005B1F2E"/>
    <w:rsid w:val="005B1FB1"/>
    <w:rsid w:val="005B42B9"/>
    <w:rsid w:val="005B4E45"/>
    <w:rsid w:val="005B52FE"/>
    <w:rsid w:val="005B5A11"/>
    <w:rsid w:val="005B607B"/>
    <w:rsid w:val="005B62D5"/>
    <w:rsid w:val="005B66D4"/>
    <w:rsid w:val="005B6B71"/>
    <w:rsid w:val="005B6F62"/>
    <w:rsid w:val="005B6FA8"/>
    <w:rsid w:val="005B7045"/>
    <w:rsid w:val="005C0C5F"/>
    <w:rsid w:val="005C1AC2"/>
    <w:rsid w:val="005C256B"/>
    <w:rsid w:val="005C25DF"/>
    <w:rsid w:val="005C26FF"/>
    <w:rsid w:val="005C4AAB"/>
    <w:rsid w:val="005C4F92"/>
    <w:rsid w:val="005C6108"/>
    <w:rsid w:val="005C61FC"/>
    <w:rsid w:val="005C645A"/>
    <w:rsid w:val="005C65DA"/>
    <w:rsid w:val="005C6856"/>
    <w:rsid w:val="005C7EA2"/>
    <w:rsid w:val="005D0B7E"/>
    <w:rsid w:val="005D0BA3"/>
    <w:rsid w:val="005D0CD5"/>
    <w:rsid w:val="005D1493"/>
    <w:rsid w:val="005D239D"/>
    <w:rsid w:val="005D2978"/>
    <w:rsid w:val="005D3BB4"/>
    <w:rsid w:val="005D3DD6"/>
    <w:rsid w:val="005D5F81"/>
    <w:rsid w:val="005D603A"/>
    <w:rsid w:val="005D6173"/>
    <w:rsid w:val="005D6BB1"/>
    <w:rsid w:val="005D7F66"/>
    <w:rsid w:val="005E03DC"/>
    <w:rsid w:val="005E0ECF"/>
    <w:rsid w:val="005E1510"/>
    <w:rsid w:val="005E1652"/>
    <w:rsid w:val="005E1CF4"/>
    <w:rsid w:val="005E221F"/>
    <w:rsid w:val="005E2694"/>
    <w:rsid w:val="005E382B"/>
    <w:rsid w:val="005E3E59"/>
    <w:rsid w:val="005E45DA"/>
    <w:rsid w:val="005E4B88"/>
    <w:rsid w:val="005E585B"/>
    <w:rsid w:val="005E592C"/>
    <w:rsid w:val="005E5C34"/>
    <w:rsid w:val="005E5E34"/>
    <w:rsid w:val="005E6799"/>
    <w:rsid w:val="005F08B0"/>
    <w:rsid w:val="005F1EEB"/>
    <w:rsid w:val="005F2373"/>
    <w:rsid w:val="005F23DE"/>
    <w:rsid w:val="005F29FA"/>
    <w:rsid w:val="005F32BA"/>
    <w:rsid w:val="005F3B3F"/>
    <w:rsid w:val="005F3ED0"/>
    <w:rsid w:val="005F4102"/>
    <w:rsid w:val="005F50A4"/>
    <w:rsid w:val="005F56A3"/>
    <w:rsid w:val="005F5A2A"/>
    <w:rsid w:val="005F5A36"/>
    <w:rsid w:val="005F61D4"/>
    <w:rsid w:val="005F6262"/>
    <w:rsid w:val="005F7039"/>
    <w:rsid w:val="005F7451"/>
    <w:rsid w:val="005F7928"/>
    <w:rsid w:val="006000C8"/>
    <w:rsid w:val="0060010E"/>
    <w:rsid w:val="00600B86"/>
    <w:rsid w:val="00601159"/>
    <w:rsid w:val="0060154A"/>
    <w:rsid w:val="00601C46"/>
    <w:rsid w:val="0060236F"/>
    <w:rsid w:val="006030E1"/>
    <w:rsid w:val="00603CA5"/>
    <w:rsid w:val="006047C9"/>
    <w:rsid w:val="00604C35"/>
    <w:rsid w:val="00604CEC"/>
    <w:rsid w:val="00604EA3"/>
    <w:rsid w:val="0060583C"/>
    <w:rsid w:val="00605BDE"/>
    <w:rsid w:val="00605F74"/>
    <w:rsid w:val="00606953"/>
    <w:rsid w:val="00607518"/>
    <w:rsid w:val="00607C7B"/>
    <w:rsid w:val="006105C5"/>
    <w:rsid w:val="006109C6"/>
    <w:rsid w:val="00610A1F"/>
    <w:rsid w:val="00610D1C"/>
    <w:rsid w:val="00610EE6"/>
    <w:rsid w:val="00611006"/>
    <w:rsid w:val="00611229"/>
    <w:rsid w:val="00611647"/>
    <w:rsid w:val="00611E15"/>
    <w:rsid w:val="006136BB"/>
    <w:rsid w:val="006137D6"/>
    <w:rsid w:val="00613AE0"/>
    <w:rsid w:val="006144A1"/>
    <w:rsid w:val="00614DF6"/>
    <w:rsid w:val="0061528E"/>
    <w:rsid w:val="00615594"/>
    <w:rsid w:val="00615F6E"/>
    <w:rsid w:val="00617894"/>
    <w:rsid w:val="00617E38"/>
    <w:rsid w:val="0062093D"/>
    <w:rsid w:val="00620949"/>
    <w:rsid w:val="00620FBD"/>
    <w:rsid w:val="00622339"/>
    <w:rsid w:val="00623905"/>
    <w:rsid w:val="00623C14"/>
    <w:rsid w:val="00624B56"/>
    <w:rsid w:val="00624B85"/>
    <w:rsid w:val="00624FB0"/>
    <w:rsid w:val="0062694C"/>
    <w:rsid w:val="00626C20"/>
    <w:rsid w:val="00627B28"/>
    <w:rsid w:val="00630142"/>
    <w:rsid w:val="0063032B"/>
    <w:rsid w:val="006309D7"/>
    <w:rsid w:val="00631056"/>
    <w:rsid w:val="006312C7"/>
    <w:rsid w:val="0063199A"/>
    <w:rsid w:val="00631D3F"/>
    <w:rsid w:val="00633BB4"/>
    <w:rsid w:val="00634D27"/>
    <w:rsid w:val="00634DD7"/>
    <w:rsid w:val="00635939"/>
    <w:rsid w:val="00635E24"/>
    <w:rsid w:val="006366C4"/>
    <w:rsid w:val="00636F3A"/>
    <w:rsid w:val="00637A76"/>
    <w:rsid w:val="00637BCD"/>
    <w:rsid w:val="00640E3F"/>
    <w:rsid w:val="0064117E"/>
    <w:rsid w:val="0064185A"/>
    <w:rsid w:val="006420C3"/>
    <w:rsid w:val="006426E2"/>
    <w:rsid w:val="006432D9"/>
    <w:rsid w:val="00643322"/>
    <w:rsid w:val="00643C5D"/>
    <w:rsid w:val="006441B9"/>
    <w:rsid w:val="0064467A"/>
    <w:rsid w:val="00644F7E"/>
    <w:rsid w:val="00645389"/>
    <w:rsid w:val="00645632"/>
    <w:rsid w:val="0064659A"/>
    <w:rsid w:val="00646C01"/>
    <w:rsid w:val="0064712F"/>
    <w:rsid w:val="0064735F"/>
    <w:rsid w:val="00647BE9"/>
    <w:rsid w:val="00647D8B"/>
    <w:rsid w:val="00650ABB"/>
    <w:rsid w:val="00650F18"/>
    <w:rsid w:val="006518F2"/>
    <w:rsid w:val="00651DEC"/>
    <w:rsid w:val="006528EB"/>
    <w:rsid w:val="00652BB1"/>
    <w:rsid w:val="00652BD8"/>
    <w:rsid w:val="00652E99"/>
    <w:rsid w:val="00653339"/>
    <w:rsid w:val="00653580"/>
    <w:rsid w:val="006537B5"/>
    <w:rsid w:val="006538C0"/>
    <w:rsid w:val="00653FA1"/>
    <w:rsid w:val="00654150"/>
    <w:rsid w:val="0065499D"/>
    <w:rsid w:val="00654D18"/>
    <w:rsid w:val="00656532"/>
    <w:rsid w:val="00660DCA"/>
    <w:rsid w:val="00660E7C"/>
    <w:rsid w:val="00661028"/>
    <w:rsid w:val="00661E2D"/>
    <w:rsid w:val="00662B48"/>
    <w:rsid w:val="00662BB6"/>
    <w:rsid w:val="00663032"/>
    <w:rsid w:val="006631B7"/>
    <w:rsid w:val="00663947"/>
    <w:rsid w:val="006648B5"/>
    <w:rsid w:val="00664D8D"/>
    <w:rsid w:val="006656B5"/>
    <w:rsid w:val="006659BA"/>
    <w:rsid w:val="00665D15"/>
    <w:rsid w:val="00666F0C"/>
    <w:rsid w:val="00667CD4"/>
    <w:rsid w:val="00670461"/>
    <w:rsid w:val="00670752"/>
    <w:rsid w:val="00670995"/>
    <w:rsid w:val="006720F5"/>
    <w:rsid w:val="00673162"/>
    <w:rsid w:val="006732DB"/>
    <w:rsid w:val="0067489E"/>
    <w:rsid w:val="006749ED"/>
    <w:rsid w:val="00674B53"/>
    <w:rsid w:val="00676254"/>
    <w:rsid w:val="00676E5A"/>
    <w:rsid w:val="00676E63"/>
    <w:rsid w:val="00676E9D"/>
    <w:rsid w:val="00680239"/>
    <w:rsid w:val="0068067B"/>
    <w:rsid w:val="006816C8"/>
    <w:rsid w:val="00683096"/>
    <w:rsid w:val="0068371A"/>
    <w:rsid w:val="0068386E"/>
    <w:rsid w:val="00684997"/>
    <w:rsid w:val="00684BAB"/>
    <w:rsid w:val="0068563D"/>
    <w:rsid w:val="00685D02"/>
    <w:rsid w:val="00685ED9"/>
    <w:rsid w:val="00686DBC"/>
    <w:rsid w:val="00686EDB"/>
    <w:rsid w:val="00686F97"/>
    <w:rsid w:val="0068734A"/>
    <w:rsid w:val="00690403"/>
    <w:rsid w:val="00690CB7"/>
    <w:rsid w:val="00690EB4"/>
    <w:rsid w:val="00690EDB"/>
    <w:rsid w:val="00691394"/>
    <w:rsid w:val="00691772"/>
    <w:rsid w:val="006923FB"/>
    <w:rsid w:val="00692D03"/>
    <w:rsid w:val="00693D7E"/>
    <w:rsid w:val="00695590"/>
    <w:rsid w:val="006957CC"/>
    <w:rsid w:val="006959DF"/>
    <w:rsid w:val="006964CD"/>
    <w:rsid w:val="00696D3B"/>
    <w:rsid w:val="00696FD5"/>
    <w:rsid w:val="00697656"/>
    <w:rsid w:val="006A03E7"/>
    <w:rsid w:val="006A1424"/>
    <w:rsid w:val="006A26AC"/>
    <w:rsid w:val="006A2C1B"/>
    <w:rsid w:val="006A2EAA"/>
    <w:rsid w:val="006A32A5"/>
    <w:rsid w:val="006A3E16"/>
    <w:rsid w:val="006A44D8"/>
    <w:rsid w:val="006A4757"/>
    <w:rsid w:val="006A4F83"/>
    <w:rsid w:val="006A581D"/>
    <w:rsid w:val="006A584D"/>
    <w:rsid w:val="006A5A40"/>
    <w:rsid w:val="006A66BF"/>
    <w:rsid w:val="006A68F1"/>
    <w:rsid w:val="006A6A68"/>
    <w:rsid w:val="006A7C63"/>
    <w:rsid w:val="006B01AD"/>
    <w:rsid w:val="006B145F"/>
    <w:rsid w:val="006B2836"/>
    <w:rsid w:val="006B2D40"/>
    <w:rsid w:val="006B35C4"/>
    <w:rsid w:val="006B35DD"/>
    <w:rsid w:val="006B415F"/>
    <w:rsid w:val="006B478F"/>
    <w:rsid w:val="006B536F"/>
    <w:rsid w:val="006B567C"/>
    <w:rsid w:val="006B5C8D"/>
    <w:rsid w:val="006B5F44"/>
    <w:rsid w:val="006B62B3"/>
    <w:rsid w:val="006B6B5C"/>
    <w:rsid w:val="006B6C82"/>
    <w:rsid w:val="006B76AF"/>
    <w:rsid w:val="006B7919"/>
    <w:rsid w:val="006C0194"/>
    <w:rsid w:val="006C01DE"/>
    <w:rsid w:val="006C0646"/>
    <w:rsid w:val="006C0883"/>
    <w:rsid w:val="006C14F3"/>
    <w:rsid w:val="006C1500"/>
    <w:rsid w:val="006C1EB1"/>
    <w:rsid w:val="006C239E"/>
    <w:rsid w:val="006C25B7"/>
    <w:rsid w:val="006C2C03"/>
    <w:rsid w:val="006C3405"/>
    <w:rsid w:val="006C3A92"/>
    <w:rsid w:val="006C433A"/>
    <w:rsid w:val="006C4442"/>
    <w:rsid w:val="006C4790"/>
    <w:rsid w:val="006C48D7"/>
    <w:rsid w:val="006C6516"/>
    <w:rsid w:val="006C75C1"/>
    <w:rsid w:val="006D0F28"/>
    <w:rsid w:val="006D15F7"/>
    <w:rsid w:val="006D19D8"/>
    <w:rsid w:val="006D1FFC"/>
    <w:rsid w:val="006D203D"/>
    <w:rsid w:val="006D212A"/>
    <w:rsid w:val="006D296B"/>
    <w:rsid w:val="006D381B"/>
    <w:rsid w:val="006D3973"/>
    <w:rsid w:val="006D470E"/>
    <w:rsid w:val="006D546C"/>
    <w:rsid w:val="006D56BF"/>
    <w:rsid w:val="006D5CF1"/>
    <w:rsid w:val="006D6451"/>
    <w:rsid w:val="006D694B"/>
    <w:rsid w:val="006D7176"/>
    <w:rsid w:val="006D7569"/>
    <w:rsid w:val="006D7CC4"/>
    <w:rsid w:val="006E04AA"/>
    <w:rsid w:val="006E06EC"/>
    <w:rsid w:val="006E0AD1"/>
    <w:rsid w:val="006E0CA7"/>
    <w:rsid w:val="006E1AE7"/>
    <w:rsid w:val="006E2723"/>
    <w:rsid w:val="006E2A4B"/>
    <w:rsid w:val="006E4082"/>
    <w:rsid w:val="006E4315"/>
    <w:rsid w:val="006E474F"/>
    <w:rsid w:val="006E4DA4"/>
    <w:rsid w:val="006E600A"/>
    <w:rsid w:val="006E6132"/>
    <w:rsid w:val="006E685C"/>
    <w:rsid w:val="006E6F0D"/>
    <w:rsid w:val="006E7903"/>
    <w:rsid w:val="006E7B26"/>
    <w:rsid w:val="006F0508"/>
    <w:rsid w:val="006F0BE7"/>
    <w:rsid w:val="006F0F6A"/>
    <w:rsid w:val="006F1128"/>
    <w:rsid w:val="006F14F9"/>
    <w:rsid w:val="006F19C1"/>
    <w:rsid w:val="006F1EA6"/>
    <w:rsid w:val="006F20DE"/>
    <w:rsid w:val="006F2B34"/>
    <w:rsid w:val="006F2FD5"/>
    <w:rsid w:val="006F31BD"/>
    <w:rsid w:val="006F3551"/>
    <w:rsid w:val="006F3D46"/>
    <w:rsid w:val="006F4A97"/>
    <w:rsid w:val="006F4D1A"/>
    <w:rsid w:val="006F534D"/>
    <w:rsid w:val="006F5C50"/>
    <w:rsid w:val="006F5E3F"/>
    <w:rsid w:val="006F5FB2"/>
    <w:rsid w:val="006F614D"/>
    <w:rsid w:val="006F630F"/>
    <w:rsid w:val="006F6C6F"/>
    <w:rsid w:val="006F6DBA"/>
    <w:rsid w:val="00700CC4"/>
    <w:rsid w:val="00701251"/>
    <w:rsid w:val="00701380"/>
    <w:rsid w:val="00702564"/>
    <w:rsid w:val="0070258D"/>
    <w:rsid w:val="00702AD8"/>
    <w:rsid w:val="00702E32"/>
    <w:rsid w:val="00703018"/>
    <w:rsid w:val="00704D06"/>
    <w:rsid w:val="00705205"/>
    <w:rsid w:val="00706454"/>
    <w:rsid w:val="00706F6C"/>
    <w:rsid w:val="0070790B"/>
    <w:rsid w:val="0070791A"/>
    <w:rsid w:val="00711267"/>
    <w:rsid w:val="00711778"/>
    <w:rsid w:val="007138AB"/>
    <w:rsid w:val="00713BC8"/>
    <w:rsid w:val="00714B4D"/>
    <w:rsid w:val="007152AA"/>
    <w:rsid w:val="0071542F"/>
    <w:rsid w:val="00716189"/>
    <w:rsid w:val="007169D6"/>
    <w:rsid w:val="00716C00"/>
    <w:rsid w:val="00716C41"/>
    <w:rsid w:val="00717934"/>
    <w:rsid w:val="00720238"/>
    <w:rsid w:val="00723130"/>
    <w:rsid w:val="00723364"/>
    <w:rsid w:val="007237B4"/>
    <w:rsid w:val="00724A6A"/>
    <w:rsid w:val="00724C01"/>
    <w:rsid w:val="0072500C"/>
    <w:rsid w:val="007253A7"/>
    <w:rsid w:val="00725942"/>
    <w:rsid w:val="00725E01"/>
    <w:rsid w:val="0072689C"/>
    <w:rsid w:val="00726AFE"/>
    <w:rsid w:val="00727177"/>
    <w:rsid w:val="007273CF"/>
    <w:rsid w:val="007273FF"/>
    <w:rsid w:val="00730B23"/>
    <w:rsid w:val="00730D23"/>
    <w:rsid w:val="00730D8B"/>
    <w:rsid w:val="007317B4"/>
    <w:rsid w:val="00731DD4"/>
    <w:rsid w:val="00731DD5"/>
    <w:rsid w:val="007336F0"/>
    <w:rsid w:val="00733EDF"/>
    <w:rsid w:val="00734745"/>
    <w:rsid w:val="00735656"/>
    <w:rsid w:val="00735C7E"/>
    <w:rsid w:val="00735F64"/>
    <w:rsid w:val="0073678A"/>
    <w:rsid w:val="00736A66"/>
    <w:rsid w:val="00737E88"/>
    <w:rsid w:val="00737F7B"/>
    <w:rsid w:val="007405FC"/>
    <w:rsid w:val="00740776"/>
    <w:rsid w:val="00740847"/>
    <w:rsid w:val="00740980"/>
    <w:rsid w:val="00741931"/>
    <w:rsid w:val="007419FA"/>
    <w:rsid w:val="00743344"/>
    <w:rsid w:val="00743AE8"/>
    <w:rsid w:val="00743CA2"/>
    <w:rsid w:val="00743DE2"/>
    <w:rsid w:val="00744A09"/>
    <w:rsid w:val="007459E1"/>
    <w:rsid w:val="00746039"/>
    <w:rsid w:val="007464B2"/>
    <w:rsid w:val="007520B2"/>
    <w:rsid w:val="00752A4D"/>
    <w:rsid w:val="00753029"/>
    <w:rsid w:val="00753B97"/>
    <w:rsid w:val="00754331"/>
    <w:rsid w:val="00754A82"/>
    <w:rsid w:val="0075554D"/>
    <w:rsid w:val="0075693B"/>
    <w:rsid w:val="00757079"/>
    <w:rsid w:val="007570B6"/>
    <w:rsid w:val="007577D1"/>
    <w:rsid w:val="0075784D"/>
    <w:rsid w:val="00760304"/>
    <w:rsid w:val="00760703"/>
    <w:rsid w:val="00761D5F"/>
    <w:rsid w:val="00761FE8"/>
    <w:rsid w:val="0076208C"/>
    <w:rsid w:val="007627D2"/>
    <w:rsid w:val="00764031"/>
    <w:rsid w:val="0076413F"/>
    <w:rsid w:val="00764316"/>
    <w:rsid w:val="00764BCA"/>
    <w:rsid w:val="00764C34"/>
    <w:rsid w:val="0076573A"/>
    <w:rsid w:val="00765BA0"/>
    <w:rsid w:val="00765C2F"/>
    <w:rsid w:val="00766007"/>
    <w:rsid w:val="007676BF"/>
    <w:rsid w:val="00770504"/>
    <w:rsid w:val="0077057F"/>
    <w:rsid w:val="00770A01"/>
    <w:rsid w:val="00771068"/>
    <w:rsid w:val="007711C1"/>
    <w:rsid w:val="00771285"/>
    <w:rsid w:val="0077139A"/>
    <w:rsid w:val="00771CF1"/>
    <w:rsid w:val="00772153"/>
    <w:rsid w:val="007725BA"/>
    <w:rsid w:val="00773AFA"/>
    <w:rsid w:val="007760F1"/>
    <w:rsid w:val="00776653"/>
    <w:rsid w:val="00777EE1"/>
    <w:rsid w:val="00780348"/>
    <w:rsid w:val="0078174C"/>
    <w:rsid w:val="0078175F"/>
    <w:rsid w:val="00781C58"/>
    <w:rsid w:val="00782337"/>
    <w:rsid w:val="00782942"/>
    <w:rsid w:val="00782D8B"/>
    <w:rsid w:val="0078323E"/>
    <w:rsid w:val="0078378D"/>
    <w:rsid w:val="00784B9C"/>
    <w:rsid w:val="007850D9"/>
    <w:rsid w:val="007851A0"/>
    <w:rsid w:val="0078641E"/>
    <w:rsid w:val="00787950"/>
    <w:rsid w:val="00790333"/>
    <w:rsid w:val="0079054A"/>
    <w:rsid w:val="0079130B"/>
    <w:rsid w:val="007919DB"/>
    <w:rsid w:val="0079263F"/>
    <w:rsid w:val="007926B0"/>
    <w:rsid w:val="007932C1"/>
    <w:rsid w:val="00793838"/>
    <w:rsid w:val="00793D53"/>
    <w:rsid w:val="0079418C"/>
    <w:rsid w:val="00794376"/>
    <w:rsid w:val="007946D9"/>
    <w:rsid w:val="00795430"/>
    <w:rsid w:val="00795DAB"/>
    <w:rsid w:val="00795F07"/>
    <w:rsid w:val="007976E6"/>
    <w:rsid w:val="007977E4"/>
    <w:rsid w:val="007A0440"/>
    <w:rsid w:val="007A0DC0"/>
    <w:rsid w:val="007A33A1"/>
    <w:rsid w:val="007A3990"/>
    <w:rsid w:val="007A3F14"/>
    <w:rsid w:val="007A3F1A"/>
    <w:rsid w:val="007A6115"/>
    <w:rsid w:val="007A63CF"/>
    <w:rsid w:val="007A7881"/>
    <w:rsid w:val="007B00AD"/>
    <w:rsid w:val="007B1BB0"/>
    <w:rsid w:val="007B271F"/>
    <w:rsid w:val="007B2AB3"/>
    <w:rsid w:val="007B3597"/>
    <w:rsid w:val="007B3992"/>
    <w:rsid w:val="007B46CC"/>
    <w:rsid w:val="007B4802"/>
    <w:rsid w:val="007B4EA6"/>
    <w:rsid w:val="007B501C"/>
    <w:rsid w:val="007B643E"/>
    <w:rsid w:val="007B686C"/>
    <w:rsid w:val="007B69CD"/>
    <w:rsid w:val="007C00EA"/>
    <w:rsid w:val="007C011D"/>
    <w:rsid w:val="007C03DF"/>
    <w:rsid w:val="007C085D"/>
    <w:rsid w:val="007C1E1E"/>
    <w:rsid w:val="007C1FBC"/>
    <w:rsid w:val="007C2974"/>
    <w:rsid w:val="007C2BC1"/>
    <w:rsid w:val="007C33BA"/>
    <w:rsid w:val="007C395E"/>
    <w:rsid w:val="007C3B30"/>
    <w:rsid w:val="007C41E1"/>
    <w:rsid w:val="007C4A80"/>
    <w:rsid w:val="007C4AC3"/>
    <w:rsid w:val="007C557A"/>
    <w:rsid w:val="007C56B9"/>
    <w:rsid w:val="007C6813"/>
    <w:rsid w:val="007C6B45"/>
    <w:rsid w:val="007C7ADE"/>
    <w:rsid w:val="007C7D3A"/>
    <w:rsid w:val="007D0544"/>
    <w:rsid w:val="007D0620"/>
    <w:rsid w:val="007D0A04"/>
    <w:rsid w:val="007D0C24"/>
    <w:rsid w:val="007D1098"/>
    <w:rsid w:val="007D1163"/>
    <w:rsid w:val="007D1C9B"/>
    <w:rsid w:val="007D2AD1"/>
    <w:rsid w:val="007D2B88"/>
    <w:rsid w:val="007D2E74"/>
    <w:rsid w:val="007D3676"/>
    <w:rsid w:val="007D3E63"/>
    <w:rsid w:val="007D4BAE"/>
    <w:rsid w:val="007D59AB"/>
    <w:rsid w:val="007D5E3A"/>
    <w:rsid w:val="007D642D"/>
    <w:rsid w:val="007D69F5"/>
    <w:rsid w:val="007D6C62"/>
    <w:rsid w:val="007D7127"/>
    <w:rsid w:val="007D7671"/>
    <w:rsid w:val="007E0018"/>
    <w:rsid w:val="007E045A"/>
    <w:rsid w:val="007E09DA"/>
    <w:rsid w:val="007E0A59"/>
    <w:rsid w:val="007E0CE2"/>
    <w:rsid w:val="007E1979"/>
    <w:rsid w:val="007E19EB"/>
    <w:rsid w:val="007E2456"/>
    <w:rsid w:val="007E2B97"/>
    <w:rsid w:val="007E4070"/>
    <w:rsid w:val="007E4622"/>
    <w:rsid w:val="007E49D8"/>
    <w:rsid w:val="007E5904"/>
    <w:rsid w:val="007E6001"/>
    <w:rsid w:val="007E61C8"/>
    <w:rsid w:val="007E70E5"/>
    <w:rsid w:val="007F0AAD"/>
    <w:rsid w:val="007F0E49"/>
    <w:rsid w:val="007F1D16"/>
    <w:rsid w:val="007F1D4E"/>
    <w:rsid w:val="007F1FC1"/>
    <w:rsid w:val="007F3D08"/>
    <w:rsid w:val="007F4EA3"/>
    <w:rsid w:val="007F548A"/>
    <w:rsid w:val="007F605C"/>
    <w:rsid w:val="007F6A1D"/>
    <w:rsid w:val="007F6E8E"/>
    <w:rsid w:val="007F6EE8"/>
    <w:rsid w:val="007F786F"/>
    <w:rsid w:val="007F7A1A"/>
    <w:rsid w:val="00800540"/>
    <w:rsid w:val="008005BD"/>
    <w:rsid w:val="00800937"/>
    <w:rsid w:val="00800B7D"/>
    <w:rsid w:val="00800FB3"/>
    <w:rsid w:val="0080114F"/>
    <w:rsid w:val="008016ED"/>
    <w:rsid w:val="00801D1B"/>
    <w:rsid w:val="00803355"/>
    <w:rsid w:val="008037C8"/>
    <w:rsid w:val="008039B2"/>
    <w:rsid w:val="008045D9"/>
    <w:rsid w:val="00804C57"/>
    <w:rsid w:val="008050B9"/>
    <w:rsid w:val="00805175"/>
    <w:rsid w:val="0080557A"/>
    <w:rsid w:val="008055F8"/>
    <w:rsid w:val="0080581B"/>
    <w:rsid w:val="00806331"/>
    <w:rsid w:val="008064AD"/>
    <w:rsid w:val="00806737"/>
    <w:rsid w:val="008100FA"/>
    <w:rsid w:val="00810340"/>
    <w:rsid w:val="00810587"/>
    <w:rsid w:val="0081084B"/>
    <w:rsid w:val="00810C6D"/>
    <w:rsid w:val="00810D11"/>
    <w:rsid w:val="008111C3"/>
    <w:rsid w:val="00812563"/>
    <w:rsid w:val="00812C19"/>
    <w:rsid w:val="0081441D"/>
    <w:rsid w:val="00814867"/>
    <w:rsid w:val="00814A8F"/>
    <w:rsid w:val="008150BD"/>
    <w:rsid w:val="00816E5A"/>
    <w:rsid w:val="0081787D"/>
    <w:rsid w:val="00817ED1"/>
    <w:rsid w:val="00817F96"/>
    <w:rsid w:val="00820C1D"/>
    <w:rsid w:val="00821153"/>
    <w:rsid w:val="00821BF4"/>
    <w:rsid w:val="008224FD"/>
    <w:rsid w:val="00822583"/>
    <w:rsid w:val="00822E9A"/>
    <w:rsid w:val="00822EE9"/>
    <w:rsid w:val="00823FF5"/>
    <w:rsid w:val="008249EE"/>
    <w:rsid w:val="008252F9"/>
    <w:rsid w:val="00825E51"/>
    <w:rsid w:val="00827400"/>
    <w:rsid w:val="00827500"/>
    <w:rsid w:val="00827856"/>
    <w:rsid w:val="008301F3"/>
    <w:rsid w:val="008306A6"/>
    <w:rsid w:val="00831175"/>
    <w:rsid w:val="008311B5"/>
    <w:rsid w:val="0083159D"/>
    <w:rsid w:val="00831D1D"/>
    <w:rsid w:val="00832017"/>
    <w:rsid w:val="008329A5"/>
    <w:rsid w:val="0083315A"/>
    <w:rsid w:val="008337EF"/>
    <w:rsid w:val="0083381A"/>
    <w:rsid w:val="00833A7F"/>
    <w:rsid w:val="0083546B"/>
    <w:rsid w:val="00835762"/>
    <w:rsid w:val="00835D0B"/>
    <w:rsid w:val="00836785"/>
    <w:rsid w:val="00836A2E"/>
    <w:rsid w:val="00837414"/>
    <w:rsid w:val="0083769C"/>
    <w:rsid w:val="00840216"/>
    <w:rsid w:val="00840E00"/>
    <w:rsid w:val="00840FEE"/>
    <w:rsid w:val="0084153B"/>
    <w:rsid w:val="0084186B"/>
    <w:rsid w:val="00841904"/>
    <w:rsid w:val="00841B2B"/>
    <w:rsid w:val="00841BE2"/>
    <w:rsid w:val="00841C1E"/>
    <w:rsid w:val="00841FBD"/>
    <w:rsid w:val="008420C8"/>
    <w:rsid w:val="0084247C"/>
    <w:rsid w:val="00842B3E"/>
    <w:rsid w:val="008436CA"/>
    <w:rsid w:val="0084402F"/>
    <w:rsid w:val="00844632"/>
    <w:rsid w:val="00844E31"/>
    <w:rsid w:val="00845011"/>
    <w:rsid w:val="008456FA"/>
    <w:rsid w:val="00845713"/>
    <w:rsid w:val="00845832"/>
    <w:rsid w:val="00845897"/>
    <w:rsid w:val="008469AC"/>
    <w:rsid w:val="00846C3B"/>
    <w:rsid w:val="00847177"/>
    <w:rsid w:val="00847265"/>
    <w:rsid w:val="008473DB"/>
    <w:rsid w:val="00847EFA"/>
    <w:rsid w:val="00850415"/>
    <w:rsid w:val="00850C0E"/>
    <w:rsid w:val="00851FAE"/>
    <w:rsid w:val="00852767"/>
    <w:rsid w:val="0085300D"/>
    <w:rsid w:val="00853502"/>
    <w:rsid w:val="0085368E"/>
    <w:rsid w:val="00853A6B"/>
    <w:rsid w:val="00854B5C"/>
    <w:rsid w:val="00854E02"/>
    <w:rsid w:val="00854EE6"/>
    <w:rsid w:val="008558C4"/>
    <w:rsid w:val="00855A9D"/>
    <w:rsid w:val="00856582"/>
    <w:rsid w:val="00856ECB"/>
    <w:rsid w:val="00857311"/>
    <w:rsid w:val="0085775F"/>
    <w:rsid w:val="00857829"/>
    <w:rsid w:val="00857DC1"/>
    <w:rsid w:val="00860150"/>
    <w:rsid w:val="0086071F"/>
    <w:rsid w:val="0086083E"/>
    <w:rsid w:val="00860A38"/>
    <w:rsid w:val="0086151D"/>
    <w:rsid w:val="00861E1D"/>
    <w:rsid w:val="00861FC8"/>
    <w:rsid w:val="008623B4"/>
    <w:rsid w:val="00862B91"/>
    <w:rsid w:val="00862D1D"/>
    <w:rsid w:val="0086310B"/>
    <w:rsid w:val="00863B4A"/>
    <w:rsid w:val="00863E23"/>
    <w:rsid w:val="00864589"/>
    <w:rsid w:val="00864594"/>
    <w:rsid w:val="008648BA"/>
    <w:rsid w:val="008661F3"/>
    <w:rsid w:val="00866708"/>
    <w:rsid w:val="00866992"/>
    <w:rsid w:val="00866BE1"/>
    <w:rsid w:val="008671FE"/>
    <w:rsid w:val="008675DC"/>
    <w:rsid w:val="00867E4E"/>
    <w:rsid w:val="008710FE"/>
    <w:rsid w:val="00871AB6"/>
    <w:rsid w:val="00871F7C"/>
    <w:rsid w:val="00872343"/>
    <w:rsid w:val="00873D87"/>
    <w:rsid w:val="00873DC0"/>
    <w:rsid w:val="00874ED2"/>
    <w:rsid w:val="00875E3C"/>
    <w:rsid w:val="008764F7"/>
    <w:rsid w:val="00876767"/>
    <w:rsid w:val="0087679E"/>
    <w:rsid w:val="00876F83"/>
    <w:rsid w:val="008777A8"/>
    <w:rsid w:val="00877EE0"/>
    <w:rsid w:val="00880048"/>
    <w:rsid w:val="008807FB"/>
    <w:rsid w:val="00880E07"/>
    <w:rsid w:val="00882373"/>
    <w:rsid w:val="00882635"/>
    <w:rsid w:val="00883ABB"/>
    <w:rsid w:val="00884168"/>
    <w:rsid w:val="00884371"/>
    <w:rsid w:val="008848C0"/>
    <w:rsid w:val="00884B37"/>
    <w:rsid w:val="00885842"/>
    <w:rsid w:val="008859F3"/>
    <w:rsid w:val="00886199"/>
    <w:rsid w:val="00886E02"/>
    <w:rsid w:val="00891949"/>
    <w:rsid w:val="00891C60"/>
    <w:rsid w:val="0089231E"/>
    <w:rsid w:val="0089281D"/>
    <w:rsid w:val="00893031"/>
    <w:rsid w:val="00893233"/>
    <w:rsid w:val="00893FF9"/>
    <w:rsid w:val="00894498"/>
    <w:rsid w:val="00894C6F"/>
    <w:rsid w:val="008964FC"/>
    <w:rsid w:val="00896C17"/>
    <w:rsid w:val="008979A2"/>
    <w:rsid w:val="00897D8C"/>
    <w:rsid w:val="008A02C2"/>
    <w:rsid w:val="008A0CE4"/>
    <w:rsid w:val="008A1FDB"/>
    <w:rsid w:val="008A3859"/>
    <w:rsid w:val="008A4EDF"/>
    <w:rsid w:val="008A5657"/>
    <w:rsid w:val="008A5670"/>
    <w:rsid w:val="008A6545"/>
    <w:rsid w:val="008A6D80"/>
    <w:rsid w:val="008A7025"/>
    <w:rsid w:val="008B01C8"/>
    <w:rsid w:val="008B0FE3"/>
    <w:rsid w:val="008B252E"/>
    <w:rsid w:val="008B2EFD"/>
    <w:rsid w:val="008B2F9C"/>
    <w:rsid w:val="008B2FAB"/>
    <w:rsid w:val="008B3BA7"/>
    <w:rsid w:val="008B3D6C"/>
    <w:rsid w:val="008B3DBE"/>
    <w:rsid w:val="008B4B1E"/>
    <w:rsid w:val="008B620C"/>
    <w:rsid w:val="008B633C"/>
    <w:rsid w:val="008B65FF"/>
    <w:rsid w:val="008B66E8"/>
    <w:rsid w:val="008B6B8F"/>
    <w:rsid w:val="008B73F5"/>
    <w:rsid w:val="008C0647"/>
    <w:rsid w:val="008C1032"/>
    <w:rsid w:val="008C1225"/>
    <w:rsid w:val="008C147E"/>
    <w:rsid w:val="008C1D46"/>
    <w:rsid w:val="008C1E27"/>
    <w:rsid w:val="008C21A7"/>
    <w:rsid w:val="008C282B"/>
    <w:rsid w:val="008C2A64"/>
    <w:rsid w:val="008C347F"/>
    <w:rsid w:val="008C393A"/>
    <w:rsid w:val="008C411A"/>
    <w:rsid w:val="008C43E6"/>
    <w:rsid w:val="008C518A"/>
    <w:rsid w:val="008C5253"/>
    <w:rsid w:val="008C5333"/>
    <w:rsid w:val="008C55D4"/>
    <w:rsid w:val="008C6379"/>
    <w:rsid w:val="008C6472"/>
    <w:rsid w:val="008C7702"/>
    <w:rsid w:val="008C7ACF"/>
    <w:rsid w:val="008C7C9A"/>
    <w:rsid w:val="008D0BBB"/>
    <w:rsid w:val="008D0F10"/>
    <w:rsid w:val="008D10D0"/>
    <w:rsid w:val="008D1209"/>
    <w:rsid w:val="008D1311"/>
    <w:rsid w:val="008D178D"/>
    <w:rsid w:val="008D1D47"/>
    <w:rsid w:val="008D2483"/>
    <w:rsid w:val="008D3234"/>
    <w:rsid w:val="008D36ED"/>
    <w:rsid w:val="008D3A7B"/>
    <w:rsid w:val="008D3B70"/>
    <w:rsid w:val="008D3E81"/>
    <w:rsid w:val="008D520F"/>
    <w:rsid w:val="008D5275"/>
    <w:rsid w:val="008D57BB"/>
    <w:rsid w:val="008D6517"/>
    <w:rsid w:val="008D68B2"/>
    <w:rsid w:val="008D696D"/>
    <w:rsid w:val="008D6B1E"/>
    <w:rsid w:val="008D7041"/>
    <w:rsid w:val="008E0579"/>
    <w:rsid w:val="008E0654"/>
    <w:rsid w:val="008E0FBD"/>
    <w:rsid w:val="008E10DB"/>
    <w:rsid w:val="008E2A13"/>
    <w:rsid w:val="008E3484"/>
    <w:rsid w:val="008E3788"/>
    <w:rsid w:val="008E3BF8"/>
    <w:rsid w:val="008E3D0B"/>
    <w:rsid w:val="008E4320"/>
    <w:rsid w:val="008E47F5"/>
    <w:rsid w:val="008E4991"/>
    <w:rsid w:val="008E4D1A"/>
    <w:rsid w:val="008E5696"/>
    <w:rsid w:val="008F0246"/>
    <w:rsid w:val="008F060B"/>
    <w:rsid w:val="008F074B"/>
    <w:rsid w:val="008F0877"/>
    <w:rsid w:val="008F384D"/>
    <w:rsid w:val="008F3C75"/>
    <w:rsid w:val="008F3E59"/>
    <w:rsid w:val="008F45F5"/>
    <w:rsid w:val="008F48EF"/>
    <w:rsid w:val="008F6210"/>
    <w:rsid w:val="008F63F2"/>
    <w:rsid w:val="008F64BA"/>
    <w:rsid w:val="008F68AD"/>
    <w:rsid w:val="008F6C26"/>
    <w:rsid w:val="00900214"/>
    <w:rsid w:val="009006CC"/>
    <w:rsid w:val="00900CC7"/>
    <w:rsid w:val="009013C4"/>
    <w:rsid w:val="009015D8"/>
    <w:rsid w:val="0090174C"/>
    <w:rsid w:val="00901794"/>
    <w:rsid w:val="00902970"/>
    <w:rsid w:val="00902E7B"/>
    <w:rsid w:val="00902F10"/>
    <w:rsid w:val="00902FDF"/>
    <w:rsid w:val="0090316C"/>
    <w:rsid w:val="009049D7"/>
    <w:rsid w:val="0090523F"/>
    <w:rsid w:val="00905731"/>
    <w:rsid w:val="00905EE1"/>
    <w:rsid w:val="00906119"/>
    <w:rsid w:val="00907054"/>
    <w:rsid w:val="00907749"/>
    <w:rsid w:val="00911014"/>
    <w:rsid w:val="00911EB0"/>
    <w:rsid w:val="00911EC4"/>
    <w:rsid w:val="00913E6F"/>
    <w:rsid w:val="0091452D"/>
    <w:rsid w:val="00914776"/>
    <w:rsid w:val="00914C11"/>
    <w:rsid w:val="00914FE4"/>
    <w:rsid w:val="00915268"/>
    <w:rsid w:val="00915B84"/>
    <w:rsid w:val="009166D9"/>
    <w:rsid w:val="00916A0E"/>
    <w:rsid w:val="009171F0"/>
    <w:rsid w:val="009174EC"/>
    <w:rsid w:val="0091750A"/>
    <w:rsid w:val="00917BA7"/>
    <w:rsid w:val="00920023"/>
    <w:rsid w:val="009201FA"/>
    <w:rsid w:val="0092050D"/>
    <w:rsid w:val="0092061C"/>
    <w:rsid w:val="00920A59"/>
    <w:rsid w:val="009217A7"/>
    <w:rsid w:val="00921B57"/>
    <w:rsid w:val="00921B9F"/>
    <w:rsid w:val="00921C14"/>
    <w:rsid w:val="009229FD"/>
    <w:rsid w:val="009249B9"/>
    <w:rsid w:val="00925243"/>
    <w:rsid w:val="00925A13"/>
    <w:rsid w:val="00925F55"/>
    <w:rsid w:val="0092651A"/>
    <w:rsid w:val="009267C5"/>
    <w:rsid w:val="00927012"/>
    <w:rsid w:val="00927074"/>
    <w:rsid w:val="009271D7"/>
    <w:rsid w:val="00927DC6"/>
    <w:rsid w:val="00930AD5"/>
    <w:rsid w:val="009325A4"/>
    <w:rsid w:val="009327D0"/>
    <w:rsid w:val="00932ADE"/>
    <w:rsid w:val="0093321B"/>
    <w:rsid w:val="009335F0"/>
    <w:rsid w:val="00933964"/>
    <w:rsid w:val="0093397B"/>
    <w:rsid w:val="0093478E"/>
    <w:rsid w:val="00935C3B"/>
    <w:rsid w:val="009366BE"/>
    <w:rsid w:val="00936C1D"/>
    <w:rsid w:val="00936CDB"/>
    <w:rsid w:val="0093767F"/>
    <w:rsid w:val="00937F4A"/>
    <w:rsid w:val="0094086C"/>
    <w:rsid w:val="00941793"/>
    <w:rsid w:val="009417E2"/>
    <w:rsid w:val="00942081"/>
    <w:rsid w:val="00942F43"/>
    <w:rsid w:val="00943602"/>
    <w:rsid w:val="00943E30"/>
    <w:rsid w:val="00945379"/>
    <w:rsid w:val="00945689"/>
    <w:rsid w:val="00945A42"/>
    <w:rsid w:val="00945CC0"/>
    <w:rsid w:val="0094622C"/>
    <w:rsid w:val="00946270"/>
    <w:rsid w:val="009462D8"/>
    <w:rsid w:val="00946552"/>
    <w:rsid w:val="00946BA2"/>
    <w:rsid w:val="009472A2"/>
    <w:rsid w:val="00950585"/>
    <w:rsid w:val="009507AE"/>
    <w:rsid w:val="00951073"/>
    <w:rsid w:val="009525B7"/>
    <w:rsid w:val="00952EFA"/>
    <w:rsid w:val="009530E6"/>
    <w:rsid w:val="0095379D"/>
    <w:rsid w:val="00953EE0"/>
    <w:rsid w:val="009552F1"/>
    <w:rsid w:val="0095549E"/>
    <w:rsid w:val="00955D37"/>
    <w:rsid w:val="0095781A"/>
    <w:rsid w:val="0096023A"/>
    <w:rsid w:val="00960334"/>
    <w:rsid w:val="00960A75"/>
    <w:rsid w:val="00960C6D"/>
    <w:rsid w:val="00960DBB"/>
    <w:rsid w:val="00961DC0"/>
    <w:rsid w:val="00962B25"/>
    <w:rsid w:val="00963DA5"/>
    <w:rsid w:val="00963E62"/>
    <w:rsid w:val="00964BB1"/>
    <w:rsid w:val="00965744"/>
    <w:rsid w:val="00965754"/>
    <w:rsid w:val="00965A0E"/>
    <w:rsid w:val="00966530"/>
    <w:rsid w:val="009665B3"/>
    <w:rsid w:val="00966760"/>
    <w:rsid w:val="009670DB"/>
    <w:rsid w:val="009672E9"/>
    <w:rsid w:val="0097028B"/>
    <w:rsid w:val="00971E84"/>
    <w:rsid w:val="00972495"/>
    <w:rsid w:val="0097315D"/>
    <w:rsid w:val="00973CDC"/>
    <w:rsid w:val="009740C6"/>
    <w:rsid w:val="00974162"/>
    <w:rsid w:val="009746A3"/>
    <w:rsid w:val="00974D53"/>
    <w:rsid w:val="00975355"/>
    <w:rsid w:val="009755FA"/>
    <w:rsid w:val="009756AD"/>
    <w:rsid w:val="009757AF"/>
    <w:rsid w:val="0097593C"/>
    <w:rsid w:val="00976642"/>
    <w:rsid w:val="0097690A"/>
    <w:rsid w:val="00976F3F"/>
    <w:rsid w:val="00977CD0"/>
    <w:rsid w:val="00977D5F"/>
    <w:rsid w:val="00981CE8"/>
    <w:rsid w:val="009830AC"/>
    <w:rsid w:val="00983615"/>
    <w:rsid w:val="00983753"/>
    <w:rsid w:val="00984ADC"/>
    <w:rsid w:val="00984DB1"/>
    <w:rsid w:val="00985CAC"/>
    <w:rsid w:val="00985E66"/>
    <w:rsid w:val="00986518"/>
    <w:rsid w:val="009865D4"/>
    <w:rsid w:val="00987BAB"/>
    <w:rsid w:val="00987C72"/>
    <w:rsid w:val="00987DC0"/>
    <w:rsid w:val="0099194E"/>
    <w:rsid w:val="009919B7"/>
    <w:rsid w:val="00992485"/>
    <w:rsid w:val="00992641"/>
    <w:rsid w:val="0099300A"/>
    <w:rsid w:val="00994CFF"/>
    <w:rsid w:val="009955E7"/>
    <w:rsid w:val="00995EEC"/>
    <w:rsid w:val="0099661D"/>
    <w:rsid w:val="009966FC"/>
    <w:rsid w:val="00996A04"/>
    <w:rsid w:val="00996C59"/>
    <w:rsid w:val="009976CB"/>
    <w:rsid w:val="00997D6C"/>
    <w:rsid w:val="009A00F0"/>
    <w:rsid w:val="009A01E0"/>
    <w:rsid w:val="009A02CA"/>
    <w:rsid w:val="009A02EC"/>
    <w:rsid w:val="009A0585"/>
    <w:rsid w:val="009A18A4"/>
    <w:rsid w:val="009A19F5"/>
    <w:rsid w:val="009A2228"/>
    <w:rsid w:val="009A242C"/>
    <w:rsid w:val="009A2E6C"/>
    <w:rsid w:val="009A3387"/>
    <w:rsid w:val="009A391A"/>
    <w:rsid w:val="009A3F16"/>
    <w:rsid w:val="009A43B0"/>
    <w:rsid w:val="009A4C78"/>
    <w:rsid w:val="009A5BB1"/>
    <w:rsid w:val="009A5D7D"/>
    <w:rsid w:val="009A613B"/>
    <w:rsid w:val="009A6174"/>
    <w:rsid w:val="009A66E3"/>
    <w:rsid w:val="009A66FB"/>
    <w:rsid w:val="009A6A57"/>
    <w:rsid w:val="009A6C6B"/>
    <w:rsid w:val="009A6F6F"/>
    <w:rsid w:val="009A7477"/>
    <w:rsid w:val="009A77BB"/>
    <w:rsid w:val="009B0FEB"/>
    <w:rsid w:val="009B1CA6"/>
    <w:rsid w:val="009B2866"/>
    <w:rsid w:val="009B2DC7"/>
    <w:rsid w:val="009B43DB"/>
    <w:rsid w:val="009B4591"/>
    <w:rsid w:val="009B5221"/>
    <w:rsid w:val="009B52AA"/>
    <w:rsid w:val="009B5556"/>
    <w:rsid w:val="009B5A32"/>
    <w:rsid w:val="009B5FD5"/>
    <w:rsid w:val="009B6790"/>
    <w:rsid w:val="009B6CB9"/>
    <w:rsid w:val="009B6DC9"/>
    <w:rsid w:val="009B76BC"/>
    <w:rsid w:val="009B7750"/>
    <w:rsid w:val="009C0FD5"/>
    <w:rsid w:val="009C2827"/>
    <w:rsid w:val="009C29F8"/>
    <w:rsid w:val="009C2ED2"/>
    <w:rsid w:val="009C35B2"/>
    <w:rsid w:val="009C4102"/>
    <w:rsid w:val="009C4E73"/>
    <w:rsid w:val="009C517D"/>
    <w:rsid w:val="009C5612"/>
    <w:rsid w:val="009C7CED"/>
    <w:rsid w:val="009D0986"/>
    <w:rsid w:val="009D0AFA"/>
    <w:rsid w:val="009D0CD3"/>
    <w:rsid w:val="009D21E0"/>
    <w:rsid w:val="009D29DE"/>
    <w:rsid w:val="009D30FA"/>
    <w:rsid w:val="009D31FE"/>
    <w:rsid w:val="009D34E1"/>
    <w:rsid w:val="009D3812"/>
    <w:rsid w:val="009D3882"/>
    <w:rsid w:val="009D3B5E"/>
    <w:rsid w:val="009D41D9"/>
    <w:rsid w:val="009D5826"/>
    <w:rsid w:val="009D5A10"/>
    <w:rsid w:val="009D5AF4"/>
    <w:rsid w:val="009D6162"/>
    <w:rsid w:val="009D6231"/>
    <w:rsid w:val="009D63D7"/>
    <w:rsid w:val="009D65DA"/>
    <w:rsid w:val="009E07E5"/>
    <w:rsid w:val="009E0A79"/>
    <w:rsid w:val="009E1F47"/>
    <w:rsid w:val="009E298B"/>
    <w:rsid w:val="009E3972"/>
    <w:rsid w:val="009E4091"/>
    <w:rsid w:val="009E4568"/>
    <w:rsid w:val="009E45EC"/>
    <w:rsid w:val="009E5605"/>
    <w:rsid w:val="009E5D0B"/>
    <w:rsid w:val="009E6F7A"/>
    <w:rsid w:val="009E774C"/>
    <w:rsid w:val="009F06CA"/>
    <w:rsid w:val="009F0EF4"/>
    <w:rsid w:val="009F1E1B"/>
    <w:rsid w:val="009F2A1C"/>
    <w:rsid w:val="009F2B4F"/>
    <w:rsid w:val="009F2EC3"/>
    <w:rsid w:val="009F30F0"/>
    <w:rsid w:val="009F350A"/>
    <w:rsid w:val="009F3513"/>
    <w:rsid w:val="009F391F"/>
    <w:rsid w:val="009F4539"/>
    <w:rsid w:val="009F4A77"/>
    <w:rsid w:val="009F50C5"/>
    <w:rsid w:val="009F5A9C"/>
    <w:rsid w:val="009F60DD"/>
    <w:rsid w:val="009F6619"/>
    <w:rsid w:val="009F6790"/>
    <w:rsid w:val="009F7973"/>
    <w:rsid w:val="00A00666"/>
    <w:rsid w:val="00A00C1C"/>
    <w:rsid w:val="00A00E66"/>
    <w:rsid w:val="00A00FC0"/>
    <w:rsid w:val="00A0135E"/>
    <w:rsid w:val="00A01B9D"/>
    <w:rsid w:val="00A02372"/>
    <w:rsid w:val="00A03A3E"/>
    <w:rsid w:val="00A050D0"/>
    <w:rsid w:val="00A0565D"/>
    <w:rsid w:val="00A05D57"/>
    <w:rsid w:val="00A06E0A"/>
    <w:rsid w:val="00A06E4A"/>
    <w:rsid w:val="00A06F3D"/>
    <w:rsid w:val="00A070D3"/>
    <w:rsid w:val="00A101BE"/>
    <w:rsid w:val="00A10F9F"/>
    <w:rsid w:val="00A11378"/>
    <w:rsid w:val="00A1141D"/>
    <w:rsid w:val="00A12880"/>
    <w:rsid w:val="00A12B48"/>
    <w:rsid w:val="00A12D19"/>
    <w:rsid w:val="00A12F97"/>
    <w:rsid w:val="00A142F5"/>
    <w:rsid w:val="00A15067"/>
    <w:rsid w:val="00A15524"/>
    <w:rsid w:val="00A15580"/>
    <w:rsid w:val="00A15754"/>
    <w:rsid w:val="00A16990"/>
    <w:rsid w:val="00A16DD1"/>
    <w:rsid w:val="00A16E8D"/>
    <w:rsid w:val="00A1753F"/>
    <w:rsid w:val="00A1775D"/>
    <w:rsid w:val="00A17E4F"/>
    <w:rsid w:val="00A200B7"/>
    <w:rsid w:val="00A206C1"/>
    <w:rsid w:val="00A207E9"/>
    <w:rsid w:val="00A20DA4"/>
    <w:rsid w:val="00A22F0F"/>
    <w:rsid w:val="00A23A15"/>
    <w:rsid w:val="00A2411C"/>
    <w:rsid w:val="00A2437B"/>
    <w:rsid w:val="00A2451E"/>
    <w:rsid w:val="00A24CD3"/>
    <w:rsid w:val="00A25038"/>
    <w:rsid w:val="00A250D2"/>
    <w:rsid w:val="00A256C4"/>
    <w:rsid w:val="00A25B2A"/>
    <w:rsid w:val="00A26475"/>
    <w:rsid w:val="00A2714B"/>
    <w:rsid w:val="00A273D1"/>
    <w:rsid w:val="00A27B47"/>
    <w:rsid w:val="00A27B6B"/>
    <w:rsid w:val="00A3068C"/>
    <w:rsid w:val="00A30D82"/>
    <w:rsid w:val="00A3125F"/>
    <w:rsid w:val="00A31EE8"/>
    <w:rsid w:val="00A324F7"/>
    <w:rsid w:val="00A3314A"/>
    <w:rsid w:val="00A333B3"/>
    <w:rsid w:val="00A33504"/>
    <w:rsid w:val="00A33527"/>
    <w:rsid w:val="00A346BA"/>
    <w:rsid w:val="00A3579A"/>
    <w:rsid w:val="00A360AC"/>
    <w:rsid w:val="00A366A4"/>
    <w:rsid w:val="00A36FBC"/>
    <w:rsid w:val="00A37AAF"/>
    <w:rsid w:val="00A37CEA"/>
    <w:rsid w:val="00A37D6F"/>
    <w:rsid w:val="00A37E63"/>
    <w:rsid w:val="00A4103E"/>
    <w:rsid w:val="00A414CE"/>
    <w:rsid w:val="00A41809"/>
    <w:rsid w:val="00A41B29"/>
    <w:rsid w:val="00A41BBC"/>
    <w:rsid w:val="00A420B5"/>
    <w:rsid w:val="00A4250E"/>
    <w:rsid w:val="00A4291C"/>
    <w:rsid w:val="00A42FDE"/>
    <w:rsid w:val="00A4306A"/>
    <w:rsid w:val="00A4369F"/>
    <w:rsid w:val="00A4372B"/>
    <w:rsid w:val="00A44502"/>
    <w:rsid w:val="00A44616"/>
    <w:rsid w:val="00A44BA1"/>
    <w:rsid w:val="00A44FC4"/>
    <w:rsid w:val="00A45621"/>
    <w:rsid w:val="00A456AE"/>
    <w:rsid w:val="00A4619E"/>
    <w:rsid w:val="00A463EE"/>
    <w:rsid w:val="00A4663E"/>
    <w:rsid w:val="00A46C85"/>
    <w:rsid w:val="00A50853"/>
    <w:rsid w:val="00A50A24"/>
    <w:rsid w:val="00A50E15"/>
    <w:rsid w:val="00A50E19"/>
    <w:rsid w:val="00A51393"/>
    <w:rsid w:val="00A5143E"/>
    <w:rsid w:val="00A5188F"/>
    <w:rsid w:val="00A51E3D"/>
    <w:rsid w:val="00A52B40"/>
    <w:rsid w:val="00A52ECC"/>
    <w:rsid w:val="00A5312B"/>
    <w:rsid w:val="00A541E0"/>
    <w:rsid w:val="00A5474F"/>
    <w:rsid w:val="00A5479A"/>
    <w:rsid w:val="00A54BCB"/>
    <w:rsid w:val="00A5536A"/>
    <w:rsid w:val="00A55ECD"/>
    <w:rsid w:val="00A5605F"/>
    <w:rsid w:val="00A5775B"/>
    <w:rsid w:val="00A5778C"/>
    <w:rsid w:val="00A57A61"/>
    <w:rsid w:val="00A57EAB"/>
    <w:rsid w:val="00A608BD"/>
    <w:rsid w:val="00A61597"/>
    <w:rsid w:val="00A61922"/>
    <w:rsid w:val="00A622B9"/>
    <w:rsid w:val="00A62354"/>
    <w:rsid w:val="00A631EF"/>
    <w:rsid w:val="00A64138"/>
    <w:rsid w:val="00A6461B"/>
    <w:rsid w:val="00A649DF"/>
    <w:rsid w:val="00A65350"/>
    <w:rsid w:val="00A65498"/>
    <w:rsid w:val="00A66BCD"/>
    <w:rsid w:val="00A6737D"/>
    <w:rsid w:val="00A67A9E"/>
    <w:rsid w:val="00A73003"/>
    <w:rsid w:val="00A73102"/>
    <w:rsid w:val="00A73F5F"/>
    <w:rsid w:val="00A74038"/>
    <w:rsid w:val="00A74608"/>
    <w:rsid w:val="00A74A1C"/>
    <w:rsid w:val="00A754FC"/>
    <w:rsid w:val="00A75D48"/>
    <w:rsid w:val="00A76F8F"/>
    <w:rsid w:val="00A773B1"/>
    <w:rsid w:val="00A77FB5"/>
    <w:rsid w:val="00A80A92"/>
    <w:rsid w:val="00A81341"/>
    <w:rsid w:val="00A813BF"/>
    <w:rsid w:val="00A81A6F"/>
    <w:rsid w:val="00A81DD7"/>
    <w:rsid w:val="00A8235A"/>
    <w:rsid w:val="00A8267D"/>
    <w:rsid w:val="00A828A1"/>
    <w:rsid w:val="00A8462E"/>
    <w:rsid w:val="00A8481D"/>
    <w:rsid w:val="00A84923"/>
    <w:rsid w:val="00A8539D"/>
    <w:rsid w:val="00A85C62"/>
    <w:rsid w:val="00A866B5"/>
    <w:rsid w:val="00A86740"/>
    <w:rsid w:val="00A86BAE"/>
    <w:rsid w:val="00A86CE2"/>
    <w:rsid w:val="00A86D43"/>
    <w:rsid w:val="00A87323"/>
    <w:rsid w:val="00A879E9"/>
    <w:rsid w:val="00A90155"/>
    <w:rsid w:val="00A90202"/>
    <w:rsid w:val="00A9069B"/>
    <w:rsid w:val="00A90796"/>
    <w:rsid w:val="00A907F5"/>
    <w:rsid w:val="00A90C5B"/>
    <w:rsid w:val="00A90D7F"/>
    <w:rsid w:val="00A912FF"/>
    <w:rsid w:val="00A913EB"/>
    <w:rsid w:val="00A91E04"/>
    <w:rsid w:val="00A9221B"/>
    <w:rsid w:val="00A926BF"/>
    <w:rsid w:val="00A92B77"/>
    <w:rsid w:val="00A92C5A"/>
    <w:rsid w:val="00A92F0B"/>
    <w:rsid w:val="00A93377"/>
    <w:rsid w:val="00A93E7C"/>
    <w:rsid w:val="00A94291"/>
    <w:rsid w:val="00A9477A"/>
    <w:rsid w:val="00A94B1E"/>
    <w:rsid w:val="00A95132"/>
    <w:rsid w:val="00A959B8"/>
    <w:rsid w:val="00A95DDF"/>
    <w:rsid w:val="00A95ED4"/>
    <w:rsid w:val="00A96868"/>
    <w:rsid w:val="00A979A1"/>
    <w:rsid w:val="00AA0366"/>
    <w:rsid w:val="00AA036C"/>
    <w:rsid w:val="00AA070D"/>
    <w:rsid w:val="00AA0767"/>
    <w:rsid w:val="00AA1AE1"/>
    <w:rsid w:val="00AA1D13"/>
    <w:rsid w:val="00AA1D56"/>
    <w:rsid w:val="00AA2AD6"/>
    <w:rsid w:val="00AA3939"/>
    <w:rsid w:val="00AA3E86"/>
    <w:rsid w:val="00AA4447"/>
    <w:rsid w:val="00AA5633"/>
    <w:rsid w:val="00AA603C"/>
    <w:rsid w:val="00AA70E1"/>
    <w:rsid w:val="00AA756A"/>
    <w:rsid w:val="00AB037E"/>
    <w:rsid w:val="00AB0542"/>
    <w:rsid w:val="00AB2645"/>
    <w:rsid w:val="00AB50EC"/>
    <w:rsid w:val="00AB51E4"/>
    <w:rsid w:val="00AB535B"/>
    <w:rsid w:val="00AB63B4"/>
    <w:rsid w:val="00AB66FC"/>
    <w:rsid w:val="00AB6C43"/>
    <w:rsid w:val="00AB7103"/>
    <w:rsid w:val="00AB770D"/>
    <w:rsid w:val="00AB778D"/>
    <w:rsid w:val="00AC01B4"/>
    <w:rsid w:val="00AC07D9"/>
    <w:rsid w:val="00AC0A0E"/>
    <w:rsid w:val="00AC105A"/>
    <w:rsid w:val="00AC1604"/>
    <w:rsid w:val="00AC1DCB"/>
    <w:rsid w:val="00AC1FE3"/>
    <w:rsid w:val="00AC2F62"/>
    <w:rsid w:val="00AC3357"/>
    <w:rsid w:val="00AC372B"/>
    <w:rsid w:val="00AC4139"/>
    <w:rsid w:val="00AC544B"/>
    <w:rsid w:val="00AC546F"/>
    <w:rsid w:val="00AC5585"/>
    <w:rsid w:val="00AC5BE5"/>
    <w:rsid w:val="00AC645F"/>
    <w:rsid w:val="00AC64F3"/>
    <w:rsid w:val="00AC68C4"/>
    <w:rsid w:val="00AC6A1D"/>
    <w:rsid w:val="00AC73C4"/>
    <w:rsid w:val="00AC7D96"/>
    <w:rsid w:val="00AD0B3B"/>
    <w:rsid w:val="00AD157A"/>
    <w:rsid w:val="00AD1671"/>
    <w:rsid w:val="00AD1DDE"/>
    <w:rsid w:val="00AD2AC8"/>
    <w:rsid w:val="00AD3764"/>
    <w:rsid w:val="00AD3F28"/>
    <w:rsid w:val="00AD4171"/>
    <w:rsid w:val="00AD4ADF"/>
    <w:rsid w:val="00AD5540"/>
    <w:rsid w:val="00AD724E"/>
    <w:rsid w:val="00AD7402"/>
    <w:rsid w:val="00AD7B02"/>
    <w:rsid w:val="00AE0420"/>
    <w:rsid w:val="00AE0ACF"/>
    <w:rsid w:val="00AE0CD2"/>
    <w:rsid w:val="00AE0D70"/>
    <w:rsid w:val="00AE1157"/>
    <w:rsid w:val="00AE1AC4"/>
    <w:rsid w:val="00AE1EC7"/>
    <w:rsid w:val="00AE2760"/>
    <w:rsid w:val="00AE4C2C"/>
    <w:rsid w:val="00AE4D46"/>
    <w:rsid w:val="00AE52AA"/>
    <w:rsid w:val="00AE537A"/>
    <w:rsid w:val="00AE580E"/>
    <w:rsid w:val="00AE5A02"/>
    <w:rsid w:val="00AE6944"/>
    <w:rsid w:val="00AE6B94"/>
    <w:rsid w:val="00AE710D"/>
    <w:rsid w:val="00AE7565"/>
    <w:rsid w:val="00AF00B9"/>
    <w:rsid w:val="00AF051D"/>
    <w:rsid w:val="00AF09C5"/>
    <w:rsid w:val="00AF2B4F"/>
    <w:rsid w:val="00AF2E32"/>
    <w:rsid w:val="00AF3067"/>
    <w:rsid w:val="00AF3086"/>
    <w:rsid w:val="00AF30FE"/>
    <w:rsid w:val="00AF33E0"/>
    <w:rsid w:val="00AF3491"/>
    <w:rsid w:val="00AF3C57"/>
    <w:rsid w:val="00AF3DED"/>
    <w:rsid w:val="00AF4DDB"/>
    <w:rsid w:val="00AF4F78"/>
    <w:rsid w:val="00AF525A"/>
    <w:rsid w:val="00AF65A7"/>
    <w:rsid w:val="00AF6C85"/>
    <w:rsid w:val="00B0001C"/>
    <w:rsid w:val="00B001CA"/>
    <w:rsid w:val="00B00DA1"/>
    <w:rsid w:val="00B00F73"/>
    <w:rsid w:val="00B013D0"/>
    <w:rsid w:val="00B0176B"/>
    <w:rsid w:val="00B0195D"/>
    <w:rsid w:val="00B020A2"/>
    <w:rsid w:val="00B02DC9"/>
    <w:rsid w:val="00B02F63"/>
    <w:rsid w:val="00B0449F"/>
    <w:rsid w:val="00B044C1"/>
    <w:rsid w:val="00B046FB"/>
    <w:rsid w:val="00B04BAD"/>
    <w:rsid w:val="00B04CBF"/>
    <w:rsid w:val="00B0568A"/>
    <w:rsid w:val="00B05FB6"/>
    <w:rsid w:val="00B06465"/>
    <w:rsid w:val="00B0678B"/>
    <w:rsid w:val="00B06A17"/>
    <w:rsid w:val="00B06BCF"/>
    <w:rsid w:val="00B06D81"/>
    <w:rsid w:val="00B077EB"/>
    <w:rsid w:val="00B079C1"/>
    <w:rsid w:val="00B07B23"/>
    <w:rsid w:val="00B10A53"/>
    <w:rsid w:val="00B1263B"/>
    <w:rsid w:val="00B12E39"/>
    <w:rsid w:val="00B13117"/>
    <w:rsid w:val="00B132FD"/>
    <w:rsid w:val="00B14629"/>
    <w:rsid w:val="00B15105"/>
    <w:rsid w:val="00B1510A"/>
    <w:rsid w:val="00B1517B"/>
    <w:rsid w:val="00B15692"/>
    <w:rsid w:val="00B15886"/>
    <w:rsid w:val="00B15CB3"/>
    <w:rsid w:val="00B15CF2"/>
    <w:rsid w:val="00B16174"/>
    <w:rsid w:val="00B166DC"/>
    <w:rsid w:val="00B16C7B"/>
    <w:rsid w:val="00B17466"/>
    <w:rsid w:val="00B17A95"/>
    <w:rsid w:val="00B20588"/>
    <w:rsid w:val="00B20D0A"/>
    <w:rsid w:val="00B21209"/>
    <w:rsid w:val="00B22E79"/>
    <w:rsid w:val="00B23D71"/>
    <w:rsid w:val="00B24D86"/>
    <w:rsid w:val="00B251B9"/>
    <w:rsid w:val="00B25489"/>
    <w:rsid w:val="00B25DFE"/>
    <w:rsid w:val="00B261E1"/>
    <w:rsid w:val="00B27976"/>
    <w:rsid w:val="00B27A44"/>
    <w:rsid w:val="00B27CAB"/>
    <w:rsid w:val="00B27E21"/>
    <w:rsid w:val="00B30F23"/>
    <w:rsid w:val="00B317C7"/>
    <w:rsid w:val="00B31CE0"/>
    <w:rsid w:val="00B32CEE"/>
    <w:rsid w:val="00B3303A"/>
    <w:rsid w:val="00B33AE4"/>
    <w:rsid w:val="00B343B9"/>
    <w:rsid w:val="00B347EE"/>
    <w:rsid w:val="00B34914"/>
    <w:rsid w:val="00B34E95"/>
    <w:rsid w:val="00B352A5"/>
    <w:rsid w:val="00B35680"/>
    <w:rsid w:val="00B35795"/>
    <w:rsid w:val="00B35E46"/>
    <w:rsid w:val="00B3626B"/>
    <w:rsid w:val="00B370BB"/>
    <w:rsid w:val="00B37AB2"/>
    <w:rsid w:val="00B401C7"/>
    <w:rsid w:val="00B410B1"/>
    <w:rsid w:val="00B41A0B"/>
    <w:rsid w:val="00B41F55"/>
    <w:rsid w:val="00B420F8"/>
    <w:rsid w:val="00B4229E"/>
    <w:rsid w:val="00B432CA"/>
    <w:rsid w:val="00B433D4"/>
    <w:rsid w:val="00B441A0"/>
    <w:rsid w:val="00B44534"/>
    <w:rsid w:val="00B44789"/>
    <w:rsid w:val="00B45DB0"/>
    <w:rsid w:val="00B45F87"/>
    <w:rsid w:val="00B465A2"/>
    <w:rsid w:val="00B46D39"/>
    <w:rsid w:val="00B4742A"/>
    <w:rsid w:val="00B50D77"/>
    <w:rsid w:val="00B52155"/>
    <w:rsid w:val="00B52917"/>
    <w:rsid w:val="00B52D1D"/>
    <w:rsid w:val="00B537E9"/>
    <w:rsid w:val="00B5400A"/>
    <w:rsid w:val="00B552A7"/>
    <w:rsid w:val="00B5546A"/>
    <w:rsid w:val="00B55639"/>
    <w:rsid w:val="00B559E0"/>
    <w:rsid w:val="00B55CE8"/>
    <w:rsid w:val="00B566DA"/>
    <w:rsid w:val="00B5691D"/>
    <w:rsid w:val="00B56BCF"/>
    <w:rsid w:val="00B56C50"/>
    <w:rsid w:val="00B56FFB"/>
    <w:rsid w:val="00B57EC8"/>
    <w:rsid w:val="00B57ECB"/>
    <w:rsid w:val="00B57F6B"/>
    <w:rsid w:val="00B60DE6"/>
    <w:rsid w:val="00B619CE"/>
    <w:rsid w:val="00B61AAE"/>
    <w:rsid w:val="00B61C2D"/>
    <w:rsid w:val="00B61FAE"/>
    <w:rsid w:val="00B621BE"/>
    <w:rsid w:val="00B64504"/>
    <w:rsid w:val="00B64F33"/>
    <w:rsid w:val="00B65454"/>
    <w:rsid w:val="00B65812"/>
    <w:rsid w:val="00B66169"/>
    <w:rsid w:val="00B6645E"/>
    <w:rsid w:val="00B70210"/>
    <w:rsid w:val="00B71638"/>
    <w:rsid w:val="00B71654"/>
    <w:rsid w:val="00B71C24"/>
    <w:rsid w:val="00B71FF6"/>
    <w:rsid w:val="00B724CC"/>
    <w:rsid w:val="00B730A0"/>
    <w:rsid w:val="00B736D7"/>
    <w:rsid w:val="00B74D5D"/>
    <w:rsid w:val="00B75D12"/>
    <w:rsid w:val="00B76044"/>
    <w:rsid w:val="00B760FE"/>
    <w:rsid w:val="00B76366"/>
    <w:rsid w:val="00B76898"/>
    <w:rsid w:val="00B778BC"/>
    <w:rsid w:val="00B77ECB"/>
    <w:rsid w:val="00B80253"/>
    <w:rsid w:val="00B80EE1"/>
    <w:rsid w:val="00B8101C"/>
    <w:rsid w:val="00B810FA"/>
    <w:rsid w:val="00B81236"/>
    <w:rsid w:val="00B816DC"/>
    <w:rsid w:val="00B81D9C"/>
    <w:rsid w:val="00B822A9"/>
    <w:rsid w:val="00B822D2"/>
    <w:rsid w:val="00B82AAB"/>
    <w:rsid w:val="00B82B7A"/>
    <w:rsid w:val="00B831AF"/>
    <w:rsid w:val="00B83714"/>
    <w:rsid w:val="00B841B5"/>
    <w:rsid w:val="00B8483C"/>
    <w:rsid w:val="00B849E1"/>
    <w:rsid w:val="00B84BD3"/>
    <w:rsid w:val="00B850AE"/>
    <w:rsid w:val="00B85178"/>
    <w:rsid w:val="00B85EAF"/>
    <w:rsid w:val="00B8611C"/>
    <w:rsid w:val="00B87043"/>
    <w:rsid w:val="00B871B2"/>
    <w:rsid w:val="00B87480"/>
    <w:rsid w:val="00B875CB"/>
    <w:rsid w:val="00B90061"/>
    <w:rsid w:val="00B904CF"/>
    <w:rsid w:val="00B91E08"/>
    <w:rsid w:val="00B920E3"/>
    <w:rsid w:val="00B92755"/>
    <w:rsid w:val="00B94CBF"/>
    <w:rsid w:val="00B958DF"/>
    <w:rsid w:val="00B9742F"/>
    <w:rsid w:val="00B978F4"/>
    <w:rsid w:val="00BA00D5"/>
    <w:rsid w:val="00BA019C"/>
    <w:rsid w:val="00BA0232"/>
    <w:rsid w:val="00BA0449"/>
    <w:rsid w:val="00BA0DDD"/>
    <w:rsid w:val="00BA0FB4"/>
    <w:rsid w:val="00BA15B6"/>
    <w:rsid w:val="00BA17A5"/>
    <w:rsid w:val="00BA1AEB"/>
    <w:rsid w:val="00BA1EFA"/>
    <w:rsid w:val="00BA2741"/>
    <w:rsid w:val="00BA28AD"/>
    <w:rsid w:val="00BA2D02"/>
    <w:rsid w:val="00BA3B46"/>
    <w:rsid w:val="00BA3E3E"/>
    <w:rsid w:val="00BA5768"/>
    <w:rsid w:val="00BA5B7D"/>
    <w:rsid w:val="00BA5C46"/>
    <w:rsid w:val="00BA5E49"/>
    <w:rsid w:val="00BA60D6"/>
    <w:rsid w:val="00BA6DF6"/>
    <w:rsid w:val="00BA7B7E"/>
    <w:rsid w:val="00BA7F08"/>
    <w:rsid w:val="00BB08A0"/>
    <w:rsid w:val="00BB0BCA"/>
    <w:rsid w:val="00BB0C1F"/>
    <w:rsid w:val="00BB13B1"/>
    <w:rsid w:val="00BB1D5D"/>
    <w:rsid w:val="00BB3AAF"/>
    <w:rsid w:val="00BB3EF8"/>
    <w:rsid w:val="00BB3F44"/>
    <w:rsid w:val="00BB4A03"/>
    <w:rsid w:val="00BB51BB"/>
    <w:rsid w:val="00BB53B8"/>
    <w:rsid w:val="00BB5A5E"/>
    <w:rsid w:val="00BB6278"/>
    <w:rsid w:val="00BB6FE7"/>
    <w:rsid w:val="00BB70C7"/>
    <w:rsid w:val="00BB70F5"/>
    <w:rsid w:val="00BB7A00"/>
    <w:rsid w:val="00BB7AE5"/>
    <w:rsid w:val="00BC0611"/>
    <w:rsid w:val="00BC0669"/>
    <w:rsid w:val="00BC139A"/>
    <w:rsid w:val="00BC1838"/>
    <w:rsid w:val="00BC1DB1"/>
    <w:rsid w:val="00BC227F"/>
    <w:rsid w:val="00BC25C1"/>
    <w:rsid w:val="00BC2F84"/>
    <w:rsid w:val="00BC433B"/>
    <w:rsid w:val="00BC44EE"/>
    <w:rsid w:val="00BC47F6"/>
    <w:rsid w:val="00BC4B5E"/>
    <w:rsid w:val="00BC5147"/>
    <w:rsid w:val="00BC5194"/>
    <w:rsid w:val="00BC6231"/>
    <w:rsid w:val="00BC6599"/>
    <w:rsid w:val="00BC6EB2"/>
    <w:rsid w:val="00BC7293"/>
    <w:rsid w:val="00BC75B1"/>
    <w:rsid w:val="00BD0B8F"/>
    <w:rsid w:val="00BD146F"/>
    <w:rsid w:val="00BD1FAC"/>
    <w:rsid w:val="00BD2DCB"/>
    <w:rsid w:val="00BD34D9"/>
    <w:rsid w:val="00BD3B73"/>
    <w:rsid w:val="00BD45F0"/>
    <w:rsid w:val="00BD46A2"/>
    <w:rsid w:val="00BD491F"/>
    <w:rsid w:val="00BD4ADB"/>
    <w:rsid w:val="00BD4EF4"/>
    <w:rsid w:val="00BD53D5"/>
    <w:rsid w:val="00BD5748"/>
    <w:rsid w:val="00BD5DCC"/>
    <w:rsid w:val="00BD600A"/>
    <w:rsid w:val="00BD63FA"/>
    <w:rsid w:val="00BD66B4"/>
    <w:rsid w:val="00BD691E"/>
    <w:rsid w:val="00BD6A9F"/>
    <w:rsid w:val="00BD7016"/>
    <w:rsid w:val="00BD75FF"/>
    <w:rsid w:val="00BD7C29"/>
    <w:rsid w:val="00BD7E59"/>
    <w:rsid w:val="00BE26C7"/>
    <w:rsid w:val="00BE4FB2"/>
    <w:rsid w:val="00BE628B"/>
    <w:rsid w:val="00BE662D"/>
    <w:rsid w:val="00BE6D73"/>
    <w:rsid w:val="00BE70F6"/>
    <w:rsid w:val="00BE7C69"/>
    <w:rsid w:val="00BF0275"/>
    <w:rsid w:val="00BF0C62"/>
    <w:rsid w:val="00BF13D6"/>
    <w:rsid w:val="00BF21AF"/>
    <w:rsid w:val="00BF2DCA"/>
    <w:rsid w:val="00BF349F"/>
    <w:rsid w:val="00BF4575"/>
    <w:rsid w:val="00BF4B3B"/>
    <w:rsid w:val="00BF60AE"/>
    <w:rsid w:val="00BF66A4"/>
    <w:rsid w:val="00BF66B3"/>
    <w:rsid w:val="00BF7A47"/>
    <w:rsid w:val="00BF7F0D"/>
    <w:rsid w:val="00C00399"/>
    <w:rsid w:val="00C0081F"/>
    <w:rsid w:val="00C00A50"/>
    <w:rsid w:val="00C00B99"/>
    <w:rsid w:val="00C0114E"/>
    <w:rsid w:val="00C0159A"/>
    <w:rsid w:val="00C01CC7"/>
    <w:rsid w:val="00C024EB"/>
    <w:rsid w:val="00C02723"/>
    <w:rsid w:val="00C0295F"/>
    <w:rsid w:val="00C0301D"/>
    <w:rsid w:val="00C0466C"/>
    <w:rsid w:val="00C05004"/>
    <w:rsid w:val="00C05A4C"/>
    <w:rsid w:val="00C05C21"/>
    <w:rsid w:val="00C060D2"/>
    <w:rsid w:val="00C061A8"/>
    <w:rsid w:val="00C06717"/>
    <w:rsid w:val="00C06DAB"/>
    <w:rsid w:val="00C07A39"/>
    <w:rsid w:val="00C07F48"/>
    <w:rsid w:val="00C10FC6"/>
    <w:rsid w:val="00C114D9"/>
    <w:rsid w:val="00C11AD3"/>
    <w:rsid w:val="00C12620"/>
    <w:rsid w:val="00C133A4"/>
    <w:rsid w:val="00C13D96"/>
    <w:rsid w:val="00C14104"/>
    <w:rsid w:val="00C14FB0"/>
    <w:rsid w:val="00C15208"/>
    <w:rsid w:val="00C158D5"/>
    <w:rsid w:val="00C16E28"/>
    <w:rsid w:val="00C173B8"/>
    <w:rsid w:val="00C174EC"/>
    <w:rsid w:val="00C17688"/>
    <w:rsid w:val="00C1786B"/>
    <w:rsid w:val="00C17D45"/>
    <w:rsid w:val="00C20385"/>
    <w:rsid w:val="00C20400"/>
    <w:rsid w:val="00C21769"/>
    <w:rsid w:val="00C21BF5"/>
    <w:rsid w:val="00C21DA0"/>
    <w:rsid w:val="00C22549"/>
    <w:rsid w:val="00C22736"/>
    <w:rsid w:val="00C23408"/>
    <w:rsid w:val="00C23ABC"/>
    <w:rsid w:val="00C23CB9"/>
    <w:rsid w:val="00C23D45"/>
    <w:rsid w:val="00C24322"/>
    <w:rsid w:val="00C245F7"/>
    <w:rsid w:val="00C249B5"/>
    <w:rsid w:val="00C25B59"/>
    <w:rsid w:val="00C268D2"/>
    <w:rsid w:val="00C30A4B"/>
    <w:rsid w:val="00C314E5"/>
    <w:rsid w:val="00C31ECC"/>
    <w:rsid w:val="00C345F5"/>
    <w:rsid w:val="00C352BF"/>
    <w:rsid w:val="00C358A1"/>
    <w:rsid w:val="00C3664A"/>
    <w:rsid w:val="00C372F9"/>
    <w:rsid w:val="00C374ED"/>
    <w:rsid w:val="00C37593"/>
    <w:rsid w:val="00C375C1"/>
    <w:rsid w:val="00C40B57"/>
    <w:rsid w:val="00C4172D"/>
    <w:rsid w:val="00C41C15"/>
    <w:rsid w:val="00C41C4B"/>
    <w:rsid w:val="00C42265"/>
    <w:rsid w:val="00C4228E"/>
    <w:rsid w:val="00C42549"/>
    <w:rsid w:val="00C4263D"/>
    <w:rsid w:val="00C4276F"/>
    <w:rsid w:val="00C42CE1"/>
    <w:rsid w:val="00C43EAA"/>
    <w:rsid w:val="00C4440E"/>
    <w:rsid w:val="00C45625"/>
    <w:rsid w:val="00C458F8"/>
    <w:rsid w:val="00C4668D"/>
    <w:rsid w:val="00C46C41"/>
    <w:rsid w:val="00C46C60"/>
    <w:rsid w:val="00C46D78"/>
    <w:rsid w:val="00C47494"/>
    <w:rsid w:val="00C47F74"/>
    <w:rsid w:val="00C5003A"/>
    <w:rsid w:val="00C5018E"/>
    <w:rsid w:val="00C50248"/>
    <w:rsid w:val="00C5034F"/>
    <w:rsid w:val="00C5082F"/>
    <w:rsid w:val="00C51623"/>
    <w:rsid w:val="00C51F9F"/>
    <w:rsid w:val="00C52A84"/>
    <w:rsid w:val="00C52E4C"/>
    <w:rsid w:val="00C54791"/>
    <w:rsid w:val="00C54830"/>
    <w:rsid w:val="00C548B8"/>
    <w:rsid w:val="00C55E4B"/>
    <w:rsid w:val="00C55FDB"/>
    <w:rsid w:val="00C564C4"/>
    <w:rsid w:val="00C56DD6"/>
    <w:rsid w:val="00C573D4"/>
    <w:rsid w:val="00C60075"/>
    <w:rsid w:val="00C602BE"/>
    <w:rsid w:val="00C6042A"/>
    <w:rsid w:val="00C62011"/>
    <w:rsid w:val="00C62151"/>
    <w:rsid w:val="00C62293"/>
    <w:rsid w:val="00C62A62"/>
    <w:rsid w:val="00C62BC5"/>
    <w:rsid w:val="00C62E85"/>
    <w:rsid w:val="00C64AB2"/>
    <w:rsid w:val="00C64F03"/>
    <w:rsid w:val="00C654E8"/>
    <w:rsid w:val="00C65D45"/>
    <w:rsid w:val="00C67D68"/>
    <w:rsid w:val="00C70396"/>
    <w:rsid w:val="00C70F3E"/>
    <w:rsid w:val="00C71178"/>
    <w:rsid w:val="00C72072"/>
    <w:rsid w:val="00C72303"/>
    <w:rsid w:val="00C72367"/>
    <w:rsid w:val="00C729AF"/>
    <w:rsid w:val="00C73C4C"/>
    <w:rsid w:val="00C74052"/>
    <w:rsid w:val="00C749A4"/>
    <w:rsid w:val="00C75420"/>
    <w:rsid w:val="00C7597F"/>
    <w:rsid w:val="00C76031"/>
    <w:rsid w:val="00C766CC"/>
    <w:rsid w:val="00C76876"/>
    <w:rsid w:val="00C80E04"/>
    <w:rsid w:val="00C80EF1"/>
    <w:rsid w:val="00C81300"/>
    <w:rsid w:val="00C81981"/>
    <w:rsid w:val="00C82152"/>
    <w:rsid w:val="00C82331"/>
    <w:rsid w:val="00C82839"/>
    <w:rsid w:val="00C82DD5"/>
    <w:rsid w:val="00C8337F"/>
    <w:rsid w:val="00C83780"/>
    <w:rsid w:val="00C83FCC"/>
    <w:rsid w:val="00C8423A"/>
    <w:rsid w:val="00C84883"/>
    <w:rsid w:val="00C84E2F"/>
    <w:rsid w:val="00C84F99"/>
    <w:rsid w:val="00C853A1"/>
    <w:rsid w:val="00C866DE"/>
    <w:rsid w:val="00C87747"/>
    <w:rsid w:val="00C9012B"/>
    <w:rsid w:val="00C90B24"/>
    <w:rsid w:val="00C9138E"/>
    <w:rsid w:val="00C91D5E"/>
    <w:rsid w:val="00C932B5"/>
    <w:rsid w:val="00C93FF9"/>
    <w:rsid w:val="00C94A2D"/>
    <w:rsid w:val="00C95492"/>
    <w:rsid w:val="00C95FBA"/>
    <w:rsid w:val="00C9621E"/>
    <w:rsid w:val="00C965D8"/>
    <w:rsid w:val="00C9794B"/>
    <w:rsid w:val="00C97B5C"/>
    <w:rsid w:val="00C97DDD"/>
    <w:rsid w:val="00CA0446"/>
    <w:rsid w:val="00CA0A56"/>
    <w:rsid w:val="00CA1987"/>
    <w:rsid w:val="00CA1D76"/>
    <w:rsid w:val="00CA1F92"/>
    <w:rsid w:val="00CA256D"/>
    <w:rsid w:val="00CA397A"/>
    <w:rsid w:val="00CA4202"/>
    <w:rsid w:val="00CA4710"/>
    <w:rsid w:val="00CA502F"/>
    <w:rsid w:val="00CA53ED"/>
    <w:rsid w:val="00CA5A9D"/>
    <w:rsid w:val="00CA61CB"/>
    <w:rsid w:val="00CA6382"/>
    <w:rsid w:val="00CA7834"/>
    <w:rsid w:val="00CA7AB2"/>
    <w:rsid w:val="00CB0462"/>
    <w:rsid w:val="00CB0F29"/>
    <w:rsid w:val="00CB1480"/>
    <w:rsid w:val="00CB15B0"/>
    <w:rsid w:val="00CB16E0"/>
    <w:rsid w:val="00CB19EC"/>
    <w:rsid w:val="00CB3E64"/>
    <w:rsid w:val="00CB4312"/>
    <w:rsid w:val="00CB4857"/>
    <w:rsid w:val="00CB5F2E"/>
    <w:rsid w:val="00CB6868"/>
    <w:rsid w:val="00CB6909"/>
    <w:rsid w:val="00CB6CE6"/>
    <w:rsid w:val="00CB7029"/>
    <w:rsid w:val="00CB7041"/>
    <w:rsid w:val="00CC06E5"/>
    <w:rsid w:val="00CC0F6D"/>
    <w:rsid w:val="00CC1246"/>
    <w:rsid w:val="00CC1319"/>
    <w:rsid w:val="00CC160B"/>
    <w:rsid w:val="00CC1B2F"/>
    <w:rsid w:val="00CC28A5"/>
    <w:rsid w:val="00CC2A2F"/>
    <w:rsid w:val="00CC2AFD"/>
    <w:rsid w:val="00CC3192"/>
    <w:rsid w:val="00CC4ADE"/>
    <w:rsid w:val="00CC4B36"/>
    <w:rsid w:val="00CC4C9B"/>
    <w:rsid w:val="00CC5649"/>
    <w:rsid w:val="00CC6275"/>
    <w:rsid w:val="00CC6A6A"/>
    <w:rsid w:val="00CC723E"/>
    <w:rsid w:val="00CC787C"/>
    <w:rsid w:val="00CD1084"/>
    <w:rsid w:val="00CD12E9"/>
    <w:rsid w:val="00CD1599"/>
    <w:rsid w:val="00CD1E24"/>
    <w:rsid w:val="00CD2ECE"/>
    <w:rsid w:val="00CD3F8B"/>
    <w:rsid w:val="00CD42FD"/>
    <w:rsid w:val="00CD4322"/>
    <w:rsid w:val="00CD5120"/>
    <w:rsid w:val="00CD59D5"/>
    <w:rsid w:val="00CD6961"/>
    <w:rsid w:val="00CE08BD"/>
    <w:rsid w:val="00CE0FDE"/>
    <w:rsid w:val="00CE1374"/>
    <w:rsid w:val="00CE1DE5"/>
    <w:rsid w:val="00CE2136"/>
    <w:rsid w:val="00CE2FCE"/>
    <w:rsid w:val="00CE58BC"/>
    <w:rsid w:val="00CE5CCA"/>
    <w:rsid w:val="00CE7547"/>
    <w:rsid w:val="00CE75FA"/>
    <w:rsid w:val="00CF091F"/>
    <w:rsid w:val="00CF0BFE"/>
    <w:rsid w:val="00CF1111"/>
    <w:rsid w:val="00CF14C8"/>
    <w:rsid w:val="00CF1CB6"/>
    <w:rsid w:val="00CF20E3"/>
    <w:rsid w:val="00CF2112"/>
    <w:rsid w:val="00CF2990"/>
    <w:rsid w:val="00CF36A4"/>
    <w:rsid w:val="00CF3E2A"/>
    <w:rsid w:val="00CF431A"/>
    <w:rsid w:val="00CF4504"/>
    <w:rsid w:val="00CF52B1"/>
    <w:rsid w:val="00CF63BE"/>
    <w:rsid w:val="00CF67B4"/>
    <w:rsid w:val="00CF6A3B"/>
    <w:rsid w:val="00CF6BCF"/>
    <w:rsid w:val="00CF6E47"/>
    <w:rsid w:val="00D00111"/>
    <w:rsid w:val="00D003BB"/>
    <w:rsid w:val="00D0129F"/>
    <w:rsid w:val="00D021C7"/>
    <w:rsid w:val="00D02A58"/>
    <w:rsid w:val="00D04419"/>
    <w:rsid w:val="00D0462F"/>
    <w:rsid w:val="00D048A2"/>
    <w:rsid w:val="00D05704"/>
    <w:rsid w:val="00D062F2"/>
    <w:rsid w:val="00D0635C"/>
    <w:rsid w:val="00D07085"/>
    <w:rsid w:val="00D076BB"/>
    <w:rsid w:val="00D0786D"/>
    <w:rsid w:val="00D07E65"/>
    <w:rsid w:val="00D10D04"/>
    <w:rsid w:val="00D11DAF"/>
    <w:rsid w:val="00D12821"/>
    <w:rsid w:val="00D12941"/>
    <w:rsid w:val="00D13766"/>
    <w:rsid w:val="00D13953"/>
    <w:rsid w:val="00D13C68"/>
    <w:rsid w:val="00D14C83"/>
    <w:rsid w:val="00D14DAE"/>
    <w:rsid w:val="00D14F90"/>
    <w:rsid w:val="00D160C9"/>
    <w:rsid w:val="00D16531"/>
    <w:rsid w:val="00D16D9E"/>
    <w:rsid w:val="00D17651"/>
    <w:rsid w:val="00D1778A"/>
    <w:rsid w:val="00D218D7"/>
    <w:rsid w:val="00D21AC7"/>
    <w:rsid w:val="00D21F32"/>
    <w:rsid w:val="00D22B9C"/>
    <w:rsid w:val="00D22EF8"/>
    <w:rsid w:val="00D22EFE"/>
    <w:rsid w:val="00D23B66"/>
    <w:rsid w:val="00D24180"/>
    <w:rsid w:val="00D2482E"/>
    <w:rsid w:val="00D25158"/>
    <w:rsid w:val="00D25305"/>
    <w:rsid w:val="00D268E1"/>
    <w:rsid w:val="00D26F0B"/>
    <w:rsid w:val="00D275AB"/>
    <w:rsid w:val="00D27B49"/>
    <w:rsid w:val="00D30003"/>
    <w:rsid w:val="00D3032F"/>
    <w:rsid w:val="00D30985"/>
    <w:rsid w:val="00D30C92"/>
    <w:rsid w:val="00D30CE8"/>
    <w:rsid w:val="00D31402"/>
    <w:rsid w:val="00D320A2"/>
    <w:rsid w:val="00D326C8"/>
    <w:rsid w:val="00D32C17"/>
    <w:rsid w:val="00D33057"/>
    <w:rsid w:val="00D333A5"/>
    <w:rsid w:val="00D33F39"/>
    <w:rsid w:val="00D34393"/>
    <w:rsid w:val="00D3505B"/>
    <w:rsid w:val="00D35D2B"/>
    <w:rsid w:val="00D366C5"/>
    <w:rsid w:val="00D4100D"/>
    <w:rsid w:val="00D41060"/>
    <w:rsid w:val="00D410FB"/>
    <w:rsid w:val="00D416A0"/>
    <w:rsid w:val="00D417FA"/>
    <w:rsid w:val="00D41A79"/>
    <w:rsid w:val="00D42232"/>
    <w:rsid w:val="00D427CD"/>
    <w:rsid w:val="00D42827"/>
    <w:rsid w:val="00D43F2C"/>
    <w:rsid w:val="00D43FBB"/>
    <w:rsid w:val="00D4474D"/>
    <w:rsid w:val="00D44A72"/>
    <w:rsid w:val="00D451AF"/>
    <w:rsid w:val="00D4531E"/>
    <w:rsid w:val="00D4590D"/>
    <w:rsid w:val="00D45AC6"/>
    <w:rsid w:val="00D46488"/>
    <w:rsid w:val="00D47713"/>
    <w:rsid w:val="00D47ADB"/>
    <w:rsid w:val="00D50D67"/>
    <w:rsid w:val="00D510D2"/>
    <w:rsid w:val="00D51825"/>
    <w:rsid w:val="00D51A54"/>
    <w:rsid w:val="00D527D0"/>
    <w:rsid w:val="00D527E1"/>
    <w:rsid w:val="00D52AB5"/>
    <w:rsid w:val="00D53989"/>
    <w:rsid w:val="00D53E4B"/>
    <w:rsid w:val="00D5414E"/>
    <w:rsid w:val="00D54783"/>
    <w:rsid w:val="00D5481C"/>
    <w:rsid w:val="00D54B43"/>
    <w:rsid w:val="00D5529A"/>
    <w:rsid w:val="00D563D3"/>
    <w:rsid w:val="00D608A4"/>
    <w:rsid w:val="00D610E2"/>
    <w:rsid w:val="00D6136C"/>
    <w:rsid w:val="00D61CF4"/>
    <w:rsid w:val="00D61D09"/>
    <w:rsid w:val="00D637F9"/>
    <w:rsid w:val="00D6397A"/>
    <w:rsid w:val="00D64E3A"/>
    <w:rsid w:val="00D6580C"/>
    <w:rsid w:val="00D6587B"/>
    <w:rsid w:val="00D65DC7"/>
    <w:rsid w:val="00D6633E"/>
    <w:rsid w:val="00D6713A"/>
    <w:rsid w:val="00D673BD"/>
    <w:rsid w:val="00D67948"/>
    <w:rsid w:val="00D7119A"/>
    <w:rsid w:val="00D7130C"/>
    <w:rsid w:val="00D720D5"/>
    <w:rsid w:val="00D7214B"/>
    <w:rsid w:val="00D72688"/>
    <w:rsid w:val="00D733E9"/>
    <w:rsid w:val="00D74D6C"/>
    <w:rsid w:val="00D7574C"/>
    <w:rsid w:val="00D75E40"/>
    <w:rsid w:val="00D76211"/>
    <w:rsid w:val="00D7692F"/>
    <w:rsid w:val="00D772E2"/>
    <w:rsid w:val="00D77A0B"/>
    <w:rsid w:val="00D80B94"/>
    <w:rsid w:val="00D8130D"/>
    <w:rsid w:val="00D81414"/>
    <w:rsid w:val="00D81561"/>
    <w:rsid w:val="00D8210B"/>
    <w:rsid w:val="00D8226E"/>
    <w:rsid w:val="00D828A2"/>
    <w:rsid w:val="00D82A3B"/>
    <w:rsid w:val="00D82AFB"/>
    <w:rsid w:val="00D830D0"/>
    <w:rsid w:val="00D830FA"/>
    <w:rsid w:val="00D83225"/>
    <w:rsid w:val="00D83A82"/>
    <w:rsid w:val="00D84344"/>
    <w:rsid w:val="00D846D7"/>
    <w:rsid w:val="00D86037"/>
    <w:rsid w:val="00D87805"/>
    <w:rsid w:val="00D907B7"/>
    <w:rsid w:val="00D90F88"/>
    <w:rsid w:val="00D916B2"/>
    <w:rsid w:val="00D918F9"/>
    <w:rsid w:val="00D92A0B"/>
    <w:rsid w:val="00D933D6"/>
    <w:rsid w:val="00D93521"/>
    <w:rsid w:val="00D936FD"/>
    <w:rsid w:val="00D94CC8"/>
    <w:rsid w:val="00D95058"/>
    <w:rsid w:val="00D95BD5"/>
    <w:rsid w:val="00D960CB"/>
    <w:rsid w:val="00D9654F"/>
    <w:rsid w:val="00D9669B"/>
    <w:rsid w:val="00D9680D"/>
    <w:rsid w:val="00D96C4A"/>
    <w:rsid w:val="00D96C58"/>
    <w:rsid w:val="00D96CF3"/>
    <w:rsid w:val="00D9700F"/>
    <w:rsid w:val="00D97687"/>
    <w:rsid w:val="00DA135A"/>
    <w:rsid w:val="00DA1531"/>
    <w:rsid w:val="00DA1681"/>
    <w:rsid w:val="00DA1E4C"/>
    <w:rsid w:val="00DA1F45"/>
    <w:rsid w:val="00DA2289"/>
    <w:rsid w:val="00DA2F94"/>
    <w:rsid w:val="00DA32B1"/>
    <w:rsid w:val="00DA340D"/>
    <w:rsid w:val="00DA5291"/>
    <w:rsid w:val="00DA56B6"/>
    <w:rsid w:val="00DA60E4"/>
    <w:rsid w:val="00DA6421"/>
    <w:rsid w:val="00DA66DA"/>
    <w:rsid w:val="00DA67FF"/>
    <w:rsid w:val="00DA6B29"/>
    <w:rsid w:val="00DA6D03"/>
    <w:rsid w:val="00DA7690"/>
    <w:rsid w:val="00DA7DA0"/>
    <w:rsid w:val="00DB106F"/>
    <w:rsid w:val="00DB15AC"/>
    <w:rsid w:val="00DB19BF"/>
    <w:rsid w:val="00DB24E5"/>
    <w:rsid w:val="00DB25E6"/>
    <w:rsid w:val="00DB29CE"/>
    <w:rsid w:val="00DB2A6B"/>
    <w:rsid w:val="00DB2C50"/>
    <w:rsid w:val="00DB34EB"/>
    <w:rsid w:val="00DB3A80"/>
    <w:rsid w:val="00DB43ED"/>
    <w:rsid w:val="00DB538E"/>
    <w:rsid w:val="00DB58B3"/>
    <w:rsid w:val="00DB5D74"/>
    <w:rsid w:val="00DB61F1"/>
    <w:rsid w:val="00DB62A0"/>
    <w:rsid w:val="00DB63C5"/>
    <w:rsid w:val="00DB749C"/>
    <w:rsid w:val="00DB7767"/>
    <w:rsid w:val="00DC0ACC"/>
    <w:rsid w:val="00DC11A3"/>
    <w:rsid w:val="00DC1544"/>
    <w:rsid w:val="00DC1C9E"/>
    <w:rsid w:val="00DC2281"/>
    <w:rsid w:val="00DC2366"/>
    <w:rsid w:val="00DC2474"/>
    <w:rsid w:val="00DC3187"/>
    <w:rsid w:val="00DC57D2"/>
    <w:rsid w:val="00DC5F35"/>
    <w:rsid w:val="00DC5F6F"/>
    <w:rsid w:val="00DC656D"/>
    <w:rsid w:val="00DC689A"/>
    <w:rsid w:val="00DC759C"/>
    <w:rsid w:val="00DC7C2E"/>
    <w:rsid w:val="00DC7CE9"/>
    <w:rsid w:val="00DD0E71"/>
    <w:rsid w:val="00DD12AD"/>
    <w:rsid w:val="00DD1587"/>
    <w:rsid w:val="00DD1D9D"/>
    <w:rsid w:val="00DD2AF0"/>
    <w:rsid w:val="00DD2F35"/>
    <w:rsid w:val="00DD3065"/>
    <w:rsid w:val="00DD4514"/>
    <w:rsid w:val="00DD471A"/>
    <w:rsid w:val="00DD4842"/>
    <w:rsid w:val="00DD4C83"/>
    <w:rsid w:val="00DD593C"/>
    <w:rsid w:val="00DD6982"/>
    <w:rsid w:val="00DD6ADA"/>
    <w:rsid w:val="00DD6D1A"/>
    <w:rsid w:val="00DD6EA9"/>
    <w:rsid w:val="00DD707F"/>
    <w:rsid w:val="00DD710C"/>
    <w:rsid w:val="00DD727C"/>
    <w:rsid w:val="00DD7582"/>
    <w:rsid w:val="00DD7D01"/>
    <w:rsid w:val="00DE060A"/>
    <w:rsid w:val="00DE0733"/>
    <w:rsid w:val="00DE08FB"/>
    <w:rsid w:val="00DE1DB7"/>
    <w:rsid w:val="00DE1FB3"/>
    <w:rsid w:val="00DE20AA"/>
    <w:rsid w:val="00DE287B"/>
    <w:rsid w:val="00DE32AE"/>
    <w:rsid w:val="00DE4FD7"/>
    <w:rsid w:val="00DE5709"/>
    <w:rsid w:val="00DE5731"/>
    <w:rsid w:val="00DE6AA5"/>
    <w:rsid w:val="00DE6D69"/>
    <w:rsid w:val="00DE724F"/>
    <w:rsid w:val="00DF0054"/>
    <w:rsid w:val="00DF03F7"/>
    <w:rsid w:val="00DF0690"/>
    <w:rsid w:val="00DF10F2"/>
    <w:rsid w:val="00DF1500"/>
    <w:rsid w:val="00DF1896"/>
    <w:rsid w:val="00DF2A51"/>
    <w:rsid w:val="00DF3065"/>
    <w:rsid w:val="00DF35AF"/>
    <w:rsid w:val="00DF3ECA"/>
    <w:rsid w:val="00DF4960"/>
    <w:rsid w:val="00DF5497"/>
    <w:rsid w:val="00DF554E"/>
    <w:rsid w:val="00DF6276"/>
    <w:rsid w:val="00DF6EB9"/>
    <w:rsid w:val="00DF7251"/>
    <w:rsid w:val="00DF7D89"/>
    <w:rsid w:val="00E0025C"/>
    <w:rsid w:val="00E008ED"/>
    <w:rsid w:val="00E02F02"/>
    <w:rsid w:val="00E0311F"/>
    <w:rsid w:val="00E031CA"/>
    <w:rsid w:val="00E0383A"/>
    <w:rsid w:val="00E04F34"/>
    <w:rsid w:val="00E04F3B"/>
    <w:rsid w:val="00E05A8C"/>
    <w:rsid w:val="00E05EFB"/>
    <w:rsid w:val="00E068D9"/>
    <w:rsid w:val="00E06CD4"/>
    <w:rsid w:val="00E0749D"/>
    <w:rsid w:val="00E07808"/>
    <w:rsid w:val="00E07DDD"/>
    <w:rsid w:val="00E103B0"/>
    <w:rsid w:val="00E109F9"/>
    <w:rsid w:val="00E110A9"/>
    <w:rsid w:val="00E1162B"/>
    <w:rsid w:val="00E11F51"/>
    <w:rsid w:val="00E131C2"/>
    <w:rsid w:val="00E13379"/>
    <w:rsid w:val="00E134F6"/>
    <w:rsid w:val="00E13EE1"/>
    <w:rsid w:val="00E159FB"/>
    <w:rsid w:val="00E15FB8"/>
    <w:rsid w:val="00E16D6D"/>
    <w:rsid w:val="00E16E9E"/>
    <w:rsid w:val="00E1718F"/>
    <w:rsid w:val="00E17269"/>
    <w:rsid w:val="00E17628"/>
    <w:rsid w:val="00E17CE3"/>
    <w:rsid w:val="00E200D2"/>
    <w:rsid w:val="00E20DF2"/>
    <w:rsid w:val="00E20F8F"/>
    <w:rsid w:val="00E21652"/>
    <w:rsid w:val="00E217BC"/>
    <w:rsid w:val="00E21B37"/>
    <w:rsid w:val="00E21C36"/>
    <w:rsid w:val="00E23CBC"/>
    <w:rsid w:val="00E24101"/>
    <w:rsid w:val="00E252B6"/>
    <w:rsid w:val="00E26224"/>
    <w:rsid w:val="00E263B1"/>
    <w:rsid w:val="00E26EEE"/>
    <w:rsid w:val="00E30370"/>
    <w:rsid w:val="00E304BA"/>
    <w:rsid w:val="00E3074A"/>
    <w:rsid w:val="00E30C2F"/>
    <w:rsid w:val="00E30FE0"/>
    <w:rsid w:val="00E31D1B"/>
    <w:rsid w:val="00E33175"/>
    <w:rsid w:val="00E33417"/>
    <w:rsid w:val="00E3366F"/>
    <w:rsid w:val="00E33EC1"/>
    <w:rsid w:val="00E3401E"/>
    <w:rsid w:val="00E3521F"/>
    <w:rsid w:val="00E35542"/>
    <w:rsid w:val="00E3568E"/>
    <w:rsid w:val="00E357E6"/>
    <w:rsid w:val="00E358D9"/>
    <w:rsid w:val="00E36659"/>
    <w:rsid w:val="00E36A91"/>
    <w:rsid w:val="00E36B92"/>
    <w:rsid w:val="00E37218"/>
    <w:rsid w:val="00E37E5A"/>
    <w:rsid w:val="00E42720"/>
    <w:rsid w:val="00E4389A"/>
    <w:rsid w:val="00E43E64"/>
    <w:rsid w:val="00E4419C"/>
    <w:rsid w:val="00E443CB"/>
    <w:rsid w:val="00E447FD"/>
    <w:rsid w:val="00E456F3"/>
    <w:rsid w:val="00E46742"/>
    <w:rsid w:val="00E46845"/>
    <w:rsid w:val="00E47203"/>
    <w:rsid w:val="00E4783B"/>
    <w:rsid w:val="00E50672"/>
    <w:rsid w:val="00E510F8"/>
    <w:rsid w:val="00E5119D"/>
    <w:rsid w:val="00E51252"/>
    <w:rsid w:val="00E51AE4"/>
    <w:rsid w:val="00E51FDC"/>
    <w:rsid w:val="00E52285"/>
    <w:rsid w:val="00E525C9"/>
    <w:rsid w:val="00E530E9"/>
    <w:rsid w:val="00E53E4D"/>
    <w:rsid w:val="00E54028"/>
    <w:rsid w:val="00E54150"/>
    <w:rsid w:val="00E54A55"/>
    <w:rsid w:val="00E54BD6"/>
    <w:rsid w:val="00E56903"/>
    <w:rsid w:val="00E5699D"/>
    <w:rsid w:val="00E569CD"/>
    <w:rsid w:val="00E61432"/>
    <w:rsid w:val="00E61EDB"/>
    <w:rsid w:val="00E62DA9"/>
    <w:rsid w:val="00E6338A"/>
    <w:rsid w:val="00E63E2D"/>
    <w:rsid w:val="00E64A22"/>
    <w:rsid w:val="00E64DA9"/>
    <w:rsid w:val="00E66302"/>
    <w:rsid w:val="00E66A60"/>
    <w:rsid w:val="00E66C06"/>
    <w:rsid w:val="00E66CA0"/>
    <w:rsid w:val="00E67323"/>
    <w:rsid w:val="00E70131"/>
    <w:rsid w:val="00E7040E"/>
    <w:rsid w:val="00E7088F"/>
    <w:rsid w:val="00E70D39"/>
    <w:rsid w:val="00E7214E"/>
    <w:rsid w:val="00E728C2"/>
    <w:rsid w:val="00E72C72"/>
    <w:rsid w:val="00E73BAA"/>
    <w:rsid w:val="00E7403B"/>
    <w:rsid w:val="00E743E5"/>
    <w:rsid w:val="00E74401"/>
    <w:rsid w:val="00E74720"/>
    <w:rsid w:val="00E747EF"/>
    <w:rsid w:val="00E751CA"/>
    <w:rsid w:val="00E7553C"/>
    <w:rsid w:val="00E7576A"/>
    <w:rsid w:val="00E76E2A"/>
    <w:rsid w:val="00E76F52"/>
    <w:rsid w:val="00E77643"/>
    <w:rsid w:val="00E805A4"/>
    <w:rsid w:val="00E808B1"/>
    <w:rsid w:val="00E808B3"/>
    <w:rsid w:val="00E8117E"/>
    <w:rsid w:val="00E81511"/>
    <w:rsid w:val="00E81702"/>
    <w:rsid w:val="00E817A3"/>
    <w:rsid w:val="00E81EFF"/>
    <w:rsid w:val="00E8270A"/>
    <w:rsid w:val="00E82F99"/>
    <w:rsid w:val="00E83638"/>
    <w:rsid w:val="00E83FFB"/>
    <w:rsid w:val="00E84586"/>
    <w:rsid w:val="00E851EA"/>
    <w:rsid w:val="00E853AD"/>
    <w:rsid w:val="00E86F3B"/>
    <w:rsid w:val="00E877D4"/>
    <w:rsid w:val="00E87C45"/>
    <w:rsid w:val="00E90A7E"/>
    <w:rsid w:val="00E91E5C"/>
    <w:rsid w:val="00E921D6"/>
    <w:rsid w:val="00E9282A"/>
    <w:rsid w:val="00E93CDA"/>
    <w:rsid w:val="00E940A4"/>
    <w:rsid w:val="00E94151"/>
    <w:rsid w:val="00E9531B"/>
    <w:rsid w:val="00E96880"/>
    <w:rsid w:val="00E96A26"/>
    <w:rsid w:val="00E96ED4"/>
    <w:rsid w:val="00E9742E"/>
    <w:rsid w:val="00E9759D"/>
    <w:rsid w:val="00EA047E"/>
    <w:rsid w:val="00EA07F8"/>
    <w:rsid w:val="00EA0B1D"/>
    <w:rsid w:val="00EA0CFF"/>
    <w:rsid w:val="00EA10CF"/>
    <w:rsid w:val="00EA1989"/>
    <w:rsid w:val="00EA1BF8"/>
    <w:rsid w:val="00EA26C3"/>
    <w:rsid w:val="00EA282A"/>
    <w:rsid w:val="00EA2983"/>
    <w:rsid w:val="00EA2C08"/>
    <w:rsid w:val="00EA2C72"/>
    <w:rsid w:val="00EA2E5B"/>
    <w:rsid w:val="00EA2F82"/>
    <w:rsid w:val="00EA4142"/>
    <w:rsid w:val="00EA46A0"/>
    <w:rsid w:val="00EA4A89"/>
    <w:rsid w:val="00EA5627"/>
    <w:rsid w:val="00EA5DDA"/>
    <w:rsid w:val="00EA60A0"/>
    <w:rsid w:val="00EA636F"/>
    <w:rsid w:val="00EA694F"/>
    <w:rsid w:val="00EA6D59"/>
    <w:rsid w:val="00EA71E9"/>
    <w:rsid w:val="00EB04BC"/>
    <w:rsid w:val="00EB1EEA"/>
    <w:rsid w:val="00EB25B3"/>
    <w:rsid w:val="00EB25D5"/>
    <w:rsid w:val="00EB3334"/>
    <w:rsid w:val="00EB3371"/>
    <w:rsid w:val="00EB5EFD"/>
    <w:rsid w:val="00EB7653"/>
    <w:rsid w:val="00EB7736"/>
    <w:rsid w:val="00EB7802"/>
    <w:rsid w:val="00EC04BA"/>
    <w:rsid w:val="00EC0558"/>
    <w:rsid w:val="00EC075B"/>
    <w:rsid w:val="00EC2537"/>
    <w:rsid w:val="00EC2B03"/>
    <w:rsid w:val="00EC3174"/>
    <w:rsid w:val="00EC34BC"/>
    <w:rsid w:val="00EC3B4B"/>
    <w:rsid w:val="00EC3EC8"/>
    <w:rsid w:val="00EC3FBF"/>
    <w:rsid w:val="00EC473F"/>
    <w:rsid w:val="00EC4C18"/>
    <w:rsid w:val="00EC5B23"/>
    <w:rsid w:val="00EC5B46"/>
    <w:rsid w:val="00EC74EB"/>
    <w:rsid w:val="00EC757A"/>
    <w:rsid w:val="00EC7FBF"/>
    <w:rsid w:val="00ED062F"/>
    <w:rsid w:val="00ED0954"/>
    <w:rsid w:val="00ED0A12"/>
    <w:rsid w:val="00ED0C78"/>
    <w:rsid w:val="00ED1DF2"/>
    <w:rsid w:val="00ED2892"/>
    <w:rsid w:val="00ED2C3C"/>
    <w:rsid w:val="00ED3269"/>
    <w:rsid w:val="00ED34A8"/>
    <w:rsid w:val="00ED49D1"/>
    <w:rsid w:val="00ED58D0"/>
    <w:rsid w:val="00ED5B81"/>
    <w:rsid w:val="00ED5E3E"/>
    <w:rsid w:val="00ED6501"/>
    <w:rsid w:val="00ED6DB2"/>
    <w:rsid w:val="00ED78EA"/>
    <w:rsid w:val="00ED792A"/>
    <w:rsid w:val="00ED7DC5"/>
    <w:rsid w:val="00EE00AE"/>
    <w:rsid w:val="00EE043D"/>
    <w:rsid w:val="00EE09D9"/>
    <w:rsid w:val="00EE0A3C"/>
    <w:rsid w:val="00EE0AA9"/>
    <w:rsid w:val="00EE1659"/>
    <w:rsid w:val="00EE19DA"/>
    <w:rsid w:val="00EE236E"/>
    <w:rsid w:val="00EE25E8"/>
    <w:rsid w:val="00EE29A5"/>
    <w:rsid w:val="00EE2FBC"/>
    <w:rsid w:val="00EE3305"/>
    <w:rsid w:val="00EE340B"/>
    <w:rsid w:val="00EE3DB5"/>
    <w:rsid w:val="00EE4DFB"/>
    <w:rsid w:val="00EE502C"/>
    <w:rsid w:val="00EE56DE"/>
    <w:rsid w:val="00EE5F1E"/>
    <w:rsid w:val="00EE6163"/>
    <w:rsid w:val="00EE6A86"/>
    <w:rsid w:val="00EE6C30"/>
    <w:rsid w:val="00EE77F1"/>
    <w:rsid w:val="00EF09A5"/>
    <w:rsid w:val="00EF0A6D"/>
    <w:rsid w:val="00EF1EA8"/>
    <w:rsid w:val="00EF1EAB"/>
    <w:rsid w:val="00EF3A8B"/>
    <w:rsid w:val="00EF3CEC"/>
    <w:rsid w:val="00EF40EF"/>
    <w:rsid w:val="00EF5888"/>
    <w:rsid w:val="00EF59D6"/>
    <w:rsid w:val="00EF6533"/>
    <w:rsid w:val="00EF65F9"/>
    <w:rsid w:val="00EF71BB"/>
    <w:rsid w:val="00EF7CE9"/>
    <w:rsid w:val="00EF7E68"/>
    <w:rsid w:val="00F001A9"/>
    <w:rsid w:val="00F00434"/>
    <w:rsid w:val="00F00FC0"/>
    <w:rsid w:val="00F02114"/>
    <w:rsid w:val="00F0238E"/>
    <w:rsid w:val="00F0282C"/>
    <w:rsid w:val="00F02B6F"/>
    <w:rsid w:val="00F02DD9"/>
    <w:rsid w:val="00F030D7"/>
    <w:rsid w:val="00F04A44"/>
    <w:rsid w:val="00F05820"/>
    <w:rsid w:val="00F06090"/>
    <w:rsid w:val="00F06224"/>
    <w:rsid w:val="00F06CA2"/>
    <w:rsid w:val="00F06F6A"/>
    <w:rsid w:val="00F07285"/>
    <w:rsid w:val="00F0764E"/>
    <w:rsid w:val="00F07871"/>
    <w:rsid w:val="00F07CC2"/>
    <w:rsid w:val="00F1052B"/>
    <w:rsid w:val="00F10C0B"/>
    <w:rsid w:val="00F11A9F"/>
    <w:rsid w:val="00F12C49"/>
    <w:rsid w:val="00F139EF"/>
    <w:rsid w:val="00F139F0"/>
    <w:rsid w:val="00F13B31"/>
    <w:rsid w:val="00F13F6A"/>
    <w:rsid w:val="00F14248"/>
    <w:rsid w:val="00F145E7"/>
    <w:rsid w:val="00F1462D"/>
    <w:rsid w:val="00F14B79"/>
    <w:rsid w:val="00F152E6"/>
    <w:rsid w:val="00F15428"/>
    <w:rsid w:val="00F15A34"/>
    <w:rsid w:val="00F166B0"/>
    <w:rsid w:val="00F16CA4"/>
    <w:rsid w:val="00F16E29"/>
    <w:rsid w:val="00F170F8"/>
    <w:rsid w:val="00F20B83"/>
    <w:rsid w:val="00F21144"/>
    <w:rsid w:val="00F215D0"/>
    <w:rsid w:val="00F22510"/>
    <w:rsid w:val="00F225E3"/>
    <w:rsid w:val="00F23C8C"/>
    <w:rsid w:val="00F23CD3"/>
    <w:rsid w:val="00F25A3E"/>
    <w:rsid w:val="00F2701A"/>
    <w:rsid w:val="00F270A1"/>
    <w:rsid w:val="00F270F4"/>
    <w:rsid w:val="00F27C4B"/>
    <w:rsid w:val="00F27C7D"/>
    <w:rsid w:val="00F3054E"/>
    <w:rsid w:val="00F305E5"/>
    <w:rsid w:val="00F30EBD"/>
    <w:rsid w:val="00F311BB"/>
    <w:rsid w:val="00F31C37"/>
    <w:rsid w:val="00F31D39"/>
    <w:rsid w:val="00F32234"/>
    <w:rsid w:val="00F32931"/>
    <w:rsid w:val="00F32B81"/>
    <w:rsid w:val="00F32C7A"/>
    <w:rsid w:val="00F3365F"/>
    <w:rsid w:val="00F33A3D"/>
    <w:rsid w:val="00F34FE7"/>
    <w:rsid w:val="00F35965"/>
    <w:rsid w:val="00F36239"/>
    <w:rsid w:val="00F3699A"/>
    <w:rsid w:val="00F37E34"/>
    <w:rsid w:val="00F401EF"/>
    <w:rsid w:val="00F404BC"/>
    <w:rsid w:val="00F40A77"/>
    <w:rsid w:val="00F41593"/>
    <w:rsid w:val="00F415FD"/>
    <w:rsid w:val="00F42083"/>
    <w:rsid w:val="00F424C2"/>
    <w:rsid w:val="00F4260F"/>
    <w:rsid w:val="00F44200"/>
    <w:rsid w:val="00F4452E"/>
    <w:rsid w:val="00F446D7"/>
    <w:rsid w:val="00F44C4B"/>
    <w:rsid w:val="00F45083"/>
    <w:rsid w:val="00F450D5"/>
    <w:rsid w:val="00F474FB"/>
    <w:rsid w:val="00F47892"/>
    <w:rsid w:val="00F5035E"/>
    <w:rsid w:val="00F50B75"/>
    <w:rsid w:val="00F5165B"/>
    <w:rsid w:val="00F51D9F"/>
    <w:rsid w:val="00F52ECA"/>
    <w:rsid w:val="00F53BEC"/>
    <w:rsid w:val="00F53DFD"/>
    <w:rsid w:val="00F54A33"/>
    <w:rsid w:val="00F55567"/>
    <w:rsid w:val="00F5628B"/>
    <w:rsid w:val="00F5680C"/>
    <w:rsid w:val="00F60A44"/>
    <w:rsid w:val="00F60B69"/>
    <w:rsid w:val="00F618A2"/>
    <w:rsid w:val="00F621F8"/>
    <w:rsid w:val="00F6273F"/>
    <w:rsid w:val="00F6292F"/>
    <w:rsid w:val="00F637D0"/>
    <w:rsid w:val="00F63FBE"/>
    <w:rsid w:val="00F65E2A"/>
    <w:rsid w:val="00F70463"/>
    <w:rsid w:val="00F70727"/>
    <w:rsid w:val="00F70D4D"/>
    <w:rsid w:val="00F71C9A"/>
    <w:rsid w:val="00F732C9"/>
    <w:rsid w:val="00F73907"/>
    <w:rsid w:val="00F75F1F"/>
    <w:rsid w:val="00F76453"/>
    <w:rsid w:val="00F81B3D"/>
    <w:rsid w:val="00F81BAA"/>
    <w:rsid w:val="00F81C2E"/>
    <w:rsid w:val="00F821BE"/>
    <w:rsid w:val="00F82752"/>
    <w:rsid w:val="00F82842"/>
    <w:rsid w:val="00F8299F"/>
    <w:rsid w:val="00F8424B"/>
    <w:rsid w:val="00F84A04"/>
    <w:rsid w:val="00F851D5"/>
    <w:rsid w:val="00F85290"/>
    <w:rsid w:val="00F85B4B"/>
    <w:rsid w:val="00F85C10"/>
    <w:rsid w:val="00F86965"/>
    <w:rsid w:val="00F86C68"/>
    <w:rsid w:val="00F86ED5"/>
    <w:rsid w:val="00F8762F"/>
    <w:rsid w:val="00F8772E"/>
    <w:rsid w:val="00F878D8"/>
    <w:rsid w:val="00F87965"/>
    <w:rsid w:val="00F87D04"/>
    <w:rsid w:val="00F90129"/>
    <w:rsid w:val="00F9041A"/>
    <w:rsid w:val="00F90542"/>
    <w:rsid w:val="00F90708"/>
    <w:rsid w:val="00F90887"/>
    <w:rsid w:val="00F908FD"/>
    <w:rsid w:val="00F92169"/>
    <w:rsid w:val="00F934B5"/>
    <w:rsid w:val="00F935F5"/>
    <w:rsid w:val="00F936D1"/>
    <w:rsid w:val="00F940E0"/>
    <w:rsid w:val="00F94F4E"/>
    <w:rsid w:val="00F9549A"/>
    <w:rsid w:val="00F95A43"/>
    <w:rsid w:val="00F96657"/>
    <w:rsid w:val="00F96713"/>
    <w:rsid w:val="00F97B65"/>
    <w:rsid w:val="00F97C86"/>
    <w:rsid w:val="00F97EB5"/>
    <w:rsid w:val="00FA25B4"/>
    <w:rsid w:val="00FA2C34"/>
    <w:rsid w:val="00FA2D69"/>
    <w:rsid w:val="00FA2E06"/>
    <w:rsid w:val="00FA35C7"/>
    <w:rsid w:val="00FA3C5D"/>
    <w:rsid w:val="00FA4BEB"/>
    <w:rsid w:val="00FA5152"/>
    <w:rsid w:val="00FA7483"/>
    <w:rsid w:val="00FA7EB2"/>
    <w:rsid w:val="00FA7EC1"/>
    <w:rsid w:val="00FB036B"/>
    <w:rsid w:val="00FB06E4"/>
    <w:rsid w:val="00FB0F03"/>
    <w:rsid w:val="00FB1121"/>
    <w:rsid w:val="00FB1A60"/>
    <w:rsid w:val="00FB23DB"/>
    <w:rsid w:val="00FB2D56"/>
    <w:rsid w:val="00FB3155"/>
    <w:rsid w:val="00FB38F3"/>
    <w:rsid w:val="00FB41AA"/>
    <w:rsid w:val="00FB4EC4"/>
    <w:rsid w:val="00FB582C"/>
    <w:rsid w:val="00FB5A6B"/>
    <w:rsid w:val="00FB60CA"/>
    <w:rsid w:val="00FB62B1"/>
    <w:rsid w:val="00FB62CF"/>
    <w:rsid w:val="00FB730B"/>
    <w:rsid w:val="00FB763C"/>
    <w:rsid w:val="00FB76FE"/>
    <w:rsid w:val="00FB7A3A"/>
    <w:rsid w:val="00FC1B48"/>
    <w:rsid w:val="00FC1BE7"/>
    <w:rsid w:val="00FC2C31"/>
    <w:rsid w:val="00FC2DD8"/>
    <w:rsid w:val="00FC3208"/>
    <w:rsid w:val="00FC3851"/>
    <w:rsid w:val="00FC3AD3"/>
    <w:rsid w:val="00FC4828"/>
    <w:rsid w:val="00FC5971"/>
    <w:rsid w:val="00FC599B"/>
    <w:rsid w:val="00FC698D"/>
    <w:rsid w:val="00FC6A52"/>
    <w:rsid w:val="00FD0416"/>
    <w:rsid w:val="00FD0B04"/>
    <w:rsid w:val="00FD0CAD"/>
    <w:rsid w:val="00FD1184"/>
    <w:rsid w:val="00FD11F7"/>
    <w:rsid w:val="00FD176F"/>
    <w:rsid w:val="00FD1F93"/>
    <w:rsid w:val="00FD2872"/>
    <w:rsid w:val="00FD3274"/>
    <w:rsid w:val="00FD3298"/>
    <w:rsid w:val="00FD34E8"/>
    <w:rsid w:val="00FD36F7"/>
    <w:rsid w:val="00FD45B2"/>
    <w:rsid w:val="00FD4E2F"/>
    <w:rsid w:val="00FD54BE"/>
    <w:rsid w:val="00FD5681"/>
    <w:rsid w:val="00FD5AD6"/>
    <w:rsid w:val="00FD621E"/>
    <w:rsid w:val="00FD6869"/>
    <w:rsid w:val="00FD6EA3"/>
    <w:rsid w:val="00FD6F6A"/>
    <w:rsid w:val="00FD7015"/>
    <w:rsid w:val="00FD732F"/>
    <w:rsid w:val="00FD7867"/>
    <w:rsid w:val="00FE0367"/>
    <w:rsid w:val="00FE0B86"/>
    <w:rsid w:val="00FE1625"/>
    <w:rsid w:val="00FE1664"/>
    <w:rsid w:val="00FE2099"/>
    <w:rsid w:val="00FE2540"/>
    <w:rsid w:val="00FE27AF"/>
    <w:rsid w:val="00FE2A1B"/>
    <w:rsid w:val="00FE37AC"/>
    <w:rsid w:val="00FE3D42"/>
    <w:rsid w:val="00FE5188"/>
    <w:rsid w:val="00FE51FC"/>
    <w:rsid w:val="00FE5A97"/>
    <w:rsid w:val="00FE5C16"/>
    <w:rsid w:val="00FE74CA"/>
    <w:rsid w:val="00FE7537"/>
    <w:rsid w:val="00FF05EF"/>
    <w:rsid w:val="00FF05F5"/>
    <w:rsid w:val="00FF0A59"/>
    <w:rsid w:val="00FF0E57"/>
    <w:rsid w:val="00FF17E0"/>
    <w:rsid w:val="00FF203D"/>
    <w:rsid w:val="00FF20E5"/>
    <w:rsid w:val="00FF27FA"/>
    <w:rsid w:val="00FF3399"/>
    <w:rsid w:val="00FF36EE"/>
    <w:rsid w:val="00FF4636"/>
    <w:rsid w:val="00FF555F"/>
    <w:rsid w:val="00FF606E"/>
    <w:rsid w:val="00FF64CA"/>
    <w:rsid w:val="00FF663B"/>
    <w:rsid w:val="00FF78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62329"/>
  <w15:docId w15:val="{DE9045C1-91D6-42D1-876A-8DD1BF39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758"/>
  </w:style>
  <w:style w:type="paragraph" w:styleId="Heading1">
    <w:name w:val="heading 1"/>
    <w:basedOn w:val="Normal"/>
    <w:next w:val="Normal"/>
    <w:link w:val="Heading1Char"/>
    <w:uiPriority w:val="99"/>
    <w:qFormat/>
    <w:rsid w:val="00073758"/>
    <w:pPr>
      <w:keepNext/>
      <w:ind w:right="4565"/>
      <w:jc w:val="both"/>
      <w:outlineLvl w:val="0"/>
    </w:pPr>
    <w:rPr>
      <w:rFonts w:ascii="CRO_Calligraph-Bold" w:hAnsi="CRO_Calligraph-Bold"/>
      <w:b/>
      <w:spacing w:val="60"/>
      <w:sz w:val="24"/>
    </w:rPr>
  </w:style>
  <w:style w:type="paragraph" w:styleId="Heading2">
    <w:name w:val="heading 2"/>
    <w:basedOn w:val="Normal"/>
    <w:next w:val="Normal"/>
    <w:link w:val="Heading2Char"/>
    <w:uiPriority w:val="99"/>
    <w:unhideWhenUsed/>
    <w:qFormat/>
    <w:rsid w:val="000E69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1CDE"/>
    <w:pPr>
      <w:keepNext/>
      <w:keepLines/>
      <w:spacing w:before="40"/>
      <w:outlineLvl w:val="2"/>
    </w:pPr>
    <w:rPr>
      <w:rFonts w:ascii="Cambria" w:hAnsi="Cambria"/>
      <w:color w:val="243F60"/>
      <w:sz w:val="24"/>
      <w:szCs w:val="24"/>
      <w:lang w:val="en-US" w:eastAsia="en-US"/>
    </w:rPr>
  </w:style>
  <w:style w:type="paragraph" w:styleId="Heading4">
    <w:name w:val="heading 4"/>
    <w:basedOn w:val="Normal"/>
    <w:next w:val="Normal"/>
    <w:link w:val="Heading4Char"/>
    <w:uiPriority w:val="99"/>
    <w:unhideWhenUsed/>
    <w:qFormat/>
    <w:rsid w:val="00753029"/>
    <w:pPr>
      <w:keepNext/>
      <w:keepLines/>
      <w:spacing w:before="40"/>
      <w:outlineLvl w:val="3"/>
    </w:pPr>
    <w:rPr>
      <w:rFonts w:ascii="Cambria" w:hAnsi="Cambria"/>
      <w:i/>
      <w:iCs/>
      <w:color w:val="365F91"/>
    </w:rPr>
  </w:style>
  <w:style w:type="paragraph" w:styleId="Heading5">
    <w:name w:val="heading 5"/>
    <w:basedOn w:val="Normal"/>
    <w:next w:val="Normal"/>
    <w:link w:val="Heading5Char"/>
    <w:uiPriority w:val="99"/>
    <w:unhideWhenUsed/>
    <w:qFormat/>
    <w:rsid w:val="00753029"/>
    <w:pPr>
      <w:keepNext/>
      <w:keepLines/>
      <w:spacing w:before="40"/>
      <w:outlineLvl w:val="4"/>
    </w:pPr>
    <w:rPr>
      <w:rFonts w:ascii="Cambria" w:hAnsi="Cambria"/>
      <w:color w:val="365F91"/>
    </w:rPr>
  </w:style>
  <w:style w:type="paragraph" w:styleId="Heading6">
    <w:name w:val="heading 6"/>
    <w:basedOn w:val="Normal"/>
    <w:next w:val="Normal"/>
    <w:link w:val="Heading6Char"/>
    <w:uiPriority w:val="99"/>
    <w:qFormat/>
    <w:rsid w:val="000E69DA"/>
    <w:pPr>
      <w:keepNext/>
      <w:jc w:val="center"/>
      <w:outlineLvl w:val="5"/>
    </w:pPr>
    <w:rPr>
      <w:rFonts w:ascii="Calibri" w:eastAsia="SimSun" w:hAnsi="Calibri"/>
      <w:b/>
      <w:bCs/>
    </w:rPr>
  </w:style>
  <w:style w:type="paragraph" w:styleId="Heading7">
    <w:name w:val="heading 7"/>
    <w:basedOn w:val="Normal"/>
    <w:next w:val="Normal"/>
    <w:link w:val="Heading7Char"/>
    <w:uiPriority w:val="99"/>
    <w:qFormat/>
    <w:rsid w:val="00073758"/>
    <w:pPr>
      <w:keepNext/>
      <w:jc w:val="center"/>
      <w:outlineLvl w:val="6"/>
    </w:pPr>
    <w:rPr>
      <w:rFonts w:ascii="Arial" w:hAnsi="Arial"/>
      <w:b/>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Header1"/>
    <w:basedOn w:val="Normal"/>
    <w:link w:val="HeaderChar"/>
    <w:uiPriority w:val="99"/>
    <w:rsid w:val="00073758"/>
    <w:pPr>
      <w:tabs>
        <w:tab w:val="center" w:pos="4320"/>
        <w:tab w:val="right" w:pos="8640"/>
      </w:tabs>
    </w:pPr>
    <w:rPr>
      <w:rFonts w:ascii="Arial" w:hAnsi="Arial"/>
      <w:sz w:val="24"/>
    </w:rPr>
  </w:style>
  <w:style w:type="paragraph" w:styleId="Footer">
    <w:name w:val="footer"/>
    <w:basedOn w:val="Normal"/>
    <w:link w:val="FooterChar"/>
    <w:uiPriority w:val="99"/>
    <w:rsid w:val="00073758"/>
    <w:pPr>
      <w:tabs>
        <w:tab w:val="center" w:pos="4153"/>
        <w:tab w:val="right" w:pos="8306"/>
      </w:tabs>
    </w:pPr>
  </w:style>
  <w:style w:type="character" w:styleId="Hyperlink">
    <w:name w:val="Hyperlink"/>
    <w:uiPriority w:val="99"/>
    <w:rsid w:val="00073758"/>
    <w:rPr>
      <w:color w:val="0000FF"/>
      <w:u w:val="single"/>
    </w:rPr>
  </w:style>
  <w:style w:type="character" w:styleId="FollowedHyperlink">
    <w:name w:val="FollowedHyperlink"/>
    <w:rsid w:val="00073758"/>
    <w:rPr>
      <w:color w:val="800080"/>
      <w:u w:val="single"/>
    </w:rPr>
  </w:style>
  <w:style w:type="paragraph" w:styleId="BalloonText">
    <w:name w:val="Balloon Text"/>
    <w:basedOn w:val="Normal"/>
    <w:link w:val="BalloonTextChar"/>
    <w:uiPriority w:val="99"/>
    <w:rsid w:val="006A4F83"/>
    <w:rPr>
      <w:rFonts w:ascii="Tahoma" w:hAnsi="Tahoma" w:cs="Tahoma"/>
      <w:sz w:val="16"/>
      <w:szCs w:val="16"/>
    </w:rPr>
  </w:style>
  <w:style w:type="character" w:customStyle="1" w:styleId="BalloonTextChar">
    <w:name w:val="Balloon Text Char"/>
    <w:link w:val="BalloonText"/>
    <w:uiPriority w:val="99"/>
    <w:rsid w:val="006A4F83"/>
    <w:rPr>
      <w:rFonts w:ascii="Tahoma" w:hAnsi="Tahoma" w:cs="Tahoma"/>
      <w:sz w:val="16"/>
      <w:szCs w:val="16"/>
    </w:rPr>
  </w:style>
  <w:style w:type="paragraph" w:styleId="ListParagraph">
    <w:name w:val="List Paragraph"/>
    <w:basedOn w:val="Normal"/>
    <w:uiPriority w:val="34"/>
    <w:qFormat/>
    <w:rsid w:val="00C93FF9"/>
    <w:pPr>
      <w:ind w:left="720"/>
      <w:contextualSpacing/>
    </w:pPr>
  </w:style>
  <w:style w:type="character" w:customStyle="1" w:styleId="HeaderChar">
    <w:name w:val="Header Char"/>
    <w:aliases w:val=" Char Char,Char Char,Header1 Char"/>
    <w:link w:val="Header"/>
    <w:uiPriority w:val="99"/>
    <w:rsid w:val="0041548B"/>
    <w:rPr>
      <w:rFonts w:ascii="Arial" w:hAnsi="Arial"/>
      <w:sz w:val="24"/>
    </w:rPr>
  </w:style>
  <w:style w:type="paragraph" w:styleId="NormalWeb">
    <w:name w:val="Normal (Web)"/>
    <w:basedOn w:val="Normal"/>
    <w:uiPriority w:val="99"/>
    <w:semiHidden/>
    <w:unhideWhenUsed/>
    <w:rsid w:val="00753029"/>
    <w:pPr>
      <w:spacing w:before="100" w:beforeAutospacing="1" w:after="100" w:afterAutospacing="1"/>
    </w:pPr>
    <w:rPr>
      <w:rFonts w:eastAsia="Calibri"/>
      <w:sz w:val="21"/>
      <w:szCs w:val="21"/>
    </w:rPr>
  </w:style>
  <w:style w:type="paragraph" w:styleId="BodyText3">
    <w:name w:val="Body Text 3"/>
    <w:basedOn w:val="Normal"/>
    <w:link w:val="BodyText3Char"/>
    <w:unhideWhenUsed/>
    <w:rsid w:val="00753029"/>
    <w:pPr>
      <w:spacing w:after="120"/>
      <w:jc w:val="both"/>
    </w:pPr>
    <w:rPr>
      <w:rFonts w:ascii="Arial" w:eastAsia="Calibri" w:hAnsi="Arial" w:cs="Arial"/>
      <w:sz w:val="22"/>
      <w:szCs w:val="22"/>
    </w:rPr>
  </w:style>
  <w:style w:type="character" w:customStyle="1" w:styleId="BodyText3Char">
    <w:name w:val="Body Text 3 Char"/>
    <w:link w:val="BodyText3"/>
    <w:rsid w:val="00753029"/>
    <w:rPr>
      <w:rFonts w:ascii="Arial" w:eastAsia="Calibri" w:hAnsi="Arial" w:cs="Arial"/>
      <w:sz w:val="22"/>
      <w:szCs w:val="22"/>
    </w:rPr>
  </w:style>
  <w:style w:type="character" w:customStyle="1" w:styleId="Heading4Char">
    <w:name w:val="Heading 4 Char"/>
    <w:link w:val="Heading4"/>
    <w:uiPriority w:val="99"/>
    <w:rsid w:val="00753029"/>
    <w:rPr>
      <w:rFonts w:ascii="Cambria" w:eastAsia="Times New Roman" w:hAnsi="Cambria" w:cs="Times New Roman"/>
      <w:i/>
      <w:iCs/>
      <w:color w:val="365F91"/>
    </w:rPr>
  </w:style>
  <w:style w:type="character" w:customStyle="1" w:styleId="Heading5Char">
    <w:name w:val="Heading 5 Char"/>
    <w:link w:val="Heading5"/>
    <w:uiPriority w:val="99"/>
    <w:semiHidden/>
    <w:rsid w:val="00753029"/>
    <w:rPr>
      <w:rFonts w:ascii="Cambria" w:eastAsia="Times New Roman" w:hAnsi="Cambria" w:cs="Times New Roman"/>
      <w:color w:val="365F91"/>
    </w:rPr>
  </w:style>
  <w:style w:type="paragraph" w:styleId="BodyTextIndent">
    <w:name w:val="Body Text Indent"/>
    <w:basedOn w:val="Normal"/>
    <w:link w:val="BodyTextIndentChar"/>
    <w:uiPriority w:val="99"/>
    <w:unhideWhenUsed/>
    <w:rsid w:val="00431CDE"/>
    <w:pPr>
      <w:spacing w:after="120"/>
      <w:ind w:left="283"/>
    </w:pPr>
  </w:style>
  <w:style w:type="character" w:customStyle="1" w:styleId="BodyTextIndentChar">
    <w:name w:val="Body Text Indent Char"/>
    <w:basedOn w:val="DefaultParagraphFont"/>
    <w:link w:val="BodyTextIndent"/>
    <w:uiPriority w:val="99"/>
    <w:semiHidden/>
    <w:rsid w:val="00431CDE"/>
  </w:style>
  <w:style w:type="character" w:customStyle="1" w:styleId="Heading3Char">
    <w:name w:val="Heading 3 Char"/>
    <w:link w:val="Heading3"/>
    <w:uiPriority w:val="9"/>
    <w:semiHidden/>
    <w:rsid w:val="00431CDE"/>
    <w:rPr>
      <w:rFonts w:ascii="Cambria" w:eastAsia="Times New Roman" w:hAnsi="Cambria" w:cs="Times New Roman"/>
      <w:color w:val="243F60"/>
      <w:sz w:val="24"/>
      <w:szCs w:val="24"/>
      <w:lang w:val="en-US" w:eastAsia="en-US"/>
    </w:rPr>
  </w:style>
  <w:style w:type="character" w:customStyle="1" w:styleId="st">
    <w:name w:val="st"/>
    <w:basedOn w:val="DefaultParagraphFont"/>
    <w:rsid w:val="00431CDE"/>
  </w:style>
  <w:style w:type="paragraph" w:customStyle="1" w:styleId="default">
    <w:name w:val="default"/>
    <w:basedOn w:val="Normal"/>
    <w:rsid w:val="00606953"/>
    <w:pPr>
      <w:autoSpaceDE w:val="0"/>
      <w:autoSpaceDN w:val="0"/>
    </w:pPr>
    <w:rPr>
      <w:rFonts w:eastAsia="Calibri"/>
      <w:color w:val="000000"/>
      <w:sz w:val="24"/>
      <w:szCs w:val="24"/>
    </w:rPr>
  </w:style>
  <w:style w:type="character" w:customStyle="1" w:styleId="longtext">
    <w:name w:val="longtext"/>
    <w:basedOn w:val="DefaultParagraphFont"/>
    <w:rsid w:val="00606953"/>
  </w:style>
  <w:style w:type="paragraph" w:styleId="NoSpacing">
    <w:name w:val="No Spacing"/>
    <w:link w:val="NoSpacingChar"/>
    <w:uiPriority w:val="1"/>
    <w:qFormat/>
    <w:rsid w:val="00606953"/>
    <w:rPr>
      <w:rFonts w:ascii="Calibri" w:eastAsia="Calibri" w:hAnsi="Calibri"/>
      <w:sz w:val="22"/>
      <w:szCs w:val="22"/>
      <w:lang w:eastAsia="en-US"/>
    </w:rPr>
  </w:style>
  <w:style w:type="paragraph" w:styleId="BodyText">
    <w:name w:val="Body Text"/>
    <w:basedOn w:val="Normal"/>
    <w:link w:val="BodyTextChar"/>
    <w:uiPriority w:val="99"/>
    <w:unhideWhenUsed/>
    <w:rsid w:val="00180315"/>
    <w:pPr>
      <w:spacing w:after="120"/>
    </w:pPr>
  </w:style>
  <w:style w:type="character" w:customStyle="1" w:styleId="BodyTextChar">
    <w:name w:val="Body Text Char"/>
    <w:basedOn w:val="DefaultParagraphFont"/>
    <w:link w:val="BodyText"/>
    <w:uiPriority w:val="99"/>
    <w:rsid w:val="00180315"/>
  </w:style>
  <w:style w:type="paragraph" w:customStyle="1" w:styleId="Standard">
    <w:name w:val="Standard"/>
    <w:basedOn w:val="Normal"/>
    <w:rsid w:val="00180315"/>
    <w:pPr>
      <w:autoSpaceDN w:val="0"/>
      <w:spacing w:after="160"/>
    </w:pPr>
    <w:rPr>
      <w:rFonts w:ascii="Calibri" w:eastAsia="Calibri" w:hAnsi="Calibri" w:cs="Calibri"/>
      <w:sz w:val="22"/>
      <w:szCs w:val="22"/>
      <w:lang w:eastAsia="zh-CN"/>
    </w:rPr>
  </w:style>
  <w:style w:type="character" w:customStyle="1" w:styleId="Heading2Char">
    <w:name w:val="Heading 2 Char"/>
    <w:basedOn w:val="DefaultParagraphFont"/>
    <w:link w:val="Heading2"/>
    <w:uiPriority w:val="99"/>
    <w:rsid w:val="000E69DA"/>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iPriority w:val="99"/>
    <w:unhideWhenUsed/>
    <w:rsid w:val="000E69DA"/>
    <w:pPr>
      <w:spacing w:after="120" w:line="480" w:lineRule="auto"/>
    </w:pPr>
  </w:style>
  <w:style w:type="character" w:customStyle="1" w:styleId="BodyText2Char">
    <w:name w:val="Body Text 2 Char"/>
    <w:basedOn w:val="DefaultParagraphFont"/>
    <w:link w:val="BodyText2"/>
    <w:uiPriority w:val="99"/>
    <w:rsid w:val="000E69DA"/>
  </w:style>
  <w:style w:type="character" w:customStyle="1" w:styleId="Heading6Char">
    <w:name w:val="Heading 6 Char"/>
    <w:basedOn w:val="DefaultParagraphFont"/>
    <w:link w:val="Heading6"/>
    <w:uiPriority w:val="99"/>
    <w:rsid w:val="000E69DA"/>
    <w:rPr>
      <w:rFonts w:ascii="Calibri" w:eastAsia="SimSun" w:hAnsi="Calibri"/>
      <w:b/>
      <w:bCs/>
    </w:rPr>
  </w:style>
  <w:style w:type="character" w:customStyle="1" w:styleId="Heading1Char">
    <w:name w:val="Heading 1 Char"/>
    <w:link w:val="Heading1"/>
    <w:uiPriority w:val="99"/>
    <w:locked/>
    <w:rsid w:val="000E69DA"/>
    <w:rPr>
      <w:rFonts w:ascii="CRO_Calligraph-Bold" w:hAnsi="CRO_Calligraph-Bold"/>
      <w:b/>
      <w:spacing w:val="60"/>
      <w:sz w:val="24"/>
    </w:rPr>
  </w:style>
  <w:style w:type="character" w:customStyle="1" w:styleId="Heading7Char">
    <w:name w:val="Heading 7 Char"/>
    <w:link w:val="Heading7"/>
    <w:uiPriority w:val="99"/>
    <w:locked/>
    <w:rsid w:val="000E69DA"/>
    <w:rPr>
      <w:rFonts w:ascii="Arial" w:hAnsi="Arial"/>
      <w:b/>
      <w:spacing w:val="20"/>
      <w:sz w:val="24"/>
    </w:rPr>
  </w:style>
  <w:style w:type="character" w:customStyle="1" w:styleId="FooterChar">
    <w:name w:val="Footer Char"/>
    <w:link w:val="Footer"/>
    <w:uiPriority w:val="99"/>
    <w:locked/>
    <w:rsid w:val="000E69DA"/>
  </w:style>
  <w:style w:type="paragraph" w:styleId="BodyTextIndent2">
    <w:name w:val="Body Text Indent 2"/>
    <w:basedOn w:val="Normal"/>
    <w:link w:val="BodyTextIndent2Char"/>
    <w:uiPriority w:val="99"/>
    <w:rsid w:val="000E69DA"/>
    <w:pPr>
      <w:ind w:left="360"/>
      <w:jc w:val="both"/>
    </w:pPr>
  </w:style>
  <w:style w:type="character" w:customStyle="1" w:styleId="BodyTextIndent2Char">
    <w:name w:val="Body Text Indent 2 Char"/>
    <w:basedOn w:val="DefaultParagraphFont"/>
    <w:link w:val="BodyTextIndent2"/>
    <w:uiPriority w:val="99"/>
    <w:rsid w:val="000E69DA"/>
  </w:style>
  <w:style w:type="character" w:styleId="PageNumber">
    <w:name w:val="page number"/>
    <w:uiPriority w:val="99"/>
    <w:rsid w:val="000E69DA"/>
    <w:rPr>
      <w:rFonts w:cs="Times New Roman"/>
    </w:rPr>
  </w:style>
  <w:style w:type="paragraph" w:styleId="DocumentMap">
    <w:name w:val="Document Map"/>
    <w:basedOn w:val="Normal"/>
    <w:link w:val="DocumentMapChar"/>
    <w:uiPriority w:val="99"/>
    <w:semiHidden/>
    <w:rsid w:val="000E69DA"/>
    <w:pPr>
      <w:shd w:val="clear" w:color="auto" w:fill="000080"/>
    </w:pPr>
    <w:rPr>
      <w:sz w:val="2"/>
    </w:rPr>
  </w:style>
  <w:style w:type="character" w:customStyle="1" w:styleId="DocumentMapChar">
    <w:name w:val="Document Map Char"/>
    <w:basedOn w:val="DefaultParagraphFont"/>
    <w:link w:val="DocumentMap"/>
    <w:uiPriority w:val="99"/>
    <w:semiHidden/>
    <w:rsid w:val="000E69DA"/>
    <w:rPr>
      <w:sz w:val="2"/>
      <w:shd w:val="clear" w:color="auto" w:fill="000080"/>
    </w:rPr>
  </w:style>
  <w:style w:type="paragraph" w:styleId="Date">
    <w:name w:val="Date"/>
    <w:basedOn w:val="Normal"/>
    <w:next w:val="Normal"/>
    <w:link w:val="DateChar"/>
    <w:uiPriority w:val="99"/>
    <w:rsid w:val="000E69DA"/>
  </w:style>
  <w:style w:type="character" w:customStyle="1" w:styleId="DateChar">
    <w:name w:val="Date Char"/>
    <w:basedOn w:val="DefaultParagraphFont"/>
    <w:link w:val="Date"/>
    <w:uiPriority w:val="99"/>
    <w:rsid w:val="000E69DA"/>
  </w:style>
  <w:style w:type="character" w:styleId="CommentReference">
    <w:name w:val="annotation reference"/>
    <w:uiPriority w:val="99"/>
    <w:rsid w:val="000E69DA"/>
    <w:rPr>
      <w:rFonts w:cs="Times New Roman"/>
      <w:sz w:val="16"/>
      <w:szCs w:val="16"/>
    </w:rPr>
  </w:style>
  <w:style w:type="paragraph" w:styleId="CommentText">
    <w:name w:val="annotation text"/>
    <w:basedOn w:val="Normal"/>
    <w:link w:val="CommentTextChar"/>
    <w:uiPriority w:val="99"/>
    <w:rsid w:val="000E69DA"/>
  </w:style>
  <w:style w:type="character" w:customStyle="1" w:styleId="CommentTextChar">
    <w:name w:val="Comment Text Char"/>
    <w:basedOn w:val="DefaultParagraphFont"/>
    <w:link w:val="CommentText"/>
    <w:uiPriority w:val="99"/>
    <w:rsid w:val="000E69DA"/>
  </w:style>
  <w:style w:type="character" w:customStyle="1" w:styleId="NoSpacingChar">
    <w:name w:val="No Spacing Char"/>
    <w:link w:val="NoSpacing"/>
    <w:uiPriority w:val="1"/>
    <w:rsid w:val="000E69DA"/>
    <w:rPr>
      <w:rFonts w:ascii="Calibri" w:eastAsia="Calibri" w:hAnsi="Calibri"/>
      <w:sz w:val="22"/>
      <w:szCs w:val="22"/>
      <w:lang w:eastAsia="en-US"/>
    </w:rPr>
  </w:style>
  <w:style w:type="character" w:styleId="Emphasis">
    <w:name w:val="Emphasis"/>
    <w:uiPriority w:val="20"/>
    <w:qFormat/>
    <w:rsid w:val="000E69DA"/>
    <w:rPr>
      <w:i/>
      <w:iCs/>
    </w:rPr>
  </w:style>
  <w:style w:type="paragraph" w:customStyle="1" w:styleId="Default0">
    <w:name w:val="Default"/>
    <w:rsid w:val="000E69DA"/>
    <w:pPr>
      <w:autoSpaceDE w:val="0"/>
      <w:autoSpaceDN w:val="0"/>
      <w:adjustRightInd w:val="0"/>
    </w:pPr>
    <w:rPr>
      <w:rFonts w:ascii="Arial" w:eastAsia="SimSun" w:hAnsi="Arial" w:cs="Arial"/>
      <w:color w:val="000000"/>
      <w:sz w:val="24"/>
      <w:szCs w:val="24"/>
      <w:lang w:eastAsia="zh-CN"/>
    </w:rPr>
  </w:style>
  <w:style w:type="character" w:customStyle="1" w:styleId="st1">
    <w:name w:val="st1"/>
    <w:basedOn w:val="DefaultParagraphFont"/>
    <w:rsid w:val="000E69DA"/>
  </w:style>
  <w:style w:type="paragraph" w:styleId="Title">
    <w:name w:val="Title"/>
    <w:basedOn w:val="Normal"/>
    <w:next w:val="Normal"/>
    <w:link w:val="TitleChar"/>
    <w:qFormat/>
    <w:rsid w:val="000E69D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E69DA"/>
    <w:rPr>
      <w:rFonts w:ascii="Cambria" w:hAnsi="Cambria"/>
      <w:b/>
      <w:bCs/>
      <w:kern w:val="28"/>
      <w:sz w:val="32"/>
      <w:szCs w:val="32"/>
    </w:rPr>
  </w:style>
  <w:style w:type="paragraph" w:customStyle="1" w:styleId="m-7858061917681528467msolistparagraph">
    <w:name w:val="m_-7858061917681528467msolistparagraph"/>
    <w:basedOn w:val="Normal"/>
    <w:rsid w:val="000E69DA"/>
    <w:pPr>
      <w:spacing w:before="100" w:beforeAutospacing="1" w:after="100" w:afterAutospacing="1"/>
    </w:pPr>
    <w:rPr>
      <w:sz w:val="24"/>
      <w:szCs w:val="24"/>
    </w:rPr>
  </w:style>
  <w:style w:type="character" w:styleId="Strong">
    <w:name w:val="Strong"/>
    <w:uiPriority w:val="22"/>
    <w:qFormat/>
    <w:rsid w:val="000E69DA"/>
    <w:rPr>
      <w:b/>
      <w:bCs/>
    </w:rPr>
  </w:style>
  <w:style w:type="table" w:styleId="TableGrid">
    <w:name w:val="Table Grid"/>
    <w:basedOn w:val="TableNormal"/>
    <w:rsid w:val="000E69D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C853A1"/>
    <w:rPr>
      <w:b/>
      <w:bCs/>
    </w:rPr>
  </w:style>
  <w:style w:type="character" w:customStyle="1" w:styleId="CommentSubjectChar">
    <w:name w:val="Comment Subject Char"/>
    <w:basedOn w:val="CommentTextChar"/>
    <w:link w:val="CommentSubject"/>
    <w:semiHidden/>
    <w:rsid w:val="00C853A1"/>
    <w:rPr>
      <w:b/>
      <w:bCs/>
    </w:rPr>
  </w:style>
  <w:style w:type="paragraph" w:styleId="PlainText">
    <w:name w:val="Plain Text"/>
    <w:basedOn w:val="Normal"/>
    <w:link w:val="PlainTextChar"/>
    <w:uiPriority w:val="99"/>
    <w:semiHidden/>
    <w:unhideWhenUsed/>
    <w:rsid w:val="0027784F"/>
    <w:rPr>
      <w:rFonts w:ascii="Calibri" w:eastAsiaTheme="minorHAnsi" w:hAnsi="Calibri" w:cs="Calibri"/>
      <w:sz w:val="22"/>
      <w:szCs w:val="21"/>
      <w:lang w:eastAsia="en-US"/>
    </w:rPr>
  </w:style>
  <w:style w:type="character" w:customStyle="1" w:styleId="PlainTextChar">
    <w:name w:val="Plain Text Char"/>
    <w:basedOn w:val="DefaultParagraphFont"/>
    <w:link w:val="PlainText"/>
    <w:uiPriority w:val="99"/>
    <w:semiHidden/>
    <w:rsid w:val="0027784F"/>
    <w:rPr>
      <w:rFonts w:ascii="Calibri" w:eastAsiaTheme="minorHAnsi" w:hAnsi="Calibri" w:cs="Calibri"/>
      <w:sz w:val="22"/>
      <w:szCs w:val="21"/>
      <w:lang w:eastAsia="en-US"/>
    </w:rPr>
  </w:style>
  <w:style w:type="paragraph" w:customStyle="1" w:styleId="box474970">
    <w:name w:val="box_474970"/>
    <w:basedOn w:val="Normal"/>
    <w:rsid w:val="00D80B94"/>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9856">
      <w:bodyDiv w:val="1"/>
      <w:marLeft w:val="0"/>
      <w:marRight w:val="0"/>
      <w:marTop w:val="0"/>
      <w:marBottom w:val="0"/>
      <w:divBdr>
        <w:top w:val="none" w:sz="0" w:space="0" w:color="auto"/>
        <w:left w:val="none" w:sz="0" w:space="0" w:color="auto"/>
        <w:bottom w:val="none" w:sz="0" w:space="0" w:color="auto"/>
        <w:right w:val="none" w:sz="0" w:space="0" w:color="auto"/>
      </w:divBdr>
    </w:div>
    <w:div w:id="50619861">
      <w:bodyDiv w:val="1"/>
      <w:marLeft w:val="0"/>
      <w:marRight w:val="0"/>
      <w:marTop w:val="0"/>
      <w:marBottom w:val="0"/>
      <w:divBdr>
        <w:top w:val="none" w:sz="0" w:space="0" w:color="auto"/>
        <w:left w:val="none" w:sz="0" w:space="0" w:color="auto"/>
        <w:bottom w:val="none" w:sz="0" w:space="0" w:color="auto"/>
        <w:right w:val="none" w:sz="0" w:space="0" w:color="auto"/>
      </w:divBdr>
    </w:div>
    <w:div w:id="52898596">
      <w:bodyDiv w:val="1"/>
      <w:marLeft w:val="0"/>
      <w:marRight w:val="0"/>
      <w:marTop w:val="0"/>
      <w:marBottom w:val="0"/>
      <w:divBdr>
        <w:top w:val="none" w:sz="0" w:space="0" w:color="auto"/>
        <w:left w:val="none" w:sz="0" w:space="0" w:color="auto"/>
        <w:bottom w:val="none" w:sz="0" w:space="0" w:color="auto"/>
        <w:right w:val="none" w:sz="0" w:space="0" w:color="auto"/>
      </w:divBdr>
    </w:div>
    <w:div w:id="97337329">
      <w:bodyDiv w:val="1"/>
      <w:marLeft w:val="0"/>
      <w:marRight w:val="0"/>
      <w:marTop w:val="0"/>
      <w:marBottom w:val="0"/>
      <w:divBdr>
        <w:top w:val="none" w:sz="0" w:space="0" w:color="auto"/>
        <w:left w:val="none" w:sz="0" w:space="0" w:color="auto"/>
        <w:bottom w:val="none" w:sz="0" w:space="0" w:color="auto"/>
        <w:right w:val="none" w:sz="0" w:space="0" w:color="auto"/>
      </w:divBdr>
      <w:divsChild>
        <w:div w:id="2092041183">
          <w:marLeft w:val="0"/>
          <w:marRight w:val="0"/>
          <w:marTop w:val="0"/>
          <w:marBottom w:val="0"/>
          <w:divBdr>
            <w:top w:val="none" w:sz="0" w:space="0" w:color="auto"/>
            <w:left w:val="none" w:sz="0" w:space="0" w:color="auto"/>
            <w:bottom w:val="none" w:sz="0" w:space="0" w:color="auto"/>
            <w:right w:val="none" w:sz="0" w:space="0" w:color="auto"/>
          </w:divBdr>
          <w:divsChild>
            <w:div w:id="2085837954">
              <w:marLeft w:val="0"/>
              <w:marRight w:val="0"/>
              <w:marTop w:val="0"/>
              <w:marBottom w:val="0"/>
              <w:divBdr>
                <w:top w:val="none" w:sz="0" w:space="0" w:color="auto"/>
                <w:left w:val="none" w:sz="0" w:space="0" w:color="auto"/>
                <w:bottom w:val="none" w:sz="0" w:space="0" w:color="auto"/>
                <w:right w:val="none" w:sz="0" w:space="0" w:color="auto"/>
              </w:divBdr>
              <w:divsChild>
                <w:div w:id="982660340">
                  <w:marLeft w:val="0"/>
                  <w:marRight w:val="0"/>
                  <w:marTop w:val="0"/>
                  <w:marBottom w:val="0"/>
                  <w:divBdr>
                    <w:top w:val="none" w:sz="0" w:space="0" w:color="auto"/>
                    <w:left w:val="none" w:sz="0" w:space="0" w:color="auto"/>
                    <w:bottom w:val="none" w:sz="0" w:space="0" w:color="auto"/>
                    <w:right w:val="none" w:sz="0" w:space="0" w:color="auto"/>
                  </w:divBdr>
                  <w:divsChild>
                    <w:div w:id="1324436290">
                      <w:marLeft w:val="0"/>
                      <w:marRight w:val="0"/>
                      <w:marTop w:val="0"/>
                      <w:marBottom w:val="0"/>
                      <w:divBdr>
                        <w:top w:val="none" w:sz="0" w:space="0" w:color="auto"/>
                        <w:left w:val="none" w:sz="0" w:space="0" w:color="auto"/>
                        <w:bottom w:val="none" w:sz="0" w:space="0" w:color="auto"/>
                        <w:right w:val="none" w:sz="0" w:space="0" w:color="auto"/>
                      </w:divBdr>
                      <w:divsChild>
                        <w:div w:id="867059579">
                          <w:marLeft w:val="0"/>
                          <w:marRight w:val="0"/>
                          <w:marTop w:val="0"/>
                          <w:marBottom w:val="0"/>
                          <w:divBdr>
                            <w:top w:val="none" w:sz="0" w:space="0" w:color="auto"/>
                            <w:left w:val="none" w:sz="0" w:space="0" w:color="auto"/>
                            <w:bottom w:val="none" w:sz="0" w:space="0" w:color="auto"/>
                            <w:right w:val="none" w:sz="0" w:space="0" w:color="auto"/>
                          </w:divBdr>
                          <w:divsChild>
                            <w:div w:id="138304700">
                              <w:marLeft w:val="0"/>
                              <w:marRight w:val="0"/>
                              <w:marTop w:val="0"/>
                              <w:marBottom w:val="0"/>
                              <w:divBdr>
                                <w:top w:val="none" w:sz="0" w:space="0" w:color="auto"/>
                                <w:left w:val="none" w:sz="0" w:space="0" w:color="auto"/>
                                <w:bottom w:val="none" w:sz="0" w:space="0" w:color="auto"/>
                                <w:right w:val="none" w:sz="0" w:space="0" w:color="auto"/>
                              </w:divBdr>
                              <w:divsChild>
                                <w:div w:id="1178731263">
                                  <w:marLeft w:val="0"/>
                                  <w:marRight w:val="0"/>
                                  <w:marTop w:val="0"/>
                                  <w:marBottom w:val="0"/>
                                  <w:divBdr>
                                    <w:top w:val="none" w:sz="0" w:space="0" w:color="auto"/>
                                    <w:left w:val="none" w:sz="0" w:space="0" w:color="auto"/>
                                    <w:bottom w:val="none" w:sz="0" w:space="0" w:color="auto"/>
                                    <w:right w:val="none" w:sz="0" w:space="0" w:color="auto"/>
                                  </w:divBdr>
                                  <w:divsChild>
                                    <w:div w:id="1971470562">
                                      <w:marLeft w:val="0"/>
                                      <w:marRight w:val="0"/>
                                      <w:marTop w:val="0"/>
                                      <w:marBottom w:val="0"/>
                                      <w:divBdr>
                                        <w:top w:val="none" w:sz="0" w:space="0" w:color="auto"/>
                                        <w:left w:val="none" w:sz="0" w:space="0" w:color="auto"/>
                                        <w:bottom w:val="none" w:sz="0" w:space="0" w:color="auto"/>
                                        <w:right w:val="none" w:sz="0" w:space="0" w:color="auto"/>
                                      </w:divBdr>
                                      <w:divsChild>
                                        <w:div w:id="1189679245">
                                          <w:marLeft w:val="0"/>
                                          <w:marRight w:val="0"/>
                                          <w:marTop w:val="0"/>
                                          <w:marBottom w:val="0"/>
                                          <w:divBdr>
                                            <w:top w:val="none" w:sz="0" w:space="0" w:color="auto"/>
                                            <w:left w:val="none" w:sz="0" w:space="0" w:color="auto"/>
                                            <w:bottom w:val="none" w:sz="0" w:space="0" w:color="auto"/>
                                            <w:right w:val="none" w:sz="0" w:space="0" w:color="auto"/>
                                          </w:divBdr>
                                          <w:divsChild>
                                            <w:div w:id="117727240">
                                              <w:marLeft w:val="0"/>
                                              <w:marRight w:val="0"/>
                                              <w:marTop w:val="0"/>
                                              <w:marBottom w:val="0"/>
                                              <w:divBdr>
                                                <w:top w:val="none" w:sz="0" w:space="0" w:color="auto"/>
                                                <w:left w:val="none" w:sz="0" w:space="0" w:color="auto"/>
                                                <w:bottom w:val="none" w:sz="0" w:space="0" w:color="auto"/>
                                                <w:right w:val="none" w:sz="0" w:space="0" w:color="auto"/>
                                              </w:divBdr>
                                              <w:divsChild>
                                                <w:div w:id="341516444">
                                                  <w:marLeft w:val="0"/>
                                                  <w:marRight w:val="0"/>
                                                  <w:marTop w:val="0"/>
                                                  <w:marBottom w:val="0"/>
                                                  <w:divBdr>
                                                    <w:top w:val="none" w:sz="0" w:space="0" w:color="auto"/>
                                                    <w:left w:val="none" w:sz="0" w:space="0" w:color="auto"/>
                                                    <w:bottom w:val="none" w:sz="0" w:space="0" w:color="auto"/>
                                                    <w:right w:val="none" w:sz="0" w:space="0" w:color="auto"/>
                                                  </w:divBdr>
                                                </w:div>
                                                <w:div w:id="501240098">
                                                  <w:marLeft w:val="0"/>
                                                  <w:marRight w:val="0"/>
                                                  <w:marTop w:val="0"/>
                                                  <w:marBottom w:val="0"/>
                                                  <w:divBdr>
                                                    <w:top w:val="none" w:sz="0" w:space="0" w:color="auto"/>
                                                    <w:left w:val="none" w:sz="0" w:space="0" w:color="auto"/>
                                                    <w:bottom w:val="none" w:sz="0" w:space="0" w:color="auto"/>
                                                    <w:right w:val="none" w:sz="0" w:space="0" w:color="auto"/>
                                                  </w:divBdr>
                                                </w:div>
                                                <w:div w:id="15446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18603">
      <w:bodyDiv w:val="1"/>
      <w:marLeft w:val="0"/>
      <w:marRight w:val="0"/>
      <w:marTop w:val="0"/>
      <w:marBottom w:val="0"/>
      <w:divBdr>
        <w:top w:val="none" w:sz="0" w:space="0" w:color="auto"/>
        <w:left w:val="none" w:sz="0" w:space="0" w:color="auto"/>
        <w:bottom w:val="none" w:sz="0" w:space="0" w:color="auto"/>
        <w:right w:val="none" w:sz="0" w:space="0" w:color="auto"/>
      </w:divBdr>
    </w:div>
    <w:div w:id="243150527">
      <w:bodyDiv w:val="1"/>
      <w:marLeft w:val="0"/>
      <w:marRight w:val="0"/>
      <w:marTop w:val="0"/>
      <w:marBottom w:val="0"/>
      <w:divBdr>
        <w:top w:val="none" w:sz="0" w:space="0" w:color="auto"/>
        <w:left w:val="none" w:sz="0" w:space="0" w:color="auto"/>
        <w:bottom w:val="none" w:sz="0" w:space="0" w:color="auto"/>
        <w:right w:val="none" w:sz="0" w:space="0" w:color="auto"/>
      </w:divBdr>
    </w:div>
    <w:div w:id="349842417">
      <w:bodyDiv w:val="1"/>
      <w:marLeft w:val="0"/>
      <w:marRight w:val="0"/>
      <w:marTop w:val="0"/>
      <w:marBottom w:val="0"/>
      <w:divBdr>
        <w:top w:val="none" w:sz="0" w:space="0" w:color="auto"/>
        <w:left w:val="none" w:sz="0" w:space="0" w:color="auto"/>
        <w:bottom w:val="none" w:sz="0" w:space="0" w:color="auto"/>
        <w:right w:val="none" w:sz="0" w:space="0" w:color="auto"/>
      </w:divBdr>
    </w:div>
    <w:div w:id="392387067">
      <w:bodyDiv w:val="1"/>
      <w:marLeft w:val="0"/>
      <w:marRight w:val="0"/>
      <w:marTop w:val="0"/>
      <w:marBottom w:val="0"/>
      <w:divBdr>
        <w:top w:val="none" w:sz="0" w:space="0" w:color="auto"/>
        <w:left w:val="none" w:sz="0" w:space="0" w:color="auto"/>
        <w:bottom w:val="none" w:sz="0" w:space="0" w:color="auto"/>
        <w:right w:val="none" w:sz="0" w:space="0" w:color="auto"/>
      </w:divBdr>
    </w:div>
    <w:div w:id="557131931">
      <w:bodyDiv w:val="1"/>
      <w:marLeft w:val="0"/>
      <w:marRight w:val="0"/>
      <w:marTop w:val="0"/>
      <w:marBottom w:val="0"/>
      <w:divBdr>
        <w:top w:val="none" w:sz="0" w:space="0" w:color="auto"/>
        <w:left w:val="none" w:sz="0" w:space="0" w:color="auto"/>
        <w:bottom w:val="none" w:sz="0" w:space="0" w:color="auto"/>
        <w:right w:val="none" w:sz="0" w:space="0" w:color="auto"/>
      </w:divBdr>
    </w:div>
    <w:div w:id="574632540">
      <w:bodyDiv w:val="1"/>
      <w:marLeft w:val="0"/>
      <w:marRight w:val="0"/>
      <w:marTop w:val="0"/>
      <w:marBottom w:val="0"/>
      <w:divBdr>
        <w:top w:val="none" w:sz="0" w:space="0" w:color="auto"/>
        <w:left w:val="none" w:sz="0" w:space="0" w:color="auto"/>
        <w:bottom w:val="none" w:sz="0" w:space="0" w:color="auto"/>
        <w:right w:val="none" w:sz="0" w:space="0" w:color="auto"/>
      </w:divBdr>
      <w:divsChild>
        <w:div w:id="1168397850">
          <w:marLeft w:val="0"/>
          <w:marRight w:val="0"/>
          <w:marTop w:val="0"/>
          <w:marBottom w:val="0"/>
          <w:divBdr>
            <w:top w:val="none" w:sz="0" w:space="0" w:color="auto"/>
            <w:left w:val="none" w:sz="0" w:space="0" w:color="auto"/>
            <w:bottom w:val="none" w:sz="0" w:space="0" w:color="auto"/>
            <w:right w:val="none" w:sz="0" w:space="0" w:color="auto"/>
          </w:divBdr>
          <w:divsChild>
            <w:div w:id="1974093577">
              <w:marLeft w:val="0"/>
              <w:marRight w:val="0"/>
              <w:marTop w:val="0"/>
              <w:marBottom w:val="0"/>
              <w:divBdr>
                <w:top w:val="none" w:sz="0" w:space="0" w:color="auto"/>
                <w:left w:val="none" w:sz="0" w:space="0" w:color="auto"/>
                <w:bottom w:val="none" w:sz="0" w:space="0" w:color="auto"/>
                <w:right w:val="none" w:sz="0" w:space="0" w:color="auto"/>
              </w:divBdr>
            </w:div>
          </w:divsChild>
        </w:div>
        <w:div w:id="237711401">
          <w:marLeft w:val="0"/>
          <w:marRight w:val="0"/>
          <w:marTop w:val="0"/>
          <w:marBottom w:val="0"/>
          <w:divBdr>
            <w:top w:val="none" w:sz="0" w:space="0" w:color="auto"/>
            <w:left w:val="none" w:sz="0" w:space="0" w:color="auto"/>
            <w:bottom w:val="none" w:sz="0" w:space="0" w:color="auto"/>
            <w:right w:val="none" w:sz="0" w:space="0" w:color="auto"/>
          </w:divBdr>
          <w:divsChild>
            <w:div w:id="677273587">
              <w:marLeft w:val="0"/>
              <w:marRight w:val="0"/>
              <w:marTop w:val="0"/>
              <w:marBottom w:val="0"/>
              <w:divBdr>
                <w:top w:val="none" w:sz="0" w:space="0" w:color="auto"/>
                <w:left w:val="none" w:sz="0" w:space="0" w:color="auto"/>
                <w:bottom w:val="none" w:sz="0" w:space="0" w:color="auto"/>
                <w:right w:val="none" w:sz="0" w:space="0" w:color="auto"/>
              </w:divBdr>
              <w:divsChild>
                <w:div w:id="8498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4261">
      <w:bodyDiv w:val="1"/>
      <w:marLeft w:val="0"/>
      <w:marRight w:val="0"/>
      <w:marTop w:val="0"/>
      <w:marBottom w:val="0"/>
      <w:divBdr>
        <w:top w:val="none" w:sz="0" w:space="0" w:color="auto"/>
        <w:left w:val="none" w:sz="0" w:space="0" w:color="auto"/>
        <w:bottom w:val="none" w:sz="0" w:space="0" w:color="auto"/>
        <w:right w:val="none" w:sz="0" w:space="0" w:color="auto"/>
      </w:divBdr>
    </w:div>
    <w:div w:id="613555151">
      <w:bodyDiv w:val="1"/>
      <w:marLeft w:val="0"/>
      <w:marRight w:val="0"/>
      <w:marTop w:val="0"/>
      <w:marBottom w:val="0"/>
      <w:divBdr>
        <w:top w:val="none" w:sz="0" w:space="0" w:color="auto"/>
        <w:left w:val="none" w:sz="0" w:space="0" w:color="auto"/>
        <w:bottom w:val="none" w:sz="0" w:space="0" w:color="auto"/>
        <w:right w:val="none" w:sz="0" w:space="0" w:color="auto"/>
      </w:divBdr>
    </w:div>
    <w:div w:id="688140682">
      <w:bodyDiv w:val="1"/>
      <w:marLeft w:val="0"/>
      <w:marRight w:val="0"/>
      <w:marTop w:val="0"/>
      <w:marBottom w:val="0"/>
      <w:divBdr>
        <w:top w:val="none" w:sz="0" w:space="0" w:color="auto"/>
        <w:left w:val="none" w:sz="0" w:space="0" w:color="auto"/>
        <w:bottom w:val="none" w:sz="0" w:space="0" w:color="auto"/>
        <w:right w:val="none" w:sz="0" w:space="0" w:color="auto"/>
      </w:divBdr>
    </w:div>
    <w:div w:id="715010993">
      <w:bodyDiv w:val="1"/>
      <w:marLeft w:val="0"/>
      <w:marRight w:val="0"/>
      <w:marTop w:val="0"/>
      <w:marBottom w:val="0"/>
      <w:divBdr>
        <w:top w:val="none" w:sz="0" w:space="0" w:color="auto"/>
        <w:left w:val="none" w:sz="0" w:space="0" w:color="auto"/>
        <w:bottom w:val="none" w:sz="0" w:space="0" w:color="auto"/>
        <w:right w:val="none" w:sz="0" w:space="0" w:color="auto"/>
      </w:divBdr>
    </w:div>
    <w:div w:id="804397901">
      <w:bodyDiv w:val="1"/>
      <w:marLeft w:val="0"/>
      <w:marRight w:val="0"/>
      <w:marTop w:val="0"/>
      <w:marBottom w:val="0"/>
      <w:divBdr>
        <w:top w:val="none" w:sz="0" w:space="0" w:color="auto"/>
        <w:left w:val="none" w:sz="0" w:space="0" w:color="auto"/>
        <w:bottom w:val="none" w:sz="0" w:space="0" w:color="auto"/>
        <w:right w:val="none" w:sz="0" w:space="0" w:color="auto"/>
      </w:divBdr>
    </w:div>
    <w:div w:id="832570894">
      <w:bodyDiv w:val="1"/>
      <w:marLeft w:val="0"/>
      <w:marRight w:val="0"/>
      <w:marTop w:val="0"/>
      <w:marBottom w:val="0"/>
      <w:divBdr>
        <w:top w:val="none" w:sz="0" w:space="0" w:color="auto"/>
        <w:left w:val="none" w:sz="0" w:space="0" w:color="auto"/>
        <w:bottom w:val="none" w:sz="0" w:space="0" w:color="auto"/>
        <w:right w:val="none" w:sz="0" w:space="0" w:color="auto"/>
      </w:divBdr>
    </w:div>
    <w:div w:id="891385506">
      <w:bodyDiv w:val="1"/>
      <w:marLeft w:val="0"/>
      <w:marRight w:val="0"/>
      <w:marTop w:val="0"/>
      <w:marBottom w:val="0"/>
      <w:divBdr>
        <w:top w:val="none" w:sz="0" w:space="0" w:color="auto"/>
        <w:left w:val="none" w:sz="0" w:space="0" w:color="auto"/>
        <w:bottom w:val="none" w:sz="0" w:space="0" w:color="auto"/>
        <w:right w:val="none" w:sz="0" w:space="0" w:color="auto"/>
      </w:divBdr>
    </w:div>
    <w:div w:id="924801673">
      <w:bodyDiv w:val="1"/>
      <w:marLeft w:val="0"/>
      <w:marRight w:val="0"/>
      <w:marTop w:val="0"/>
      <w:marBottom w:val="0"/>
      <w:divBdr>
        <w:top w:val="none" w:sz="0" w:space="0" w:color="auto"/>
        <w:left w:val="none" w:sz="0" w:space="0" w:color="auto"/>
        <w:bottom w:val="none" w:sz="0" w:space="0" w:color="auto"/>
        <w:right w:val="none" w:sz="0" w:space="0" w:color="auto"/>
      </w:divBdr>
    </w:div>
    <w:div w:id="945426450">
      <w:bodyDiv w:val="1"/>
      <w:marLeft w:val="0"/>
      <w:marRight w:val="0"/>
      <w:marTop w:val="0"/>
      <w:marBottom w:val="0"/>
      <w:divBdr>
        <w:top w:val="none" w:sz="0" w:space="0" w:color="auto"/>
        <w:left w:val="none" w:sz="0" w:space="0" w:color="auto"/>
        <w:bottom w:val="none" w:sz="0" w:space="0" w:color="auto"/>
        <w:right w:val="none" w:sz="0" w:space="0" w:color="auto"/>
      </w:divBdr>
    </w:div>
    <w:div w:id="998339716">
      <w:bodyDiv w:val="1"/>
      <w:marLeft w:val="0"/>
      <w:marRight w:val="0"/>
      <w:marTop w:val="0"/>
      <w:marBottom w:val="0"/>
      <w:divBdr>
        <w:top w:val="none" w:sz="0" w:space="0" w:color="auto"/>
        <w:left w:val="none" w:sz="0" w:space="0" w:color="auto"/>
        <w:bottom w:val="none" w:sz="0" w:space="0" w:color="auto"/>
        <w:right w:val="none" w:sz="0" w:space="0" w:color="auto"/>
      </w:divBdr>
    </w:div>
    <w:div w:id="1003242520">
      <w:bodyDiv w:val="1"/>
      <w:marLeft w:val="0"/>
      <w:marRight w:val="0"/>
      <w:marTop w:val="0"/>
      <w:marBottom w:val="0"/>
      <w:divBdr>
        <w:top w:val="none" w:sz="0" w:space="0" w:color="auto"/>
        <w:left w:val="none" w:sz="0" w:space="0" w:color="auto"/>
        <w:bottom w:val="none" w:sz="0" w:space="0" w:color="auto"/>
        <w:right w:val="none" w:sz="0" w:space="0" w:color="auto"/>
      </w:divBdr>
    </w:div>
    <w:div w:id="1099255652">
      <w:bodyDiv w:val="1"/>
      <w:marLeft w:val="0"/>
      <w:marRight w:val="0"/>
      <w:marTop w:val="0"/>
      <w:marBottom w:val="0"/>
      <w:divBdr>
        <w:top w:val="none" w:sz="0" w:space="0" w:color="auto"/>
        <w:left w:val="none" w:sz="0" w:space="0" w:color="auto"/>
        <w:bottom w:val="none" w:sz="0" w:space="0" w:color="auto"/>
        <w:right w:val="none" w:sz="0" w:space="0" w:color="auto"/>
      </w:divBdr>
    </w:div>
    <w:div w:id="1121414999">
      <w:bodyDiv w:val="1"/>
      <w:marLeft w:val="0"/>
      <w:marRight w:val="0"/>
      <w:marTop w:val="0"/>
      <w:marBottom w:val="0"/>
      <w:divBdr>
        <w:top w:val="none" w:sz="0" w:space="0" w:color="auto"/>
        <w:left w:val="none" w:sz="0" w:space="0" w:color="auto"/>
        <w:bottom w:val="none" w:sz="0" w:space="0" w:color="auto"/>
        <w:right w:val="none" w:sz="0" w:space="0" w:color="auto"/>
      </w:divBdr>
    </w:div>
    <w:div w:id="1308825379">
      <w:bodyDiv w:val="1"/>
      <w:marLeft w:val="0"/>
      <w:marRight w:val="0"/>
      <w:marTop w:val="0"/>
      <w:marBottom w:val="0"/>
      <w:divBdr>
        <w:top w:val="none" w:sz="0" w:space="0" w:color="auto"/>
        <w:left w:val="none" w:sz="0" w:space="0" w:color="auto"/>
        <w:bottom w:val="none" w:sz="0" w:space="0" w:color="auto"/>
        <w:right w:val="none" w:sz="0" w:space="0" w:color="auto"/>
      </w:divBdr>
    </w:div>
    <w:div w:id="1312910393">
      <w:bodyDiv w:val="1"/>
      <w:marLeft w:val="0"/>
      <w:marRight w:val="0"/>
      <w:marTop w:val="0"/>
      <w:marBottom w:val="0"/>
      <w:divBdr>
        <w:top w:val="none" w:sz="0" w:space="0" w:color="auto"/>
        <w:left w:val="none" w:sz="0" w:space="0" w:color="auto"/>
        <w:bottom w:val="none" w:sz="0" w:space="0" w:color="auto"/>
        <w:right w:val="none" w:sz="0" w:space="0" w:color="auto"/>
      </w:divBdr>
    </w:div>
    <w:div w:id="1370759655">
      <w:bodyDiv w:val="1"/>
      <w:marLeft w:val="0"/>
      <w:marRight w:val="0"/>
      <w:marTop w:val="0"/>
      <w:marBottom w:val="0"/>
      <w:divBdr>
        <w:top w:val="none" w:sz="0" w:space="0" w:color="auto"/>
        <w:left w:val="none" w:sz="0" w:space="0" w:color="auto"/>
        <w:bottom w:val="none" w:sz="0" w:space="0" w:color="auto"/>
        <w:right w:val="none" w:sz="0" w:space="0" w:color="auto"/>
      </w:divBdr>
    </w:div>
    <w:div w:id="1371221942">
      <w:bodyDiv w:val="1"/>
      <w:marLeft w:val="0"/>
      <w:marRight w:val="0"/>
      <w:marTop w:val="0"/>
      <w:marBottom w:val="0"/>
      <w:divBdr>
        <w:top w:val="none" w:sz="0" w:space="0" w:color="auto"/>
        <w:left w:val="none" w:sz="0" w:space="0" w:color="auto"/>
        <w:bottom w:val="none" w:sz="0" w:space="0" w:color="auto"/>
        <w:right w:val="none" w:sz="0" w:space="0" w:color="auto"/>
      </w:divBdr>
    </w:div>
    <w:div w:id="1406296993">
      <w:bodyDiv w:val="1"/>
      <w:marLeft w:val="0"/>
      <w:marRight w:val="0"/>
      <w:marTop w:val="0"/>
      <w:marBottom w:val="0"/>
      <w:divBdr>
        <w:top w:val="none" w:sz="0" w:space="0" w:color="auto"/>
        <w:left w:val="none" w:sz="0" w:space="0" w:color="auto"/>
        <w:bottom w:val="none" w:sz="0" w:space="0" w:color="auto"/>
        <w:right w:val="none" w:sz="0" w:space="0" w:color="auto"/>
      </w:divBdr>
    </w:div>
    <w:div w:id="1526794286">
      <w:bodyDiv w:val="1"/>
      <w:marLeft w:val="0"/>
      <w:marRight w:val="0"/>
      <w:marTop w:val="0"/>
      <w:marBottom w:val="0"/>
      <w:divBdr>
        <w:top w:val="none" w:sz="0" w:space="0" w:color="auto"/>
        <w:left w:val="none" w:sz="0" w:space="0" w:color="auto"/>
        <w:bottom w:val="none" w:sz="0" w:space="0" w:color="auto"/>
        <w:right w:val="none" w:sz="0" w:space="0" w:color="auto"/>
      </w:divBdr>
    </w:div>
    <w:div w:id="1557621114">
      <w:bodyDiv w:val="1"/>
      <w:marLeft w:val="0"/>
      <w:marRight w:val="0"/>
      <w:marTop w:val="0"/>
      <w:marBottom w:val="0"/>
      <w:divBdr>
        <w:top w:val="none" w:sz="0" w:space="0" w:color="auto"/>
        <w:left w:val="none" w:sz="0" w:space="0" w:color="auto"/>
        <w:bottom w:val="none" w:sz="0" w:space="0" w:color="auto"/>
        <w:right w:val="none" w:sz="0" w:space="0" w:color="auto"/>
      </w:divBdr>
    </w:div>
    <w:div w:id="1561869834">
      <w:bodyDiv w:val="1"/>
      <w:marLeft w:val="0"/>
      <w:marRight w:val="0"/>
      <w:marTop w:val="0"/>
      <w:marBottom w:val="0"/>
      <w:divBdr>
        <w:top w:val="none" w:sz="0" w:space="0" w:color="auto"/>
        <w:left w:val="none" w:sz="0" w:space="0" w:color="auto"/>
        <w:bottom w:val="none" w:sz="0" w:space="0" w:color="auto"/>
        <w:right w:val="none" w:sz="0" w:space="0" w:color="auto"/>
      </w:divBdr>
    </w:div>
    <w:div w:id="1585724658">
      <w:bodyDiv w:val="1"/>
      <w:marLeft w:val="0"/>
      <w:marRight w:val="0"/>
      <w:marTop w:val="0"/>
      <w:marBottom w:val="0"/>
      <w:divBdr>
        <w:top w:val="none" w:sz="0" w:space="0" w:color="auto"/>
        <w:left w:val="none" w:sz="0" w:space="0" w:color="auto"/>
        <w:bottom w:val="none" w:sz="0" w:space="0" w:color="auto"/>
        <w:right w:val="none" w:sz="0" w:space="0" w:color="auto"/>
      </w:divBdr>
    </w:div>
    <w:div w:id="1648701397">
      <w:bodyDiv w:val="1"/>
      <w:marLeft w:val="0"/>
      <w:marRight w:val="0"/>
      <w:marTop w:val="0"/>
      <w:marBottom w:val="0"/>
      <w:divBdr>
        <w:top w:val="none" w:sz="0" w:space="0" w:color="auto"/>
        <w:left w:val="none" w:sz="0" w:space="0" w:color="auto"/>
        <w:bottom w:val="none" w:sz="0" w:space="0" w:color="auto"/>
        <w:right w:val="none" w:sz="0" w:space="0" w:color="auto"/>
      </w:divBdr>
    </w:div>
    <w:div w:id="1662275762">
      <w:bodyDiv w:val="1"/>
      <w:marLeft w:val="0"/>
      <w:marRight w:val="0"/>
      <w:marTop w:val="0"/>
      <w:marBottom w:val="0"/>
      <w:divBdr>
        <w:top w:val="none" w:sz="0" w:space="0" w:color="auto"/>
        <w:left w:val="none" w:sz="0" w:space="0" w:color="auto"/>
        <w:bottom w:val="none" w:sz="0" w:space="0" w:color="auto"/>
        <w:right w:val="none" w:sz="0" w:space="0" w:color="auto"/>
      </w:divBdr>
    </w:div>
    <w:div w:id="1806969081">
      <w:bodyDiv w:val="1"/>
      <w:marLeft w:val="0"/>
      <w:marRight w:val="0"/>
      <w:marTop w:val="0"/>
      <w:marBottom w:val="0"/>
      <w:divBdr>
        <w:top w:val="none" w:sz="0" w:space="0" w:color="auto"/>
        <w:left w:val="none" w:sz="0" w:space="0" w:color="auto"/>
        <w:bottom w:val="none" w:sz="0" w:space="0" w:color="auto"/>
        <w:right w:val="none" w:sz="0" w:space="0" w:color="auto"/>
      </w:divBdr>
    </w:div>
    <w:div w:id="1841310926">
      <w:bodyDiv w:val="1"/>
      <w:marLeft w:val="0"/>
      <w:marRight w:val="0"/>
      <w:marTop w:val="0"/>
      <w:marBottom w:val="0"/>
      <w:divBdr>
        <w:top w:val="none" w:sz="0" w:space="0" w:color="auto"/>
        <w:left w:val="none" w:sz="0" w:space="0" w:color="auto"/>
        <w:bottom w:val="none" w:sz="0" w:space="0" w:color="auto"/>
        <w:right w:val="none" w:sz="0" w:space="0" w:color="auto"/>
      </w:divBdr>
    </w:div>
    <w:div w:id="1882087474">
      <w:bodyDiv w:val="1"/>
      <w:marLeft w:val="0"/>
      <w:marRight w:val="0"/>
      <w:marTop w:val="0"/>
      <w:marBottom w:val="0"/>
      <w:divBdr>
        <w:top w:val="none" w:sz="0" w:space="0" w:color="auto"/>
        <w:left w:val="none" w:sz="0" w:space="0" w:color="auto"/>
        <w:bottom w:val="none" w:sz="0" w:space="0" w:color="auto"/>
        <w:right w:val="none" w:sz="0" w:space="0" w:color="auto"/>
      </w:divBdr>
    </w:div>
    <w:div w:id="1920747379">
      <w:bodyDiv w:val="1"/>
      <w:marLeft w:val="0"/>
      <w:marRight w:val="0"/>
      <w:marTop w:val="0"/>
      <w:marBottom w:val="0"/>
      <w:divBdr>
        <w:top w:val="none" w:sz="0" w:space="0" w:color="auto"/>
        <w:left w:val="none" w:sz="0" w:space="0" w:color="auto"/>
        <w:bottom w:val="none" w:sz="0" w:space="0" w:color="auto"/>
        <w:right w:val="none" w:sz="0" w:space="0" w:color="auto"/>
      </w:divBdr>
    </w:div>
    <w:div w:id="1921062707">
      <w:bodyDiv w:val="1"/>
      <w:marLeft w:val="0"/>
      <w:marRight w:val="0"/>
      <w:marTop w:val="0"/>
      <w:marBottom w:val="0"/>
      <w:divBdr>
        <w:top w:val="none" w:sz="0" w:space="0" w:color="auto"/>
        <w:left w:val="none" w:sz="0" w:space="0" w:color="auto"/>
        <w:bottom w:val="none" w:sz="0" w:space="0" w:color="auto"/>
        <w:right w:val="none" w:sz="0" w:space="0" w:color="auto"/>
      </w:divBdr>
    </w:div>
    <w:div w:id="1928004379">
      <w:bodyDiv w:val="1"/>
      <w:marLeft w:val="0"/>
      <w:marRight w:val="0"/>
      <w:marTop w:val="0"/>
      <w:marBottom w:val="0"/>
      <w:divBdr>
        <w:top w:val="none" w:sz="0" w:space="0" w:color="auto"/>
        <w:left w:val="none" w:sz="0" w:space="0" w:color="auto"/>
        <w:bottom w:val="none" w:sz="0" w:space="0" w:color="auto"/>
        <w:right w:val="none" w:sz="0" w:space="0" w:color="auto"/>
      </w:divBdr>
    </w:div>
    <w:div w:id="1956980336">
      <w:bodyDiv w:val="1"/>
      <w:marLeft w:val="0"/>
      <w:marRight w:val="0"/>
      <w:marTop w:val="0"/>
      <w:marBottom w:val="0"/>
      <w:divBdr>
        <w:top w:val="none" w:sz="0" w:space="0" w:color="auto"/>
        <w:left w:val="none" w:sz="0" w:space="0" w:color="auto"/>
        <w:bottom w:val="none" w:sz="0" w:space="0" w:color="auto"/>
        <w:right w:val="none" w:sz="0" w:space="0" w:color="auto"/>
      </w:divBdr>
    </w:div>
    <w:div w:id="1998259978">
      <w:bodyDiv w:val="1"/>
      <w:marLeft w:val="0"/>
      <w:marRight w:val="0"/>
      <w:marTop w:val="0"/>
      <w:marBottom w:val="0"/>
      <w:divBdr>
        <w:top w:val="none" w:sz="0" w:space="0" w:color="auto"/>
        <w:left w:val="none" w:sz="0" w:space="0" w:color="auto"/>
        <w:bottom w:val="none" w:sz="0" w:space="0" w:color="auto"/>
        <w:right w:val="none" w:sz="0" w:space="0" w:color="auto"/>
      </w:divBdr>
    </w:div>
    <w:div w:id="21119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cid:image002.jpg@01D5E280.E7544A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en-kufner\Documents\Custom%20Office%20Templates\Memorandum%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58AAA-69C7-4C48-A15A-6CCD059F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2019.</Template>
  <TotalTime>4117</TotalTime>
  <Pages>1</Pages>
  <Words>12010</Words>
  <Characters>68459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grad rijeka</Company>
  <LinksUpToDate>false</LinksUpToDate>
  <CharactersWithSpaces>80309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Sesar</dc:creator>
  <cp:keywords/>
  <cp:lastModifiedBy>Sesar Vanda</cp:lastModifiedBy>
  <cp:revision>683</cp:revision>
  <cp:lastPrinted>2025-02-14T09:16:00Z</cp:lastPrinted>
  <dcterms:created xsi:type="dcterms:W3CDTF">2025-01-27T11:34:00Z</dcterms:created>
  <dcterms:modified xsi:type="dcterms:W3CDTF">2025-02-14T09:37:00Z</dcterms:modified>
</cp:coreProperties>
</file>