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9DA" w:rsidRPr="00FE1270" w:rsidRDefault="002756FA" w:rsidP="000F70A9">
      <w:pPr>
        <w:rPr>
          <w:rFonts w:ascii="Arial" w:hAnsi="Arial"/>
          <w:b/>
          <w:noProof/>
          <w:sz w:val="24"/>
        </w:rPr>
      </w:pPr>
      <w:bookmarkStart w:id="0" w:name="_GoBack"/>
      <w:bookmarkEnd w:id="0"/>
      <w:r w:rsidRPr="00FE1270">
        <w:rPr>
          <w:rFonts w:ascii="Arial" w:hAnsi="Arial"/>
          <w:b/>
          <w:sz w:val="24"/>
        </w:rPr>
        <w:t xml:space="preserve"> </w:t>
      </w:r>
    </w:p>
    <w:p w:rsidR="000F70A9" w:rsidRPr="00FE1270" w:rsidRDefault="000F70A9" w:rsidP="000F70A9">
      <w:pPr>
        <w:rPr>
          <w:b/>
          <w:noProof/>
          <w:lang w:eastAsia="hr-HR"/>
        </w:rPr>
      </w:pPr>
      <w:r w:rsidRPr="00FE1270">
        <w:rPr>
          <w:b/>
          <w:noProof/>
          <w:lang w:eastAsia="hr-HR"/>
        </w:rPr>
        <w:t xml:space="preserve">                               </w:t>
      </w:r>
      <w:r w:rsidR="0074147F" w:rsidRPr="00FE1270">
        <w:rPr>
          <w:b/>
          <w:noProof/>
          <w:lang w:val="en-US"/>
        </w:rPr>
        <w:drawing>
          <wp:inline distT="0" distB="0" distL="0" distR="0">
            <wp:extent cx="466725" cy="571500"/>
            <wp:effectExtent l="19050" t="0" r="9525" b="0"/>
            <wp:docPr id="1" name="Picture 1" descr="grb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h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1270">
        <w:rPr>
          <w:b/>
          <w:noProof/>
          <w:lang w:eastAsia="hr-HR"/>
        </w:rPr>
        <w:t xml:space="preserve">  </w:t>
      </w:r>
    </w:p>
    <w:p w:rsidR="000F70A9" w:rsidRPr="00FE1270" w:rsidRDefault="000F70A9" w:rsidP="000F70A9">
      <w:pPr>
        <w:rPr>
          <w:b/>
          <w:noProof/>
          <w:sz w:val="16"/>
          <w:szCs w:val="16"/>
          <w:lang w:eastAsia="hr-HR"/>
        </w:rPr>
      </w:pPr>
    </w:p>
    <w:p w:rsidR="000F70A9" w:rsidRPr="00FE1270" w:rsidRDefault="000F70A9" w:rsidP="000F70A9">
      <w:pPr>
        <w:keepNext/>
        <w:spacing w:line="240" w:lineRule="exact"/>
        <w:ind w:right="4565"/>
        <w:jc w:val="both"/>
        <w:outlineLvl w:val="0"/>
        <w:rPr>
          <w:b/>
          <w:noProof/>
          <w:spacing w:val="60"/>
          <w:sz w:val="22"/>
          <w:szCs w:val="22"/>
          <w:lang w:eastAsia="hr-HR"/>
        </w:rPr>
      </w:pPr>
      <w:r w:rsidRPr="00FE1270">
        <w:rPr>
          <w:b/>
          <w:noProof/>
          <w:spacing w:val="60"/>
          <w:sz w:val="22"/>
          <w:szCs w:val="22"/>
          <w:lang w:eastAsia="hr-HR"/>
        </w:rPr>
        <w:t xml:space="preserve"> REPUBLIKA HRVATSKA</w:t>
      </w:r>
    </w:p>
    <w:p w:rsidR="000F70A9" w:rsidRPr="00FE1270" w:rsidRDefault="000F70A9" w:rsidP="000F70A9">
      <w:pPr>
        <w:spacing w:line="240" w:lineRule="exact"/>
        <w:ind w:right="4835"/>
        <w:jc w:val="both"/>
        <w:rPr>
          <w:b/>
          <w:noProof/>
          <w:sz w:val="22"/>
          <w:szCs w:val="22"/>
          <w:lang w:eastAsia="hr-HR"/>
        </w:rPr>
      </w:pPr>
      <w:r w:rsidRPr="00FE1270">
        <w:rPr>
          <w:b/>
          <w:noProof/>
          <w:sz w:val="22"/>
          <w:szCs w:val="22"/>
          <w:lang w:eastAsia="hr-HR"/>
        </w:rPr>
        <w:t>PRIMORSKO - GORANSKA ŽUPANIJA</w:t>
      </w:r>
    </w:p>
    <w:p w:rsidR="000F70A9" w:rsidRPr="00FE1270" w:rsidRDefault="000F70A9" w:rsidP="00B458F7">
      <w:pPr>
        <w:ind w:left="-454" w:right="4564"/>
        <w:rPr>
          <w:b/>
          <w:noProof/>
          <w:lang w:eastAsia="hr-HR"/>
        </w:rPr>
      </w:pPr>
      <w:r w:rsidRPr="00FE1270">
        <w:rPr>
          <w:b/>
          <w:noProof/>
          <w:lang w:eastAsia="hr-HR"/>
        </w:rPr>
        <w:t xml:space="preserve">          </w:t>
      </w:r>
      <w:r w:rsidRPr="00FE1270">
        <w:rPr>
          <w:noProof/>
          <w:color w:val="1F497D"/>
          <w:lang w:eastAsia="hr-HR"/>
        </w:rPr>
        <w:t xml:space="preserve"> </w:t>
      </w:r>
      <w:r w:rsidR="0074147F" w:rsidRPr="00FE1270">
        <w:rPr>
          <w:noProof/>
          <w:color w:val="1F497D"/>
          <w:lang w:val="en-US"/>
        </w:rPr>
        <w:drawing>
          <wp:inline distT="0" distB="0" distL="0" distR="0">
            <wp:extent cx="1988021" cy="501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421" cy="507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1270">
        <w:rPr>
          <w:noProof/>
          <w:color w:val="1F497D"/>
          <w:lang w:eastAsia="hr-HR"/>
        </w:rPr>
        <w:t xml:space="preserve">  </w:t>
      </w:r>
    </w:p>
    <w:p w:rsidR="00EA09DA" w:rsidRPr="00FE1270" w:rsidRDefault="000F70A9" w:rsidP="007D0538">
      <w:pPr>
        <w:pStyle w:val="Heading4"/>
        <w:jc w:val="right"/>
        <w:rPr>
          <w:rFonts w:cs="Arial"/>
          <w:b w:val="0"/>
          <w:bCs/>
          <w:noProof/>
          <w:sz w:val="28"/>
        </w:rPr>
      </w:pPr>
      <w:r w:rsidRPr="00FE1270">
        <w:rPr>
          <w:rFonts w:cs="Arial"/>
          <w:bCs/>
          <w:noProof/>
          <w:sz w:val="28"/>
        </w:rPr>
        <w:tab/>
      </w:r>
      <w:r w:rsidRPr="00FE1270">
        <w:rPr>
          <w:rFonts w:cs="Arial"/>
          <w:bCs/>
          <w:noProof/>
          <w:sz w:val="28"/>
        </w:rPr>
        <w:tab/>
      </w:r>
      <w:r w:rsidRPr="00FE1270">
        <w:rPr>
          <w:rFonts w:cs="Arial"/>
          <w:bCs/>
          <w:noProof/>
          <w:sz w:val="28"/>
        </w:rPr>
        <w:tab/>
      </w:r>
      <w:r w:rsidRPr="00FE1270">
        <w:rPr>
          <w:rFonts w:cs="Arial"/>
          <w:bCs/>
          <w:noProof/>
          <w:sz w:val="28"/>
        </w:rPr>
        <w:tab/>
      </w:r>
      <w:r w:rsidRPr="00FE1270">
        <w:rPr>
          <w:rFonts w:cs="Arial"/>
          <w:bCs/>
          <w:noProof/>
          <w:sz w:val="28"/>
        </w:rPr>
        <w:tab/>
      </w:r>
      <w:r w:rsidRPr="00FE1270">
        <w:rPr>
          <w:rFonts w:cs="Arial"/>
          <w:bCs/>
          <w:noProof/>
          <w:sz w:val="28"/>
        </w:rPr>
        <w:tab/>
      </w:r>
      <w:r w:rsidR="00EA09DA" w:rsidRPr="00FE1270">
        <w:rPr>
          <w:rFonts w:cs="Arial"/>
          <w:bCs/>
          <w:noProof/>
          <w:sz w:val="28"/>
        </w:rPr>
        <w:tab/>
      </w:r>
      <w:r w:rsidR="00EA09DA" w:rsidRPr="00FE1270">
        <w:rPr>
          <w:rFonts w:cs="Arial"/>
          <w:bCs/>
          <w:noProof/>
          <w:sz w:val="28"/>
        </w:rPr>
        <w:tab/>
      </w:r>
      <w:r w:rsidR="00EA09DA" w:rsidRPr="00FE1270">
        <w:rPr>
          <w:rFonts w:cs="Arial"/>
          <w:b w:val="0"/>
          <w:noProof/>
          <w:szCs w:val="22"/>
        </w:rPr>
        <w:t xml:space="preserve">Razina          </w:t>
      </w:r>
      <w:r w:rsidR="00C15174" w:rsidRPr="00FE1270">
        <w:rPr>
          <w:rFonts w:cs="Arial"/>
          <w:b w:val="0"/>
          <w:noProof/>
          <w:szCs w:val="22"/>
        </w:rPr>
        <w:tab/>
      </w:r>
      <w:r w:rsidR="00C15174" w:rsidRPr="00FE1270">
        <w:rPr>
          <w:rFonts w:cs="Arial"/>
          <w:b w:val="0"/>
          <w:noProof/>
          <w:szCs w:val="22"/>
        </w:rPr>
        <w:tab/>
        <w:t xml:space="preserve">     </w:t>
      </w:r>
      <w:r w:rsidR="007D0538" w:rsidRPr="00FE1270">
        <w:rPr>
          <w:rFonts w:cs="Arial"/>
          <w:b w:val="0"/>
          <w:noProof/>
          <w:szCs w:val="22"/>
        </w:rPr>
        <w:t xml:space="preserve"> </w:t>
      </w:r>
      <w:r w:rsidR="00EA09DA" w:rsidRPr="00FE1270">
        <w:rPr>
          <w:rFonts w:cs="Arial"/>
          <w:b w:val="0"/>
          <w:noProof/>
          <w:szCs w:val="22"/>
        </w:rPr>
        <w:t>2</w:t>
      </w:r>
      <w:r w:rsidR="00E4683C" w:rsidRPr="00FE1270">
        <w:rPr>
          <w:rFonts w:cs="Arial"/>
          <w:b w:val="0"/>
          <w:noProof/>
          <w:szCs w:val="22"/>
        </w:rPr>
        <w:t>3</w:t>
      </w:r>
    </w:p>
    <w:p w:rsidR="00EA09DA" w:rsidRPr="00FE1270" w:rsidRDefault="00791151" w:rsidP="007D0538">
      <w:pPr>
        <w:pStyle w:val="Heading4"/>
        <w:spacing w:line="240" w:lineRule="atLeast"/>
        <w:jc w:val="right"/>
        <w:rPr>
          <w:rFonts w:cs="Arial"/>
          <w:b w:val="0"/>
          <w:noProof/>
        </w:rPr>
      </w:pPr>
      <w:r w:rsidRPr="00FE1270">
        <w:rPr>
          <w:rFonts w:cs="Arial"/>
          <w:b w:val="0"/>
          <w:noProof/>
        </w:rPr>
        <w:t xml:space="preserve">     </w:t>
      </w:r>
      <w:r w:rsidR="000F70A9" w:rsidRPr="00FE1270">
        <w:rPr>
          <w:rFonts w:cs="Arial"/>
          <w:b w:val="0"/>
          <w:noProof/>
        </w:rPr>
        <w:tab/>
      </w:r>
      <w:r w:rsidR="000F70A9" w:rsidRPr="00FE1270">
        <w:rPr>
          <w:rFonts w:cs="Arial"/>
          <w:b w:val="0"/>
          <w:noProof/>
        </w:rPr>
        <w:tab/>
      </w:r>
      <w:r w:rsidR="000F70A9" w:rsidRPr="00FE1270">
        <w:rPr>
          <w:rFonts w:cs="Arial"/>
          <w:b w:val="0"/>
          <w:noProof/>
        </w:rPr>
        <w:tab/>
      </w:r>
      <w:r w:rsidR="000F70A9" w:rsidRPr="00FE1270">
        <w:rPr>
          <w:rFonts w:cs="Arial"/>
          <w:b w:val="0"/>
          <w:noProof/>
        </w:rPr>
        <w:tab/>
      </w:r>
      <w:r w:rsidR="000F70A9" w:rsidRPr="00FE1270">
        <w:rPr>
          <w:rFonts w:cs="Arial"/>
          <w:b w:val="0"/>
          <w:noProof/>
        </w:rPr>
        <w:tab/>
      </w:r>
      <w:r w:rsidR="000F70A9" w:rsidRPr="00FE1270">
        <w:rPr>
          <w:rFonts w:cs="Arial"/>
          <w:b w:val="0"/>
          <w:noProof/>
        </w:rPr>
        <w:tab/>
      </w:r>
      <w:r w:rsidR="00EA09DA" w:rsidRPr="00FE1270">
        <w:rPr>
          <w:rFonts w:cs="Arial"/>
          <w:b w:val="0"/>
          <w:noProof/>
        </w:rPr>
        <w:tab/>
      </w:r>
      <w:r w:rsidR="00EA09DA" w:rsidRPr="00FE1270">
        <w:rPr>
          <w:rFonts w:cs="Arial"/>
          <w:b w:val="0"/>
          <w:noProof/>
        </w:rPr>
        <w:tab/>
      </w:r>
      <w:r w:rsidR="00EA09DA" w:rsidRPr="00FE1270">
        <w:rPr>
          <w:rFonts w:cs="Arial"/>
          <w:b w:val="0"/>
          <w:noProof/>
          <w:szCs w:val="22"/>
        </w:rPr>
        <w:t xml:space="preserve">Matični broj  </w:t>
      </w:r>
      <w:r w:rsidR="00C15174" w:rsidRPr="00FE1270">
        <w:rPr>
          <w:rFonts w:cs="Arial"/>
          <w:b w:val="0"/>
          <w:noProof/>
          <w:szCs w:val="22"/>
        </w:rPr>
        <w:tab/>
        <w:t xml:space="preserve">      </w:t>
      </w:r>
      <w:r w:rsidR="00EA09DA" w:rsidRPr="00FE1270">
        <w:rPr>
          <w:rFonts w:cs="Arial"/>
          <w:b w:val="0"/>
          <w:noProof/>
          <w:szCs w:val="22"/>
        </w:rPr>
        <w:t>0</w:t>
      </w:r>
      <w:r w:rsidR="004951C2" w:rsidRPr="00FE1270">
        <w:rPr>
          <w:rFonts w:cs="Arial"/>
          <w:b w:val="0"/>
          <w:noProof/>
          <w:szCs w:val="22"/>
        </w:rPr>
        <w:t>2664763</w:t>
      </w:r>
    </w:p>
    <w:p w:rsidR="00EA09DA" w:rsidRPr="00FE1270" w:rsidRDefault="00EA09DA" w:rsidP="007D0538">
      <w:pPr>
        <w:pStyle w:val="Heading4"/>
        <w:jc w:val="right"/>
        <w:rPr>
          <w:rFonts w:cs="Arial"/>
          <w:b w:val="0"/>
          <w:noProof/>
        </w:rPr>
      </w:pPr>
      <w:r w:rsidRPr="00FE1270">
        <w:rPr>
          <w:rFonts w:cs="Arial"/>
          <w:b w:val="0"/>
          <w:bCs/>
          <w:noProof/>
          <w:sz w:val="28"/>
        </w:rPr>
        <w:t xml:space="preserve">    </w:t>
      </w:r>
      <w:r w:rsidR="00791151" w:rsidRPr="00FE1270">
        <w:rPr>
          <w:rFonts w:cs="Arial"/>
          <w:b w:val="0"/>
          <w:bCs/>
          <w:noProof/>
          <w:sz w:val="28"/>
        </w:rPr>
        <w:t xml:space="preserve">  </w:t>
      </w:r>
      <w:r w:rsidRPr="00FE1270">
        <w:rPr>
          <w:rFonts w:cs="Arial"/>
          <w:b w:val="0"/>
          <w:bCs/>
          <w:noProof/>
          <w:sz w:val="28"/>
        </w:rPr>
        <w:t xml:space="preserve">        </w:t>
      </w:r>
      <w:r w:rsidR="000F70A9" w:rsidRPr="00FE1270">
        <w:rPr>
          <w:rFonts w:cs="Arial"/>
          <w:b w:val="0"/>
          <w:bCs/>
          <w:noProof/>
          <w:sz w:val="28"/>
        </w:rPr>
        <w:tab/>
      </w:r>
      <w:r w:rsidR="000F70A9" w:rsidRPr="00FE1270">
        <w:rPr>
          <w:rFonts w:cs="Arial"/>
          <w:b w:val="0"/>
          <w:bCs/>
          <w:noProof/>
          <w:sz w:val="28"/>
        </w:rPr>
        <w:tab/>
      </w:r>
      <w:r w:rsidR="000F70A9" w:rsidRPr="00FE1270">
        <w:rPr>
          <w:rFonts w:cs="Arial"/>
          <w:b w:val="0"/>
          <w:bCs/>
          <w:noProof/>
          <w:sz w:val="28"/>
        </w:rPr>
        <w:tab/>
      </w:r>
      <w:r w:rsidR="000F70A9" w:rsidRPr="00FE1270">
        <w:rPr>
          <w:rFonts w:cs="Arial"/>
          <w:b w:val="0"/>
          <w:bCs/>
          <w:noProof/>
          <w:sz w:val="28"/>
        </w:rPr>
        <w:tab/>
      </w:r>
      <w:r w:rsidR="000F70A9" w:rsidRPr="00FE1270">
        <w:rPr>
          <w:rFonts w:cs="Arial"/>
          <w:b w:val="0"/>
          <w:bCs/>
          <w:noProof/>
          <w:sz w:val="28"/>
        </w:rPr>
        <w:tab/>
      </w:r>
      <w:r w:rsidRPr="00FE1270">
        <w:rPr>
          <w:rFonts w:cs="Arial"/>
          <w:b w:val="0"/>
          <w:bCs/>
          <w:noProof/>
          <w:sz w:val="28"/>
        </w:rPr>
        <w:tab/>
      </w:r>
      <w:r w:rsidRPr="00FE1270">
        <w:rPr>
          <w:rFonts w:cs="Arial"/>
          <w:b w:val="0"/>
          <w:bCs/>
          <w:noProof/>
          <w:sz w:val="28"/>
        </w:rPr>
        <w:tab/>
      </w:r>
      <w:r w:rsidR="00C15174" w:rsidRPr="00FE1270">
        <w:rPr>
          <w:rFonts w:cs="Arial"/>
          <w:b w:val="0"/>
          <w:noProof/>
        </w:rPr>
        <w:t xml:space="preserve">RKP                </w:t>
      </w:r>
      <w:r w:rsidR="00C15174" w:rsidRPr="00FE1270">
        <w:rPr>
          <w:rFonts w:cs="Arial"/>
          <w:b w:val="0"/>
          <w:noProof/>
        </w:rPr>
        <w:tab/>
      </w:r>
      <w:r w:rsidR="007D0538" w:rsidRPr="00FE1270">
        <w:rPr>
          <w:rFonts w:cs="Arial"/>
          <w:b w:val="0"/>
          <w:noProof/>
        </w:rPr>
        <w:tab/>
      </w:r>
      <w:r w:rsidRPr="00FE1270">
        <w:rPr>
          <w:rFonts w:cs="Arial"/>
          <w:b w:val="0"/>
          <w:noProof/>
        </w:rPr>
        <w:t>31059</w:t>
      </w:r>
    </w:p>
    <w:p w:rsidR="00EA09DA" w:rsidRPr="00FE1270" w:rsidRDefault="00EA09DA" w:rsidP="007D0538">
      <w:pPr>
        <w:pStyle w:val="Heading4"/>
        <w:jc w:val="right"/>
        <w:rPr>
          <w:rFonts w:cs="Arial"/>
          <w:b w:val="0"/>
          <w:bCs/>
          <w:noProof/>
        </w:rPr>
      </w:pPr>
      <w:r w:rsidRPr="00FE1270">
        <w:rPr>
          <w:rFonts w:cs="Arial"/>
          <w:b w:val="0"/>
          <w:bCs/>
          <w:noProof/>
        </w:rPr>
        <w:tab/>
      </w:r>
      <w:r w:rsidRPr="00FE1270">
        <w:rPr>
          <w:rFonts w:cs="Arial"/>
          <w:b w:val="0"/>
          <w:bCs/>
          <w:noProof/>
        </w:rPr>
        <w:tab/>
      </w:r>
      <w:r w:rsidRPr="00FE1270">
        <w:rPr>
          <w:rFonts w:cs="Arial"/>
          <w:b w:val="0"/>
          <w:bCs/>
          <w:noProof/>
        </w:rPr>
        <w:tab/>
      </w:r>
      <w:r w:rsidRPr="00FE1270">
        <w:rPr>
          <w:rFonts w:cs="Arial"/>
          <w:b w:val="0"/>
          <w:bCs/>
          <w:noProof/>
        </w:rPr>
        <w:tab/>
      </w:r>
      <w:r w:rsidRPr="00FE1270">
        <w:rPr>
          <w:rFonts w:cs="Arial"/>
          <w:b w:val="0"/>
          <w:bCs/>
          <w:noProof/>
        </w:rPr>
        <w:tab/>
      </w:r>
      <w:r w:rsidRPr="00FE1270">
        <w:rPr>
          <w:rFonts w:cs="Arial"/>
          <w:b w:val="0"/>
          <w:bCs/>
          <w:noProof/>
        </w:rPr>
        <w:tab/>
      </w:r>
      <w:r w:rsidRPr="00FE1270">
        <w:rPr>
          <w:rFonts w:cs="Arial"/>
          <w:b w:val="0"/>
          <w:bCs/>
          <w:noProof/>
        </w:rPr>
        <w:tab/>
      </w:r>
      <w:r w:rsidRPr="00FE1270">
        <w:rPr>
          <w:rFonts w:cs="Arial"/>
          <w:b w:val="0"/>
          <w:bCs/>
          <w:noProof/>
        </w:rPr>
        <w:tab/>
        <w:t xml:space="preserve">Šifra djelatnosti   </w:t>
      </w:r>
      <w:r w:rsidR="00C15174" w:rsidRPr="00FE1270">
        <w:rPr>
          <w:rFonts w:cs="Arial"/>
          <w:b w:val="0"/>
          <w:bCs/>
          <w:noProof/>
        </w:rPr>
        <w:tab/>
      </w:r>
      <w:r w:rsidR="00013761" w:rsidRPr="00FE1270">
        <w:rPr>
          <w:rFonts w:cs="Arial"/>
          <w:b w:val="0"/>
          <w:bCs/>
          <w:noProof/>
        </w:rPr>
        <w:t xml:space="preserve">  8411</w:t>
      </w:r>
    </w:p>
    <w:p w:rsidR="00EA09DA" w:rsidRPr="00FE1270" w:rsidRDefault="002B7865" w:rsidP="007D0538">
      <w:pPr>
        <w:pStyle w:val="Footer"/>
        <w:tabs>
          <w:tab w:val="clear" w:pos="4153"/>
          <w:tab w:val="clear" w:pos="8306"/>
        </w:tabs>
        <w:jc w:val="right"/>
        <w:rPr>
          <w:rFonts w:ascii="Arial" w:hAnsi="Arial" w:cs="Arial"/>
          <w:noProof/>
          <w:sz w:val="22"/>
          <w:szCs w:val="22"/>
        </w:rPr>
      </w:pPr>
      <w:r w:rsidRPr="00FE1270">
        <w:rPr>
          <w:rFonts w:ascii="Arial" w:hAnsi="Arial" w:cs="Arial"/>
          <w:noProof/>
          <w:sz w:val="22"/>
          <w:szCs w:val="22"/>
        </w:rPr>
        <w:tab/>
      </w:r>
      <w:r w:rsidRPr="00FE1270">
        <w:rPr>
          <w:rFonts w:ascii="Arial" w:hAnsi="Arial" w:cs="Arial"/>
          <w:noProof/>
          <w:sz w:val="22"/>
          <w:szCs w:val="22"/>
        </w:rPr>
        <w:tab/>
      </w:r>
      <w:r w:rsidRPr="00FE1270">
        <w:rPr>
          <w:rFonts w:ascii="Arial" w:hAnsi="Arial" w:cs="Arial"/>
          <w:noProof/>
          <w:sz w:val="22"/>
          <w:szCs w:val="22"/>
        </w:rPr>
        <w:tab/>
      </w:r>
      <w:r w:rsidRPr="00FE1270">
        <w:rPr>
          <w:rFonts w:ascii="Arial" w:hAnsi="Arial" w:cs="Arial"/>
          <w:noProof/>
          <w:sz w:val="22"/>
          <w:szCs w:val="22"/>
        </w:rPr>
        <w:tab/>
      </w:r>
      <w:r w:rsidRPr="00FE1270">
        <w:rPr>
          <w:rFonts w:ascii="Arial" w:hAnsi="Arial" w:cs="Arial"/>
          <w:noProof/>
          <w:sz w:val="22"/>
          <w:szCs w:val="22"/>
        </w:rPr>
        <w:tab/>
      </w:r>
      <w:r w:rsidRPr="00FE1270">
        <w:rPr>
          <w:rFonts w:ascii="Arial" w:hAnsi="Arial" w:cs="Arial"/>
          <w:noProof/>
          <w:sz w:val="22"/>
          <w:szCs w:val="22"/>
        </w:rPr>
        <w:tab/>
      </w:r>
      <w:r w:rsidRPr="00FE1270">
        <w:rPr>
          <w:rFonts w:ascii="Arial" w:hAnsi="Arial" w:cs="Arial"/>
          <w:noProof/>
          <w:sz w:val="22"/>
          <w:szCs w:val="22"/>
        </w:rPr>
        <w:tab/>
      </w:r>
      <w:r w:rsidRPr="00FE1270">
        <w:rPr>
          <w:rFonts w:ascii="Arial" w:hAnsi="Arial" w:cs="Arial"/>
          <w:bCs/>
          <w:noProof/>
          <w:sz w:val="22"/>
          <w:szCs w:val="22"/>
        </w:rPr>
        <w:t>OIB</w:t>
      </w:r>
      <w:r w:rsidRPr="00FE1270">
        <w:rPr>
          <w:rFonts w:ascii="Arial" w:hAnsi="Arial" w:cs="Arial"/>
          <w:bCs/>
          <w:noProof/>
          <w:sz w:val="22"/>
          <w:szCs w:val="22"/>
        </w:rPr>
        <w:tab/>
      </w:r>
      <w:r w:rsidRPr="00FE1270">
        <w:rPr>
          <w:rFonts w:ascii="Arial" w:hAnsi="Arial" w:cs="Arial"/>
          <w:bCs/>
          <w:noProof/>
          <w:sz w:val="22"/>
          <w:szCs w:val="22"/>
        </w:rPr>
        <w:tab/>
      </w:r>
      <w:r w:rsidR="004951C2" w:rsidRPr="00FE1270">
        <w:rPr>
          <w:rFonts w:ascii="Arial" w:hAnsi="Arial" w:cs="Arial"/>
          <w:bCs/>
          <w:noProof/>
          <w:sz w:val="22"/>
          <w:szCs w:val="22"/>
        </w:rPr>
        <w:t>54382731928</w:t>
      </w:r>
    </w:p>
    <w:p w:rsidR="007B59C6" w:rsidRPr="00FE1270" w:rsidRDefault="007B59C6" w:rsidP="00A231F0">
      <w:pPr>
        <w:pStyle w:val="Footer"/>
        <w:tabs>
          <w:tab w:val="clear" w:pos="4153"/>
          <w:tab w:val="clear" w:pos="8306"/>
        </w:tabs>
        <w:rPr>
          <w:rFonts w:ascii="Arial" w:hAnsi="Arial" w:cs="Arial"/>
          <w:b/>
          <w:noProof/>
          <w:sz w:val="22"/>
          <w:szCs w:val="22"/>
        </w:rPr>
      </w:pPr>
    </w:p>
    <w:p w:rsidR="00591B90" w:rsidRPr="00FE1270" w:rsidRDefault="00591B90" w:rsidP="00A231F0">
      <w:pPr>
        <w:pStyle w:val="Footer"/>
        <w:tabs>
          <w:tab w:val="clear" w:pos="4153"/>
          <w:tab w:val="clear" w:pos="8306"/>
        </w:tabs>
        <w:rPr>
          <w:rFonts w:ascii="Arial" w:hAnsi="Arial" w:cs="Arial"/>
          <w:b/>
          <w:noProof/>
          <w:sz w:val="22"/>
          <w:szCs w:val="22"/>
        </w:rPr>
      </w:pPr>
    </w:p>
    <w:p w:rsidR="00335570" w:rsidRDefault="00335570" w:rsidP="00A231F0">
      <w:pPr>
        <w:pStyle w:val="Footer"/>
        <w:tabs>
          <w:tab w:val="clear" w:pos="4153"/>
          <w:tab w:val="clear" w:pos="8306"/>
        </w:tabs>
        <w:rPr>
          <w:rFonts w:ascii="Arial" w:hAnsi="Arial" w:cs="Arial"/>
          <w:b/>
          <w:noProof/>
          <w:sz w:val="22"/>
          <w:szCs w:val="22"/>
        </w:rPr>
      </w:pPr>
    </w:p>
    <w:p w:rsidR="00A06642" w:rsidRDefault="00A06642" w:rsidP="00A231F0">
      <w:pPr>
        <w:pStyle w:val="Footer"/>
        <w:tabs>
          <w:tab w:val="clear" w:pos="4153"/>
          <w:tab w:val="clear" w:pos="8306"/>
        </w:tabs>
        <w:rPr>
          <w:rFonts w:ascii="Arial" w:hAnsi="Arial" w:cs="Arial"/>
          <w:b/>
          <w:noProof/>
          <w:sz w:val="22"/>
          <w:szCs w:val="22"/>
        </w:rPr>
      </w:pPr>
    </w:p>
    <w:p w:rsidR="00A06642" w:rsidRPr="00FE1270" w:rsidRDefault="00A06642" w:rsidP="00A231F0">
      <w:pPr>
        <w:pStyle w:val="Footer"/>
        <w:tabs>
          <w:tab w:val="clear" w:pos="4153"/>
          <w:tab w:val="clear" w:pos="8306"/>
        </w:tabs>
        <w:rPr>
          <w:rFonts w:ascii="Arial" w:hAnsi="Arial" w:cs="Arial"/>
          <w:b/>
          <w:noProof/>
          <w:sz w:val="22"/>
          <w:szCs w:val="22"/>
        </w:rPr>
      </w:pPr>
    </w:p>
    <w:p w:rsidR="00591B90" w:rsidRPr="00FE1270" w:rsidRDefault="00591B90" w:rsidP="00A231F0">
      <w:pPr>
        <w:pStyle w:val="Footer"/>
        <w:tabs>
          <w:tab w:val="clear" w:pos="4153"/>
          <w:tab w:val="clear" w:pos="8306"/>
        </w:tabs>
        <w:rPr>
          <w:rFonts w:ascii="Arial" w:hAnsi="Arial" w:cs="Arial"/>
          <w:b/>
          <w:noProof/>
          <w:sz w:val="22"/>
          <w:szCs w:val="22"/>
        </w:rPr>
      </w:pPr>
    </w:p>
    <w:p w:rsidR="00DD2660" w:rsidRPr="00FE1270" w:rsidRDefault="00DD2660" w:rsidP="00A231F0">
      <w:pPr>
        <w:pStyle w:val="Footer"/>
        <w:tabs>
          <w:tab w:val="clear" w:pos="4153"/>
          <w:tab w:val="clear" w:pos="8306"/>
        </w:tabs>
        <w:rPr>
          <w:rFonts w:ascii="Arial" w:hAnsi="Arial" w:cs="Arial"/>
          <w:b/>
          <w:noProof/>
          <w:sz w:val="22"/>
          <w:szCs w:val="22"/>
        </w:rPr>
      </w:pPr>
    </w:p>
    <w:p w:rsidR="00566694" w:rsidRPr="00FE1270" w:rsidRDefault="00566694" w:rsidP="005174B1">
      <w:pPr>
        <w:pStyle w:val="Heading6"/>
        <w:jc w:val="center"/>
        <w:rPr>
          <w:rFonts w:cs="Arial"/>
          <w:noProof/>
          <w:sz w:val="22"/>
          <w:szCs w:val="22"/>
        </w:rPr>
      </w:pPr>
      <w:r w:rsidRPr="00FE1270">
        <w:rPr>
          <w:rFonts w:cs="Arial"/>
          <w:noProof/>
          <w:sz w:val="22"/>
          <w:szCs w:val="22"/>
        </w:rPr>
        <w:t>BILJEŠKE UZ KONSOLIDIRAN</w:t>
      </w:r>
      <w:r w:rsidR="00150FA1" w:rsidRPr="00FE1270">
        <w:rPr>
          <w:rFonts w:cs="Arial"/>
          <w:noProof/>
          <w:sz w:val="22"/>
          <w:szCs w:val="22"/>
        </w:rPr>
        <w:t>I</w:t>
      </w:r>
      <w:r w:rsidRPr="00FE1270">
        <w:rPr>
          <w:rFonts w:cs="Arial"/>
          <w:noProof/>
          <w:sz w:val="22"/>
          <w:szCs w:val="22"/>
        </w:rPr>
        <w:t xml:space="preserve"> FINANCIJSK</w:t>
      </w:r>
      <w:r w:rsidR="00150FA1" w:rsidRPr="00FE1270">
        <w:rPr>
          <w:rFonts w:cs="Arial"/>
          <w:noProof/>
          <w:sz w:val="22"/>
          <w:szCs w:val="22"/>
        </w:rPr>
        <w:t>I</w:t>
      </w:r>
      <w:r w:rsidRPr="00FE1270">
        <w:rPr>
          <w:rFonts w:cs="Arial"/>
          <w:noProof/>
          <w:sz w:val="22"/>
          <w:szCs w:val="22"/>
        </w:rPr>
        <w:t xml:space="preserve"> IZVJEŠTAJ</w:t>
      </w:r>
      <w:r w:rsidR="005174B1" w:rsidRPr="00FE1270">
        <w:rPr>
          <w:rFonts w:cs="Arial"/>
          <w:noProof/>
          <w:sz w:val="22"/>
          <w:szCs w:val="22"/>
        </w:rPr>
        <w:t xml:space="preserve"> </w:t>
      </w:r>
    </w:p>
    <w:p w:rsidR="001B772E" w:rsidRPr="00FE1270" w:rsidRDefault="001B772E" w:rsidP="00150FA1">
      <w:pPr>
        <w:jc w:val="center"/>
        <w:rPr>
          <w:rFonts w:ascii="Arial" w:hAnsi="Arial"/>
          <w:b/>
          <w:noProof/>
          <w:sz w:val="22"/>
          <w:szCs w:val="22"/>
        </w:rPr>
      </w:pPr>
    </w:p>
    <w:p w:rsidR="00150FA1" w:rsidRPr="00FE1270" w:rsidRDefault="00150FA1" w:rsidP="00150FA1">
      <w:pPr>
        <w:jc w:val="center"/>
        <w:rPr>
          <w:rFonts w:ascii="Arial" w:hAnsi="Arial"/>
          <w:b/>
          <w:noProof/>
          <w:sz w:val="22"/>
          <w:szCs w:val="22"/>
        </w:rPr>
      </w:pPr>
      <w:r w:rsidRPr="00FE1270">
        <w:rPr>
          <w:rFonts w:ascii="Arial" w:hAnsi="Arial"/>
          <w:b/>
          <w:noProof/>
          <w:sz w:val="22"/>
          <w:szCs w:val="22"/>
        </w:rPr>
        <w:t>za razdoblje od 1. siječnja do 31. prosinca 20</w:t>
      </w:r>
      <w:r w:rsidR="009661D5" w:rsidRPr="00FE1270">
        <w:rPr>
          <w:rFonts w:ascii="Arial" w:hAnsi="Arial"/>
          <w:b/>
          <w:noProof/>
          <w:sz w:val="22"/>
          <w:szCs w:val="22"/>
        </w:rPr>
        <w:t>24</w:t>
      </w:r>
      <w:r w:rsidRPr="00FE1270">
        <w:rPr>
          <w:rFonts w:ascii="Arial" w:hAnsi="Arial"/>
          <w:b/>
          <w:noProof/>
          <w:sz w:val="22"/>
          <w:szCs w:val="22"/>
        </w:rPr>
        <w:t>. god.</w:t>
      </w:r>
    </w:p>
    <w:p w:rsidR="00705F9A" w:rsidRPr="00FE1270" w:rsidRDefault="00705F9A" w:rsidP="00705F9A">
      <w:pPr>
        <w:jc w:val="both"/>
        <w:rPr>
          <w:rFonts w:ascii="Arial" w:hAnsi="Arial"/>
          <w:b/>
          <w:noProof/>
          <w:sz w:val="28"/>
          <w:szCs w:val="28"/>
        </w:rPr>
      </w:pPr>
    </w:p>
    <w:p w:rsidR="00CC609F" w:rsidRPr="00FE1270" w:rsidRDefault="00CC609F" w:rsidP="009B4C03">
      <w:pPr>
        <w:rPr>
          <w:noProof/>
        </w:rPr>
      </w:pPr>
    </w:p>
    <w:p w:rsidR="00E7532C" w:rsidRPr="00FE1270" w:rsidRDefault="00654062" w:rsidP="000C7147">
      <w:pPr>
        <w:jc w:val="both"/>
        <w:rPr>
          <w:rFonts w:ascii="Arial" w:hAnsi="Arial" w:cs="Arial"/>
          <w:noProof/>
          <w:sz w:val="22"/>
          <w:szCs w:val="22"/>
        </w:rPr>
      </w:pPr>
      <w:r w:rsidRPr="00FE1270">
        <w:rPr>
          <w:rFonts w:ascii="Arial" w:hAnsi="Arial" w:cs="Arial"/>
          <w:noProof/>
          <w:sz w:val="22"/>
          <w:szCs w:val="22"/>
        </w:rPr>
        <w:t xml:space="preserve">Obveza sastavljanja konsolidiranog financijskog izvještaja propisana je odredbama </w:t>
      </w:r>
      <w:r w:rsidR="00E7532C" w:rsidRPr="00FE1270">
        <w:rPr>
          <w:rFonts w:ascii="Arial" w:hAnsi="Arial" w:cs="Arial"/>
          <w:noProof/>
          <w:sz w:val="22"/>
          <w:szCs w:val="22"/>
        </w:rPr>
        <w:t>Pravilnika o</w:t>
      </w:r>
      <w:r w:rsidR="0015682E" w:rsidRPr="00FE1270">
        <w:rPr>
          <w:rFonts w:ascii="Arial" w:hAnsi="Arial" w:cs="Arial"/>
          <w:noProof/>
          <w:sz w:val="22"/>
          <w:szCs w:val="22"/>
        </w:rPr>
        <w:t xml:space="preserve"> </w:t>
      </w:r>
      <w:r w:rsidR="00E7532C" w:rsidRPr="00FE1270">
        <w:rPr>
          <w:rFonts w:ascii="Arial" w:hAnsi="Arial" w:cs="Arial"/>
          <w:noProof/>
          <w:sz w:val="22"/>
          <w:szCs w:val="22"/>
        </w:rPr>
        <w:t>financijskom izvještavanju u proračunskom računovodstvu</w:t>
      </w:r>
      <w:r w:rsidR="00BA7F62" w:rsidRPr="00FE1270">
        <w:rPr>
          <w:rFonts w:ascii="Arial" w:hAnsi="Arial" w:cs="Arial"/>
          <w:noProof/>
          <w:sz w:val="22"/>
          <w:szCs w:val="22"/>
        </w:rPr>
        <w:t xml:space="preserve"> (</w:t>
      </w:r>
      <w:r w:rsidR="006C48DC" w:rsidRPr="00FE1270">
        <w:rPr>
          <w:rFonts w:ascii="Arial" w:hAnsi="Arial" w:cs="Arial"/>
          <w:noProof/>
          <w:sz w:val="22"/>
          <w:szCs w:val="22"/>
        </w:rPr>
        <w:t>„</w:t>
      </w:r>
      <w:r w:rsidR="00BA7F62" w:rsidRPr="00FE1270">
        <w:rPr>
          <w:rFonts w:ascii="Arial" w:hAnsi="Arial" w:cs="Arial"/>
          <w:noProof/>
          <w:sz w:val="22"/>
          <w:szCs w:val="22"/>
        </w:rPr>
        <w:t>Narodne novine</w:t>
      </w:r>
      <w:r w:rsidR="006C48DC" w:rsidRPr="00FE1270">
        <w:rPr>
          <w:rFonts w:ascii="Arial" w:hAnsi="Arial" w:cs="Arial"/>
          <w:noProof/>
          <w:sz w:val="22"/>
          <w:szCs w:val="22"/>
        </w:rPr>
        <w:t>“</w:t>
      </w:r>
      <w:r w:rsidRPr="00FE1270">
        <w:rPr>
          <w:rFonts w:ascii="Arial" w:hAnsi="Arial" w:cs="Arial"/>
          <w:noProof/>
          <w:sz w:val="22"/>
          <w:szCs w:val="22"/>
        </w:rPr>
        <w:t>,</w:t>
      </w:r>
      <w:r w:rsidR="00860C23" w:rsidRPr="00FE1270">
        <w:rPr>
          <w:rFonts w:ascii="Arial" w:hAnsi="Arial" w:cs="Arial"/>
          <w:noProof/>
          <w:sz w:val="22"/>
          <w:szCs w:val="22"/>
        </w:rPr>
        <w:t xml:space="preserve"> broj 37/22</w:t>
      </w:r>
      <w:r w:rsidR="00A0438D" w:rsidRPr="00FE1270">
        <w:rPr>
          <w:rFonts w:ascii="Arial" w:hAnsi="Arial" w:cs="Arial"/>
          <w:noProof/>
          <w:sz w:val="22"/>
          <w:szCs w:val="22"/>
        </w:rPr>
        <w:t>)</w:t>
      </w:r>
      <w:r w:rsidR="0025474B" w:rsidRPr="00FE1270">
        <w:rPr>
          <w:rFonts w:ascii="Arial" w:hAnsi="Arial" w:cs="Arial"/>
          <w:noProof/>
          <w:sz w:val="22"/>
          <w:szCs w:val="22"/>
        </w:rPr>
        <w:t>. U</w:t>
      </w:r>
      <w:r w:rsidR="00E05B7A" w:rsidRPr="00FE1270">
        <w:rPr>
          <w:rFonts w:ascii="Arial" w:hAnsi="Arial" w:cs="Arial"/>
          <w:noProof/>
          <w:sz w:val="22"/>
          <w:szCs w:val="22"/>
        </w:rPr>
        <w:t xml:space="preserve"> skladu s navedenim Pravilnikom i </w:t>
      </w:r>
      <w:r w:rsidR="00E7532C" w:rsidRPr="00FE1270">
        <w:rPr>
          <w:rFonts w:ascii="Arial" w:hAnsi="Arial" w:cs="Arial"/>
          <w:noProof/>
          <w:sz w:val="22"/>
          <w:szCs w:val="22"/>
        </w:rPr>
        <w:t>Okružnic</w:t>
      </w:r>
      <w:r w:rsidR="00E05B7A" w:rsidRPr="00FE1270">
        <w:rPr>
          <w:rFonts w:ascii="Arial" w:hAnsi="Arial" w:cs="Arial"/>
          <w:noProof/>
          <w:sz w:val="22"/>
          <w:szCs w:val="22"/>
        </w:rPr>
        <w:t>om</w:t>
      </w:r>
      <w:r w:rsidR="00E7532C" w:rsidRPr="00FE1270">
        <w:rPr>
          <w:rFonts w:ascii="Arial" w:hAnsi="Arial" w:cs="Arial"/>
          <w:noProof/>
          <w:sz w:val="22"/>
          <w:szCs w:val="22"/>
        </w:rPr>
        <w:t xml:space="preserve"> Ministarstva financija, Klasa:</w:t>
      </w:r>
      <w:r w:rsidR="00AF3D72" w:rsidRPr="00FE1270">
        <w:rPr>
          <w:rFonts w:ascii="Arial" w:hAnsi="Arial" w:cs="Arial"/>
          <w:noProof/>
          <w:sz w:val="22"/>
          <w:szCs w:val="22"/>
        </w:rPr>
        <w:t xml:space="preserve"> 40</w:t>
      </w:r>
      <w:r w:rsidR="00156AB1" w:rsidRPr="00FE1270">
        <w:rPr>
          <w:rFonts w:ascii="Arial" w:hAnsi="Arial" w:cs="Arial"/>
          <w:noProof/>
          <w:sz w:val="22"/>
          <w:szCs w:val="22"/>
        </w:rPr>
        <w:t>0</w:t>
      </w:r>
      <w:r w:rsidR="00A0438D" w:rsidRPr="00FE1270">
        <w:rPr>
          <w:rFonts w:ascii="Arial" w:hAnsi="Arial" w:cs="Arial"/>
          <w:noProof/>
          <w:sz w:val="22"/>
          <w:szCs w:val="22"/>
        </w:rPr>
        <w:t>-02/</w:t>
      </w:r>
      <w:r w:rsidR="0073118B" w:rsidRPr="00FE1270">
        <w:rPr>
          <w:rFonts w:ascii="Arial" w:hAnsi="Arial" w:cs="Arial"/>
          <w:noProof/>
          <w:sz w:val="22"/>
          <w:szCs w:val="22"/>
        </w:rPr>
        <w:t>24</w:t>
      </w:r>
      <w:r w:rsidR="00AF3D72" w:rsidRPr="00FE1270">
        <w:rPr>
          <w:rFonts w:ascii="Arial" w:hAnsi="Arial" w:cs="Arial"/>
          <w:noProof/>
          <w:sz w:val="22"/>
          <w:szCs w:val="22"/>
        </w:rPr>
        <w:t>-01/</w:t>
      </w:r>
      <w:r w:rsidR="0073118B" w:rsidRPr="00FE1270">
        <w:rPr>
          <w:rFonts w:ascii="Arial" w:hAnsi="Arial" w:cs="Arial"/>
          <w:noProof/>
          <w:sz w:val="22"/>
          <w:szCs w:val="22"/>
        </w:rPr>
        <w:t>19</w:t>
      </w:r>
      <w:r w:rsidR="00E762A0" w:rsidRPr="00FE1270">
        <w:rPr>
          <w:rFonts w:ascii="Arial" w:hAnsi="Arial" w:cs="Arial"/>
          <w:noProof/>
          <w:sz w:val="22"/>
          <w:szCs w:val="22"/>
        </w:rPr>
        <w:t xml:space="preserve"> Urbroj: 513-</w:t>
      </w:r>
      <w:r w:rsidR="0073118B" w:rsidRPr="00FE1270">
        <w:rPr>
          <w:rFonts w:ascii="Arial" w:hAnsi="Arial" w:cs="Arial"/>
          <w:noProof/>
          <w:sz w:val="22"/>
          <w:szCs w:val="22"/>
        </w:rPr>
        <w:t>05-03-25</w:t>
      </w:r>
      <w:r w:rsidR="000658B4" w:rsidRPr="00FE1270">
        <w:rPr>
          <w:rFonts w:ascii="Arial" w:hAnsi="Arial" w:cs="Arial"/>
          <w:noProof/>
          <w:sz w:val="22"/>
          <w:szCs w:val="22"/>
        </w:rPr>
        <w:t>-4</w:t>
      </w:r>
      <w:r w:rsidR="00934E4E" w:rsidRPr="00FE1270">
        <w:rPr>
          <w:rFonts w:ascii="Arial" w:hAnsi="Arial" w:cs="Arial"/>
          <w:noProof/>
          <w:sz w:val="22"/>
          <w:szCs w:val="22"/>
        </w:rPr>
        <w:t xml:space="preserve"> od </w:t>
      </w:r>
      <w:r w:rsidR="0073118B" w:rsidRPr="00FE1270">
        <w:rPr>
          <w:rFonts w:ascii="Arial" w:hAnsi="Arial" w:cs="Arial"/>
          <w:noProof/>
          <w:sz w:val="22"/>
          <w:szCs w:val="22"/>
        </w:rPr>
        <w:t>14</w:t>
      </w:r>
      <w:r w:rsidR="00A0438D" w:rsidRPr="00FE1270">
        <w:rPr>
          <w:rFonts w:ascii="Arial" w:hAnsi="Arial" w:cs="Arial"/>
          <w:noProof/>
          <w:sz w:val="22"/>
          <w:szCs w:val="22"/>
        </w:rPr>
        <w:t xml:space="preserve">. </w:t>
      </w:r>
      <w:r w:rsidR="0073118B" w:rsidRPr="00FE1270">
        <w:rPr>
          <w:rFonts w:ascii="Arial" w:hAnsi="Arial" w:cs="Arial"/>
          <w:noProof/>
          <w:sz w:val="22"/>
          <w:szCs w:val="22"/>
        </w:rPr>
        <w:t>siječnja 2025</w:t>
      </w:r>
      <w:r w:rsidR="00E7532C" w:rsidRPr="00FE1270">
        <w:rPr>
          <w:rFonts w:ascii="Arial" w:hAnsi="Arial" w:cs="Arial"/>
          <w:noProof/>
          <w:sz w:val="22"/>
          <w:szCs w:val="22"/>
        </w:rPr>
        <w:t>.</w:t>
      </w:r>
      <w:r w:rsidR="00E05B7A" w:rsidRPr="00FE1270">
        <w:rPr>
          <w:rFonts w:ascii="Arial" w:hAnsi="Arial" w:cs="Arial"/>
          <w:noProof/>
          <w:sz w:val="22"/>
          <w:szCs w:val="22"/>
        </w:rPr>
        <w:t xml:space="preserve"> godine</w:t>
      </w:r>
      <w:r w:rsidR="004B1049" w:rsidRPr="00FE1270">
        <w:rPr>
          <w:rFonts w:ascii="Arial" w:hAnsi="Arial" w:cs="Arial"/>
          <w:noProof/>
          <w:sz w:val="22"/>
          <w:szCs w:val="22"/>
        </w:rPr>
        <w:t>,</w:t>
      </w:r>
      <w:r w:rsidR="00E7532C" w:rsidRPr="00FE1270">
        <w:rPr>
          <w:rFonts w:ascii="Arial" w:hAnsi="Arial" w:cs="Arial"/>
          <w:noProof/>
          <w:sz w:val="22"/>
          <w:szCs w:val="22"/>
        </w:rPr>
        <w:t xml:space="preserve"> </w:t>
      </w:r>
      <w:r w:rsidR="00E05B7A" w:rsidRPr="00FE1270">
        <w:rPr>
          <w:rFonts w:ascii="Arial" w:hAnsi="Arial" w:cs="Arial"/>
          <w:noProof/>
          <w:sz w:val="22"/>
          <w:szCs w:val="22"/>
        </w:rPr>
        <w:t>sastavljen</w:t>
      </w:r>
      <w:r w:rsidR="00E7532C" w:rsidRPr="00FE1270">
        <w:rPr>
          <w:rFonts w:ascii="Arial" w:hAnsi="Arial" w:cs="Arial"/>
          <w:noProof/>
          <w:sz w:val="22"/>
          <w:szCs w:val="22"/>
        </w:rPr>
        <w:t xml:space="preserve"> </w:t>
      </w:r>
      <w:r w:rsidR="0025474B" w:rsidRPr="00FE1270">
        <w:rPr>
          <w:rFonts w:ascii="Arial" w:hAnsi="Arial" w:cs="Arial"/>
          <w:noProof/>
          <w:sz w:val="22"/>
          <w:szCs w:val="22"/>
        </w:rPr>
        <w:t xml:space="preserve">je </w:t>
      </w:r>
      <w:r w:rsidR="00E7532C" w:rsidRPr="00FE1270">
        <w:rPr>
          <w:rFonts w:ascii="Arial" w:hAnsi="Arial" w:cs="Arial"/>
          <w:noProof/>
          <w:sz w:val="22"/>
          <w:szCs w:val="22"/>
        </w:rPr>
        <w:t>konsolidiran</w:t>
      </w:r>
      <w:r w:rsidR="00E05B7A" w:rsidRPr="00FE1270">
        <w:rPr>
          <w:rFonts w:ascii="Arial" w:hAnsi="Arial" w:cs="Arial"/>
          <w:noProof/>
          <w:sz w:val="22"/>
          <w:szCs w:val="22"/>
        </w:rPr>
        <w:t>i</w:t>
      </w:r>
      <w:r w:rsidR="00E7532C" w:rsidRPr="00FE1270">
        <w:rPr>
          <w:rFonts w:ascii="Arial" w:hAnsi="Arial" w:cs="Arial"/>
          <w:noProof/>
          <w:sz w:val="22"/>
          <w:szCs w:val="22"/>
        </w:rPr>
        <w:t xml:space="preserve"> financijsk</w:t>
      </w:r>
      <w:r w:rsidR="00E05B7A" w:rsidRPr="00FE1270">
        <w:rPr>
          <w:rFonts w:ascii="Arial" w:hAnsi="Arial" w:cs="Arial"/>
          <w:noProof/>
          <w:sz w:val="22"/>
          <w:szCs w:val="22"/>
        </w:rPr>
        <w:t>i</w:t>
      </w:r>
      <w:r w:rsidR="00E7532C" w:rsidRPr="00FE1270">
        <w:rPr>
          <w:rFonts w:ascii="Arial" w:hAnsi="Arial" w:cs="Arial"/>
          <w:noProof/>
          <w:sz w:val="22"/>
          <w:szCs w:val="22"/>
        </w:rPr>
        <w:t xml:space="preserve"> izvještaj </w:t>
      </w:r>
      <w:r w:rsidR="00E05B7A" w:rsidRPr="00FE1270">
        <w:rPr>
          <w:rFonts w:ascii="Arial" w:hAnsi="Arial" w:cs="Arial"/>
          <w:noProof/>
          <w:sz w:val="22"/>
          <w:szCs w:val="22"/>
        </w:rPr>
        <w:t xml:space="preserve">Grada Rijeke </w:t>
      </w:r>
      <w:r w:rsidR="00E7532C" w:rsidRPr="00FE1270">
        <w:rPr>
          <w:rFonts w:ascii="Arial" w:hAnsi="Arial" w:cs="Arial"/>
          <w:noProof/>
          <w:sz w:val="22"/>
          <w:szCs w:val="22"/>
        </w:rPr>
        <w:t xml:space="preserve">za razdoblje od </w:t>
      </w:r>
      <w:r w:rsidR="00933736" w:rsidRPr="00FE1270">
        <w:rPr>
          <w:rFonts w:ascii="Arial" w:hAnsi="Arial" w:cs="Arial"/>
          <w:noProof/>
          <w:sz w:val="22"/>
          <w:szCs w:val="22"/>
        </w:rPr>
        <w:t xml:space="preserve">1. siječnja do 31. </w:t>
      </w:r>
      <w:r w:rsidR="0073118B" w:rsidRPr="00FE1270">
        <w:rPr>
          <w:rFonts w:ascii="Arial" w:hAnsi="Arial" w:cs="Arial"/>
          <w:noProof/>
          <w:sz w:val="22"/>
          <w:szCs w:val="22"/>
        </w:rPr>
        <w:t>prosinca 2024</w:t>
      </w:r>
      <w:r w:rsidR="00E7532C" w:rsidRPr="00FE1270">
        <w:rPr>
          <w:rFonts w:ascii="Arial" w:hAnsi="Arial" w:cs="Arial"/>
          <w:noProof/>
          <w:sz w:val="22"/>
          <w:szCs w:val="22"/>
        </w:rPr>
        <w:t>.</w:t>
      </w:r>
      <w:r w:rsidR="005A1FEC" w:rsidRPr="00FE1270">
        <w:rPr>
          <w:rFonts w:ascii="Arial" w:hAnsi="Arial" w:cs="Arial"/>
          <w:noProof/>
          <w:sz w:val="22"/>
          <w:szCs w:val="22"/>
        </w:rPr>
        <w:t xml:space="preserve"> godine</w:t>
      </w:r>
      <w:r w:rsidR="0025474B" w:rsidRPr="00FE1270">
        <w:rPr>
          <w:rFonts w:ascii="Arial" w:hAnsi="Arial" w:cs="Arial"/>
          <w:noProof/>
          <w:sz w:val="22"/>
          <w:szCs w:val="22"/>
        </w:rPr>
        <w:t xml:space="preserve"> koji</w:t>
      </w:r>
      <w:r w:rsidR="00E05B7A" w:rsidRPr="00FE1270">
        <w:rPr>
          <w:rFonts w:ascii="Arial" w:hAnsi="Arial" w:cs="Arial"/>
          <w:noProof/>
          <w:sz w:val="22"/>
          <w:szCs w:val="22"/>
        </w:rPr>
        <w:t xml:space="preserve"> sadrži propisane </w:t>
      </w:r>
      <w:r w:rsidR="00E7532C" w:rsidRPr="00FE1270">
        <w:rPr>
          <w:rFonts w:ascii="Arial" w:hAnsi="Arial" w:cs="Arial"/>
          <w:noProof/>
          <w:sz w:val="22"/>
          <w:szCs w:val="22"/>
        </w:rPr>
        <w:t>obra</w:t>
      </w:r>
      <w:r w:rsidR="00E05B7A" w:rsidRPr="00FE1270">
        <w:rPr>
          <w:rFonts w:ascii="Arial" w:hAnsi="Arial" w:cs="Arial"/>
          <w:noProof/>
          <w:sz w:val="22"/>
          <w:szCs w:val="22"/>
        </w:rPr>
        <w:t>sce</w:t>
      </w:r>
      <w:r w:rsidR="00E7532C" w:rsidRPr="00FE1270">
        <w:rPr>
          <w:rFonts w:ascii="Arial" w:hAnsi="Arial" w:cs="Arial"/>
          <w:noProof/>
          <w:sz w:val="22"/>
          <w:szCs w:val="22"/>
        </w:rPr>
        <w:t>: Bilanc</w:t>
      </w:r>
      <w:r w:rsidR="00E05B7A" w:rsidRPr="00FE1270">
        <w:rPr>
          <w:rFonts w:ascii="Arial" w:hAnsi="Arial" w:cs="Arial"/>
          <w:noProof/>
          <w:sz w:val="22"/>
          <w:szCs w:val="22"/>
        </w:rPr>
        <w:t>u</w:t>
      </w:r>
      <w:r w:rsidR="00E7532C" w:rsidRPr="00FE1270">
        <w:rPr>
          <w:rFonts w:ascii="Arial" w:hAnsi="Arial" w:cs="Arial"/>
          <w:noProof/>
          <w:sz w:val="22"/>
          <w:szCs w:val="22"/>
        </w:rPr>
        <w:t xml:space="preserve"> (Obrazac BIL), Izvještaj o prihodima i rashodima, primicima i izdacima (Obrazac PR-RAS), Izvještaj o rashodima prema funkcijskoj klasifikaciji (Obrazac RAS-funkcijski), Izvještaj o promjenama u vrijednosti i obujmu imovine i obveza (Obrazac P-VRIO),</w:t>
      </w:r>
      <w:r w:rsidR="00E7532C" w:rsidRPr="00FE1270">
        <w:rPr>
          <w:noProof/>
          <w:szCs w:val="22"/>
        </w:rPr>
        <w:t xml:space="preserve"> </w:t>
      </w:r>
      <w:r w:rsidR="00E7532C" w:rsidRPr="00FE1270">
        <w:rPr>
          <w:rFonts w:ascii="Arial" w:hAnsi="Arial" w:cs="Arial"/>
          <w:noProof/>
          <w:sz w:val="22"/>
          <w:szCs w:val="22"/>
        </w:rPr>
        <w:t xml:space="preserve">Izvještaj o obvezama (Obrazac OBVEZE) </w:t>
      </w:r>
      <w:r w:rsidR="003C14A2">
        <w:rPr>
          <w:rFonts w:ascii="Arial" w:hAnsi="Arial" w:cs="Arial"/>
          <w:noProof/>
          <w:sz w:val="22"/>
          <w:szCs w:val="22"/>
        </w:rPr>
        <w:t>i</w:t>
      </w:r>
      <w:r w:rsidR="00E7532C" w:rsidRPr="00FE1270">
        <w:rPr>
          <w:rFonts w:ascii="Arial" w:hAnsi="Arial" w:cs="Arial"/>
          <w:noProof/>
          <w:sz w:val="22"/>
          <w:szCs w:val="22"/>
        </w:rPr>
        <w:t xml:space="preserve"> ov</w:t>
      </w:r>
      <w:r w:rsidR="00E05B7A" w:rsidRPr="00FE1270">
        <w:rPr>
          <w:rFonts w:ascii="Arial" w:hAnsi="Arial" w:cs="Arial"/>
          <w:noProof/>
          <w:sz w:val="22"/>
          <w:szCs w:val="22"/>
        </w:rPr>
        <w:t>e</w:t>
      </w:r>
      <w:r w:rsidR="00E7532C" w:rsidRPr="00FE1270">
        <w:rPr>
          <w:rFonts w:ascii="Arial" w:hAnsi="Arial" w:cs="Arial"/>
          <w:noProof/>
          <w:sz w:val="22"/>
          <w:szCs w:val="22"/>
        </w:rPr>
        <w:t xml:space="preserve"> Bilješk</w:t>
      </w:r>
      <w:r w:rsidR="00E05B7A" w:rsidRPr="00FE1270">
        <w:rPr>
          <w:rFonts w:ascii="Arial" w:hAnsi="Arial" w:cs="Arial"/>
          <w:noProof/>
          <w:sz w:val="22"/>
          <w:szCs w:val="22"/>
        </w:rPr>
        <w:t>e</w:t>
      </w:r>
      <w:r w:rsidR="00E7532C" w:rsidRPr="00FE1270">
        <w:rPr>
          <w:rFonts w:ascii="Arial" w:hAnsi="Arial" w:cs="Arial"/>
          <w:noProof/>
          <w:sz w:val="22"/>
          <w:szCs w:val="22"/>
        </w:rPr>
        <w:t xml:space="preserve">. </w:t>
      </w:r>
    </w:p>
    <w:p w:rsidR="0019528E" w:rsidRPr="00FE1270" w:rsidRDefault="0019528E" w:rsidP="00A93C9F">
      <w:pPr>
        <w:pStyle w:val="BodyText"/>
        <w:jc w:val="both"/>
        <w:rPr>
          <w:noProof/>
          <w:szCs w:val="22"/>
        </w:rPr>
      </w:pPr>
    </w:p>
    <w:p w:rsidR="003C14A2" w:rsidRDefault="00B07F53" w:rsidP="0019528E">
      <w:pPr>
        <w:pStyle w:val="BodyText"/>
        <w:jc w:val="both"/>
        <w:rPr>
          <w:noProof/>
        </w:rPr>
      </w:pPr>
      <w:r w:rsidRPr="00FE1270">
        <w:rPr>
          <w:noProof/>
        </w:rPr>
        <w:t>U Konsolidiranom</w:t>
      </w:r>
      <w:r w:rsidR="0019528E" w:rsidRPr="00FE1270">
        <w:rPr>
          <w:noProof/>
        </w:rPr>
        <w:t xml:space="preserve"> financijsk</w:t>
      </w:r>
      <w:r w:rsidRPr="00FE1270">
        <w:rPr>
          <w:noProof/>
        </w:rPr>
        <w:t>om</w:t>
      </w:r>
      <w:r w:rsidR="0019528E" w:rsidRPr="00FE1270">
        <w:rPr>
          <w:noProof/>
        </w:rPr>
        <w:t xml:space="preserve"> izvještaj</w:t>
      </w:r>
      <w:r w:rsidRPr="00FE1270">
        <w:rPr>
          <w:noProof/>
        </w:rPr>
        <w:t>u</w:t>
      </w:r>
      <w:r w:rsidR="0019528E" w:rsidRPr="00FE1270">
        <w:rPr>
          <w:noProof/>
        </w:rPr>
        <w:t xml:space="preserve"> podaci za grupu prezentirani </w:t>
      </w:r>
      <w:r w:rsidRPr="00FE1270">
        <w:rPr>
          <w:noProof/>
        </w:rPr>
        <w:t xml:space="preserve">su </w:t>
      </w:r>
      <w:r w:rsidR="0019528E" w:rsidRPr="00FE1270">
        <w:rPr>
          <w:noProof/>
        </w:rPr>
        <w:t xml:space="preserve">kao da se radi o jedinstvenom subjektu. </w:t>
      </w:r>
      <w:r w:rsidR="006C48DC" w:rsidRPr="00FE1270">
        <w:rPr>
          <w:noProof/>
        </w:rPr>
        <w:t>Ko</w:t>
      </w:r>
      <w:r w:rsidR="0019528E" w:rsidRPr="00FE1270">
        <w:rPr>
          <w:bCs/>
          <w:noProof/>
        </w:rPr>
        <w:t>nsolid</w:t>
      </w:r>
      <w:r w:rsidR="006C48DC" w:rsidRPr="00FE1270">
        <w:rPr>
          <w:bCs/>
          <w:noProof/>
        </w:rPr>
        <w:t>irani financijski izvještaj Grada Rijeke</w:t>
      </w:r>
      <w:r w:rsidR="006C48DC" w:rsidRPr="00FE1270">
        <w:rPr>
          <w:b/>
          <w:bCs/>
          <w:noProof/>
        </w:rPr>
        <w:t xml:space="preserve"> </w:t>
      </w:r>
      <w:r w:rsidR="006C48DC" w:rsidRPr="00FE1270">
        <w:rPr>
          <w:bCs/>
          <w:noProof/>
        </w:rPr>
        <w:t xml:space="preserve">obuhvaća financijske podatke </w:t>
      </w:r>
      <w:r w:rsidR="0019528E" w:rsidRPr="00FE1270">
        <w:rPr>
          <w:b/>
          <w:bCs/>
          <w:noProof/>
        </w:rPr>
        <w:t>Grad</w:t>
      </w:r>
      <w:r w:rsidR="006C48DC" w:rsidRPr="00FE1270">
        <w:rPr>
          <w:b/>
          <w:bCs/>
          <w:noProof/>
        </w:rPr>
        <w:t>a</w:t>
      </w:r>
      <w:r w:rsidR="0019528E" w:rsidRPr="00FE1270">
        <w:rPr>
          <w:b/>
          <w:bCs/>
          <w:noProof/>
        </w:rPr>
        <w:t xml:space="preserve"> Rijek</w:t>
      </w:r>
      <w:r w:rsidR="006C48DC" w:rsidRPr="00FE1270">
        <w:rPr>
          <w:b/>
          <w:bCs/>
          <w:noProof/>
        </w:rPr>
        <w:t>e</w:t>
      </w:r>
      <w:r w:rsidR="0019528E" w:rsidRPr="00FE1270">
        <w:rPr>
          <w:bCs/>
          <w:noProof/>
        </w:rPr>
        <w:t xml:space="preserve"> </w:t>
      </w:r>
      <w:r w:rsidR="0019528E" w:rsidRPr="00FE1270">
        <w:rPr>
          <w:rFonts w:cs="Arial"/>
          <w:noProof/>
          <w:szCs w:val="22"/>
        </w:rPr>
        <w:t xml:space="preserve">(dalje u tekstu: Grad) </w:t>
      </w:r>
      <w:r w:rsidR="004B47F4" w:rsidRPr="00FE1270">
        <w:rPr>
          <w:bCs/>
          <w:noProof/>
        </w:rPr>
        <w:t xml:space="preserve">i </w:t>
      </w:r>
      <w:r w:rsidR="004B47F4" w:rsidRPr="00FE1270">
        <w:rPr>
          <w:b/>
          <w:bCs/>
          <w:noProof/>
        </w:rPr>
        <w:t>83</w:t>
      </w:r>
      <w:r w:rsidR="00DD3977" w:rsidRPr="00FE1270">
        <w:rPr>
          <w:b/>
          <w:bCs/>
          <w:noProof/>
        </w:rPr>
        <w:t xml:space="preserve"> proračunsk</w:t>
      </w:r>
      <w:r w:rsidR="006C48DC" w:rsidRPr="00FE1270">
        <w:rPr>
          <w:b/>
          <w:bCs/>
          <w:noProof/>
        </w:rPr>
        <w:t>a</w:t>
      </w:r>
      <w:r w:rsidR="0019528E" w:rsidRPr="00FE1270">
        <w:rPr>
          <w:b/>
          <w:bCs/>
          <w:noProof/>
        </w:rPr>
        <w:t xml:space="preserve"> korisnika</w:t>
      </w:r>
      <w:r w:rsidR="0019528E" w:rsidRPr="00FE1270">
        <w:rPr>
          <w:noProof/>
        </w:rPr>
        <w:t xml:space="preserve"> </w:t>
      </w:r>
      <w:r w:rsidR="0019528E" w:rsidRPr="00FE1270">
        <w:rPr>
          <w:bCs/>
          <w:noProof/>
        </w:rPr>
        <w:t xml:space="preserve">koji su prema organizacijskoj klasifikaciji u </w:t>
      </w:r>
      <w:r w:rsidR="003C14A2">
        <w:rPr>
          <w:bCs/>
          <w:noProof/>
        </w:rPr>
        <w:t>nadležnosti Grada</w:t>
      </w:r>
      <w:r w:rsidR="0019528E" w:rsidRPr="00FE1270">
        <w:rPr>
          <w:noProof/>
        </w:rPr>
        <w:t>.</w:t>
      </w:r>
    </w:p>
    <w:p w:rsidR="003C14A2" w:rsidRDefault="0019528E" w:rsidP="0019528E">
      <w:pPr>
        <w:pStyle w:val="BodyText"/>
        <w:jc w:val="both"/>
        <w:rPr>
          <w:noProof/>
        </w:rPr>
      </w:pPr>
      <w:r w:rsidRPr="00FE1270">
        <w:rPr>
          <w:noProof/>
        </w:rPr>
        <w:t xml:space="preserve"> </w:t>
      </w:r>
    </w:p>
    <w:p w:rsidR="003C14A2" w:rsidRDefault="00DD3977" w:rsidP="0019528E">
      <w:pPr>
        <w:pStyle w:val="BodyText"/>
        <w:jc w:val="both"/>
        <w:rPr>
          <w:noProof/>
        </w:rPr>
      </w:pPr>
      <w:r w:rsidRPr="00FE1270">
        <w:rPr>
          <w:noProof/>
        </w:rPr>
        <w:t>Iz djelatnosti odgoja, obrazovanja i mladih</w:t>
      </w:r>
      <w:r w:rsidR="0019528E" w:rsidRPr="00FE1270">
        <w:rPr>
          <w:noProof/>
        </w:rPr>
        <w:t xml:space="preserve"> u konsolid</w:t>
      </w:r>
      <w:r w:rsidR="007E263A" w:rsidRPr="00FE1270">
        <w:rPr>
          <w:noProof/>
        </w:rPr>
        <w:t>irani izvještaj obuhvaćen</w:t>
      </w:r>
      <w:r w:rsidR="00EF5DAF" w:rsidRPr="00FE1270">
        <w:rPr>
          <w:noProof/>
        </w:rPr>
        <w:t>e</w:t>
      </w:r>
      <w:r w:rsidR="004771BA" w:rsidRPr="00FE1270">
        <w:rPr>
          <w:noProof/>
        </w:rPr>
        <w:t xml:space="preserve"> su </w:t>
      </w:r>
      <w:r w:rsidR="007E263A" w:rsidRPr="00FE1270">
        <w:rPr>
          <w:noProof/>
        </w:rPr>
        <w:t>24 osnovne škole</w:t>
      </w:r>
      <w:r w:rsidR="0019528E" w:rsidRPr="00FE1270">
        <w:rPr>
          <w:noProof/>
        </w:rPr>
        <w:t xml:space="preserve"> (OŠ SE Belvedere, OŠ Brajda, OŠ Centar, OŠ-SE Dolac, OŠ Eugen Kumičić, OŠ Fran Franković, OŠ-SE Gelsi, OŠ Gornja Vežica, OŠ Ivana Zajca, OŠ Kantrida, OŠ Kozala, OŠ Nikola Tesla, OŠ Pećine, OŠ Pehlin, OŠ Podmurvice, OŠ-SE San Nicolo, OŠ Srdoči, OŠ Škurinje, OŠ Trsat, OŠ Turnić, OŠ Vežica, OŠ Vladimir Gortan, OŠ Zamet, Centar za odgoj i obrazovanje</w:t>
      </w:r>
      <w:r w:rsidR="0000134B" w:rsidRPr="00FE1270">
        <w:rPr>
          <w:noProof/>
        </w:rPr>
        <w:t>)</w:t>
      </w:r>
      <w:r w:rsidR="00B54AC8" w:rsidRPr="00FE1270">
        <w:rPr>
          <w:noProof/>
        </w:rPr>
        <w:t>,</w:t>
      </w:r>
      <w:r w:rsidR="00EF5DAF" w:rsidRPr="00FE1270">
        <w:rPr>
          <w:noProof/>
        </w:rPr>
        <w:t xml:space="preserve"> </w:t>
      </w:r>
      <w:r w:rsidR="00B54AC8" w:rsidRPr="00FE1270">
        <w:rPr>
          <w:noProof/>
        </w:rPr>
        <w:t>Cent</w:t>
      </w:r>
      <w:r w:rsidR="00EF5DAF" w:rsidRPr="00FE1270">
        <w:rPr>
          <w:noProof/>
        </w:rPr>
        <w:t>a</w:t>
      </w:r>
      <w:r w:rsidR="00B54AC8" w:rsidRPr="00FE1270">
        <w:rPr>
          <w:noProof/>
        </w:rPr>
        <w:t>r za autizam</w:t>
      </w:r>
      <w:r w:rsidR="008619B4" w:rsidRPr="00FE1270">
        <w:rPr>
          <w:noProof/>
        </w:rPr>
        <w:t>,</w:t>
      </w:r>
      <w:r w:rsidRPr="00FE1270">
        <w:rPr>
          <w:noProof/>
        </w:rPr>
        <w:t xml:space="preserve"> 3</w:t>
      </w:r>
      <w:r w:rsidR="0019528E" w:rsidRPr="00FE1270">
        <w:rPr>
          <w:noProof/>
        </w:rPr>
        <w:t xml:space="preserve"> ustanov</w:t>
      </w:r>
      <w:r w:rsidR="00EF5DAF" w:rsidRPr="00FE1270">
        <w:rPr>
          <w:noProof/>
        </w:rPr>
        <w:t>e</w:t>
      </w:r>
      <w:r w:rsidR="0019528E" w:rsidRPr="00FE1270">
        <w:rPr>
          <w:noProof/>
        </w:rPr>
        <w:t xml:space="preserve"> odgoja (Dječji vrtić Rijeka, Dječji vrtić More i Dječji vrtić Sušak)</w:t>
      </w:r>
      <w:r w:rsidR="008619B4" w:rsidRPr="00FE1270">
        <w:rPr>
          <w:noProof/>
        </w:rPr>
        <w:t xml:space="preserve"> i Dom mladih</w:t>
      </w:r>
      <w:r w:rsidR="0019528E" w:rsidRPr="00FE1270">
        <w:rPr>
          <w:noProof/>
        </w:rPr>
        <w:t xml:space="preserve">. </w:t>
      </w:r>
    </w:p>
    <w:p w:rsidR="003C14A2" w:rsidRDefault="003C14A2" w:rsidP="0019528E">
      <w:pPr>
        <w:pStyle w:val="BodyText"/>
        <w:jc w:val="both"/>
        <w:rPr>
          <w:noProof/>
        </w:rPr>
      </w:pPr>
    </w:p>
    <w:p w:rsidR="003C14A2" w:rsidRDefault="0019528E" w:rsidP="0019528E">
      <w:pPr>
        <w:pStyle w:val="BodyText"/>
        <w:jc w:val="both"/>
        <w:rPr>
          <w:noProof/>
        </w:rPr>
      </w:pPr>
      <w:r w:rsidRPr="00FE1270">
        <w:rPr>
          <w:noProof/>
        </w:rPr>
        <w:t>Iz djelatnosti kulture obuhvaćeno je 7 ustanova kulture (HNK Ivan</w:t>
      </w:r>
      <w:r w:rsidR="003B7DB4" w:rsidRPr="00FE1270">
        <w:rPr>
          <w:noProof/>
        </w:rPr>
        <w:t>a</w:t>
      </w:r>
      <w:r w:rsidRPr="00FE1270">
        <w:rPr>
          <w:noProof/>
        </w:rPr>
        <w:t xml:space="preserve"> pl. Zajc</w:t>
      </w:r>
      <w:r w:rsidR="003B7DB4" w:rsidRPr="00FE1270">
        <w:rPr>
          <w:noProof/>
        </w:rPr>
        <w:t>a</w:t>
      </w:r>
      <w:r w:rsidRPr="00FE1270">
        <w:rPr>
          <w:noProof/>
        </w:rPr>
        <w:t>, Gradska knjižnica Rijeka, Gradsko kazalište lutaka, Muzej grada Rijeke, Muzej moder</w:t>
      </w:r>
      <w:r w:rsidR="00595066" w:rsidRPr="00FE1270">
        <w:rPr>
          <w:noProof/>
        </w:rPr>
        <w:t>ne i suvremene umjetnosti, Art-</w:t>
      </w:r>
      <w:r w:rsidRPr="00FE1270">
        <w:rPr>
          <w:noProof/>
        </w:rPr>
        <w:t xml:space="preserve">kino i Hrvatski kulturni dom na Sušaku). </w:t>
      </w:r>
    </w:p>
    <w:p w:rsidR="003C14A2" w:rsidRDefault="003C14A2" w:rsidP="0019528E">
      <w:pPr>
        <w:pStyle w:val="BodyText"/>
        <w:jc w:val="both"/>
        <w:rPr>
          <w:noProof/>
        </w:rPr>
      </w:pPr>
    </w:p>
    <w:p w:rsidR="0019528E" w:rsidRPr="00FE1270" w:rsidRDefault="0019528E" w:rsidP="0019528E">
      <w:pPr>
        <w:pStyle w:val="BodyText"/>
        <w:jc w:val="both"/>
        <w:rPr>
          <w:noProof/>
        </w:rPr>
      </w:pPr>
      <w:r w:rsidRPr="00FE1270">
        <w:rPr>
          <w:noProof/>
        </w:rPr>
        <w:t>Nadalje</w:t>
      </w:r>
      <w:r w:rsidR="008C12CA" w:rsidRPr="00FE1270">
        <w:rPr>
          <w:noProof/>
        </w:rPr>
        <w:t>,</w:t>
      </w:r>
      <w:r w:rsidRPr="00FE1270">
        <w:rPr>
          <w:noProof/>
        </w:rPr>
        <w:t xml:space="preserve"> u konsolidaciju su obuhvaćeni: Javna vatrogasna postroj</w:t>
      </w:r>
      <w:r w:rsidR="00FA7040" w:rsidRPr="00FE1270">
        <w:rPr>
          <w:noProof/>
        </w:rPr>
        <w:t>ba Grada Rijeke (</w:t>
      </w:r>
      <w:r w:rsidR="00EF5DAF" w:rsidRPr="00FE1270">
        <w:rPr>
          <w:noProof/>
        </w:rPr>
        <w:t>dalje u tekstu</w:t>
      </w:r>
      <w:r w:rsidR="007E263A" w:rsidRPr="00FE1270">
        <w:rPr>
          <w:noProof/>
        </w:rPr>
        <w:t>: JVP), 8</w:t>
      </w:r>
      <w:r w:rsidRPr="00FE1270">
        <w:rPr>
          <w:noProof/>
        </w:rPr>
        <w:t xml:space="preserve"> Vijeća nacionalni</w:t>
      </w:r>
      <w:r w:rsidR="00E703A3" w:rsidRPr="00FE1270">
        <w:rPr>
          <w:noProof/>
        </w:rPr>
        <w:t>h manjina Grada Rijeke (Vijeće a</w:t>
      </w:r>
      <w:r w:rsidRPr="00FE1270">
        <w:rPr>
          <w:noProof/>
        </w:rPr>
        <w:t>lbanske nacionaln</w:t>
      </w:r>
      <w:r w:rsidR="00E703A3" w:rsidRPr="00FE1270">
        <w:rPr>
          <w:noProof/>
        </w:rPr>
        <w:t>e manjine Grada Rijeke, Vijeće b</w:t>
      </w:r>
      <w:r w:rsidRPr="00FE1270">
        <w:rPr>
          <w:noProof/>
        </w:rPr>
        <w:t>ošnjačke nacionaln</w:t>
      </w:r>
      <w:r w:rsidR="00E703A3" w:rsidRPr="00FE1270">
        <w:rPr>
          <w:noProof/>
        </w:rPr>
        <w:t>e manjine Grada Rijeke, Vijeće c</w:t>
      </w:r>
      <w:r w:rsidRPr="00FE1270">
        <w:rPr>
          <w:noProof/>
        </w:rPr>
        <w:t>rnogorske nacionaln</w:t>
      </w:r>
      <w:r w:rsidR="007E263A" w:rsidRPr="00FE1270">
        <w:rPr>
          <w:noProof/>
        </w:rPr>
        <w:t xml:space="preserve">e manjine Grada Rijeke, </w:t>
      </w:r>
      <w:r w:rsidR="00E703A3" w:rsidRPr="00FE1270">
        <w:rPr>
          <w:noProof/>
        </w:rPr>
        <w:t>Vijeće m</w:t>
      </w:r>
      <w:r w:rsidRPr="00FE1270">
        <w:rPr>
          <w:noProof/>
        </w:rPr>
        <w:t>akedonske nacionaln</w:t>
      </w:r>
      <w:r w:rsidR="00E703A3" w:rsidRPr="00FE1270">
        <w:rPr>
          <w:noProof/>
        </w:rPr>
        <w:t>e manjine Grada Rijeke, Vijeće r</w:t>
      </w:r>
      <w:r w:rsidRPr="00FE1270">
        <w:rPr>
          <w:noProof/>
        </w:rPr>
        <w:t>omske nacionalne</w:t>
      </w:r>
      <w:r w:rsidR="00E703A3" w:rsidRPr="00FE1270">
        <w:rPr>
          <w:noProof/>
        </w:rPr>
        <w:t xml:space="preserve"> manjine Grada Rijeke, Vijeće s</w:t>
      </w:r>
      <w:r w:rsidRPr="00FE1270">
        <w:rPr>
          <w:noProof/>
        </w:rPr>
        <w:t>lovenske nacionaln</w:t>
      </w:r>
      <w:r w:rsidR="00E703A3" w:rsidRPr="00FE1270">
        <w:rPr>
          <w:noProof/>
        </w:rPr>
        <w:t>e manjine Grada Rijeke, Vijeće s</w:t>
      </w:r>
      <w:r w:rsidRPr="00FE1270">
        <w:rPr>
          <w:noProof/>
        </w:rPr>
        <w:t>rpske nacionalne</w:t>
      </w:r>
      <w:r w:rsidR="00E703A3" w:rsidRPr="00FE1270">
        <w:rPr>
          <w:noProof/>
        </w:rPr>
        <w:t xml:space="preserve"> manjine Grada Rijeke i Vijeće t</w:t>
      </w:r>
      <w:r w:rsidRPr="00FE1270">
        <w:rPr>
          <w:noProof/>
        </w:rPr>
        <w:t>alijanske nacionalne manjine Grada Rijeke)</w:t>
      </w:r>
      <w:r w:rsidR="00BF25B2" w:rsidRPr="00FE1270">
        <w:rPr>
          <w:noProof/>
        </w:rPr>
        <w:t xml:space="preserve"> i </w:t>
      </w:r>
      <w:r w:rsidR="0033540F" w:rsidRPr="00FE1270">
        <w:rPr>
          <w:noProof/>
        </w:rPr>
        <w:t>1</w:t>
      </w:r>
      <w:r w:rsidR="007E263A" w:rsidRPr="00FE1270">
        <w:rPr>
          <w:noProof/>
        </w:rPr>
        <w:t xml:space="preserve"> predstavnica </w:t>
      </w:r>
      <w:r w:rsidR="006C22BD" w:rsidRPr="00FE1270">
        <w:rPr>
          <w:noProof/>
        </w:rPr>
        <w:t>mađ</w:t>
      </w:r>
      <w:r w:rsidR="004F60C4" w:rsidRPr="00FE1270">
        <w:rPr>
          <w:noProof/>
        </w:rPr>
        <w:t>a</w:t>
      </w:r>
      <w:r w:rsidR="006C22BD" w:rsidRPr="00FE1270">
        <w:rPr>
          <w:noProof/>
        </w:rPr>
        <w:t>rske nacionalne manjine</w:t>
      </w:r>
      <w:r w:rsidR="00E703A3" w:rsidRPr="00FE1270">
        <w:rPr>
          <w:noProof/>
        </w:rPr>
        <w:t xml:space="preserve"> Grada </w:t>
      </w:r>
      <w:r w:rsidR="007E263A" w:rsidRPr="00FE1270">
        <w:rPr>
          <w:noProof/>
        </w:rPr>
        <w:t>Rijeke</w:t>
      </w:r>
      <w:r w:rsidR="006C22BD" w:rsidRPr="00FE1270">
        <w:rPr>
          <w:noProof/>
        </w:rPr>
        <w:t>,</w:t>
      </w:r>
      <w:r w:rsidR="0033540F" w:rsidRPr="00FE1270">
        <w:rPr>
          <w:noProof/>
        </w:rPr>
        <w:t xml:space="preserve"> </w:t>
      </w:r>
      <w:r w:rsidRPr="00FE1270">
        <w:rPr>
          <w:noProof/>
        </w:rPr>
        <w:t xml:space="preserve"> 34 mjesna odbora (MO Brajda-Dolac, MO Banderovo, MO Belveder, MO Bulevard, MO Brašćine-Pulac, MO Centar-Sušak, MO Draga, MO Drenova, MO Gornja Vežica, MO Grbci, MO Gornji Zamet, MO Grad </w:t>
      </w:r>
      <w:r w:rsidRPr="00FE1270">
        <w:rPr>
          <w:noProof/>
        </w:rPr>
        <w:lastRenderedPageBreak/>
        <w:t>Trsat, MO Kantrida, MO Kozala, MO Krimeja, MO Luka, MO Mlaka, MO Orehovica, MO Pašac, MO Pećine, MO Pehlin, MO Potok, MO Podmurvice, MO Podvežica, MO Srdoči, MO Sveti Kuzam, MO Sveti Nikola, MO Svilno, MO Školjić-Stari Grad, MO Škurinje, MO Škurinjs</w:t>
      </w:r>
      <w:r w:rsidR="00441ADD" w:rsidRPr="00FE1270">
        <w:rPr>
          <w:noProof/>
        </w:rPr>
        <w:t>ka Draga, MO Turnić, MO Vojak i</w:t>
      </w:r>
      <w:r w:rsidR="00914A0B" w:rsidRPr="00FE1270">
        <w:rPr>
          <w:noProof/>
        </w:rPr>
        <w:t xml:space="preserve"> MO Zamet</w:t>
      </w:r>
      <w:r w:rsidRPr="00FE1270">
        <w:rPr>
          <w:noProof/>
        </w:rPr>
        <w:t xml:space="preserve">), </w:t>
      </w:r>
      <w:r w:rsidR="00890B25" w:rsidRPr="00FE1270">
        <w:rPr>
          <w:noProof/>
        </w:rPr>
        <w:t>Centar za pružanje usluga u zajednici Tić</w:t>
      </w:r>
      <w:r w:rsidRPr="00FE1270">
        <w:rPr>
          <w:noProof/>
        </w:rPr>
        <w:t xml:space="preserve"> Rijeka, Psihijatrijska bolnica Lopača i Agencija za društveno poticanu stanogradnj</w:t>
      </w:r>
      <w:r w:rsidR="00E76FA9" w:rsidRPr="00FE1270">
        <w:rPr>
          <w:noProof/>
        </w:rPr>
        <w:t>u Grada Rijeke (</w:t>
      </w:r>
      <w:r w:rsidR="004F60C4" w:rsidRPr="00FE1270">
        <w:rPr>
          <w:noProof/>
        </w:rPr>
        <w:t>dalje u tekstu</w:t>
      </w:r>
      <w:r w:rsidR="00E76FA9" w:rsidRPr="00FE1270">
        <w:rPr>
          <w:noProof/>
        </w:rPr>
        <w:t>: APOS)</w:t>
      </w:r>
      <w:r w:rsidR="00914A0B" w:rsidRPr="00FE1270">
        <w:rPr>
          <w:noProof/>
        </w:rPr>
        <w:t>.</w:t>
      </w:r>
    </w:p>
    <w:p w:rsidR="0019528E" w:rsidRPr="00FE1270" w:rsidRDefault="0019528E" w:rsidP="0019528E">
      <w:pPr>
        <w:rPr>
          <w:noProof/>
        </w:rPr>
      </w:pPr>
    </w:p>
    <w:p w:rsidR="00204C88" w:rsidRPr="00FE1270" w:rsidRDefault="00204C88">
      <w:pPr>
        <w:pStyle w:val="BodyText3"/>
        <w:outlineLvl w:val="0"/>
        <w:rPr>
          <w:rFonts w:cs="Arial"/>
          <w:noProof/>
          <w:sz w:val="22"/>
          <w:szCs w:val="22"/>
        </w:rPr>
      </w:pPr>
    </w:p>
    <w:p w:rsidR="00214B8F" w:rsidRPr="00FE1270" w:rsidRDefault="00214B8F" w:rsidP="00214B8F">
      <w:pPr>
        <w:pStyle w:val="Heading4"/>
        <w:rPr>
          <w:rFonts w:cs="Arial"/>
          <w:noProof/>
          <w:szCs w:val="22"/>
        </w:rPr>
      </w:pPr>
      <w:r w:rsidRPr="00FE1270">
        <w:rPr>
          <w:rFonts w:cs="Arial"/>
          <w:noProof/>
          <w:szCs w:val="22"/>
        </w:rPr>
        <w:t>Bilješka broj 1 – postupci provođenja konsolidacije</w:t>
      </w:r>
    </w:p>
    <w:p w:rsidR="00214B8F" w:rsidRPr="00FE1270" w:rsidRDefault="00831C65" w:rsidP="00214B8F">
      <w:pPr>
        <w:pStyle w:val="BodyText3"/>
        <w:outlineLvl w:val="0"/>
        <w:rPr>
          <w:rFonts w:cs="Arial"/>
          <w:b w:val="0"/>
          <w:noProof/>
          <w:sz w:val="22"/>
          <w:szCs w:val="22"/>
        </w:rPr>
      </w:pPr>
      <w:r w:rsidRPr="00FE1270">
        <w:rPr>
          <w:rFonts w:cs="Arial"/>
          <w:b w:val="0"/>
          <w:noProof/>
          <w:sz w:val="22"/>
          <w:szCs w:val="22"/>
        </w:rPr>
        <w:t>T</w:t>
      </w:r>
      <w:r w:rsidR="00844BEE" w:rsidRPr="00FE1270">
        <w:rPr>
          <w:rFonts w:cs="Arial"/>
          <w:b w:val="0"/>
          <w:noProof/>
          <w:sz w:val="22"/>
          <w:szCs w:val="22"/>
        </w:rPr>
        <w:t>emeljem Odluke o uvođenju Riznice Grada Rijeke („Službene novine Grada Rijeke“ broj 12/15, 13/16, 2/17, 11/17 i 13/19),</w:t>
      </w:r>
      <w:r w:rsidRPr="00FE1270">
        <w:rPr>
          <w:rFonts w:cs="Arial"/>
          <w:b w:val="0"/>
          <w:noProof/>
          <w:sz w:val="22"/>
          <w:szCs w:val="22"/>
        </w:rPr>
        <w:t xml:space="preserve"> Grad je od 1. siječnja 2016. godine </w:t>
      </w:r>
      <w:r w:rsidR="00844BEE" w:rsidRPr="00FE1270">
        <w:rPr>
          <w:rFonts w:cs="Arial"/>
          <w:b w:val="0"/>
          <w:noProof/>
          <w:sz w:val="22"/>
          <w:szCs w:val="22"/>
        </w:rPr>
        <w:t xml:space="preserve">uspostavio </w:t>
      </w:r>
      <w:r w:rsidR="00214B8F" w:rsidRPr="00FE1270">
        <w:rPr>
          <w:rFonts w:cs="Arial"/>
          <w:b w:val="0"/>
          <w:noProof/>
          <w:sz w:val="22"/>
          <w:szCs w:val="22"/>
        </w:rPr>
        <w:t xml:space="preserve">sustav </w:t>
      </w:r>
      <w:r w:rsidR="00E00235" w:rsidRPr="00FE1270">
        <w:rPr>
          <w:rFonts w:cs="Arial"/>
          <w:b w:val="0"/>
          <w:noProof/>
          <w:sz w:val="22"/>
          <w:szCs w:val="22"/>
        </w:rPr>
        <w:t xml:space="preserve">gradske </w:t>
      </w:r>
      <w:r w:rsidR="00214B8F" w:rsidRPr="00FE1270">
        <w:rPr>
          <w:rFonts w:cs="Arial"/>
          <w:b w:val="0"/>
          <w:noProof/>
          <w:sz w:val="22"/>
          <w:szCs w:val="22"/>
        </w:rPr>
        <w:t>riznice i obuhvatio računovodstveno poslovanj</w:t>
      </w:r>
      <w:r w:rsidR="00321404" w:rsidRPr="00FE1270">
        <w:rPr>
          <w:rFonts w:cs="Arial"/>
          <w:b w:val="0"/>
          <w:noProof/>
          <w:sz w:val="22"/>
          <w:szCs w:val="22"/>
        </w:rPr>
        <w:t>e</w:t>
      </w:r>
      <w:r w:rsidR="00214B8F" w:rsidRPr="00FE1270">
        <w:rPr>
          <w:rFonts w:cs="Arial"/>
          <w:b w:val="0"/>
          <w:noProof/>
          <w:sz w:val="22"/>
          <w:szCs w:val="22"/>
        </w:rPr>
        <w:t xml:space="preserve"> </w:t>
      </w:r>
      <w:r w:rsidR="00D6757F" w:rsidRPr="00FE1270">
        <w:rPr>
          <w:rFonts w:cs="Arial"/>
          <w:b w:val="0"/>
          <w:noProof/>
          <w:sz w:val="22"/>
          <w:szCs w:val="22"/>
        </w:rPr>
        <w:t xml:space="preserve">svojih proračunskih </w:t>
      </w:r>
      <w:r w:rsidR="00214B8F" w:rsidRPr="00FE1270">
        <w:rPr>
          <w:rFonts w:cs="Arial"/>
          <w:b w:val="0"/>
          <w:noProof/>
          <w:sz w:val="22"/>
          <w:szCs w:val="22"/>
        </w:rPr>
        <w:t>korisnika u j</w:t>
      </w:r>
      <w:r w:rsidRPr="00FE1270">
        <w:rPr>
          <w:rFonts w:cs="Arial"/>
          <w:b w:val="0"/>
          <w:noProof/>
          <w:sz w:val="22"/>
          <w:szCs w:val="22"/>
        </w:rPr>
        <w:t xml:space="preserve">edinstveni sustav. Proračun se </w:t>
      </w:r>
      <w:r w:rsidR="00214B8F" w:rsidRPr="00FE1270">
        <w:rPr>
          <w:rFonts w:cs="Arial"/>
          <w:b w:val="0"/>
          <w:noProof/>
          <w:sz w:val="22"/>
          <w:szCs w:val="22"/>
        </w:rPr>
        <w:t xml:space="preserve">izvršava preko jedinstvenog računa </w:t>
      </w:r>
      <w:r w:rsidR="00E00235" w:rsidRPr="00FE1270">
        <w:rPr>
          <w:rFonts w:cs="Arial"/>
          <w:b w:val="0"/>
          <w:noProof/>
          <w:sz w:val="22"/>
          <w:szCs w:val="22"/>
        </w:rPr>
        <w:t>riznice</w:t>
      </w:r>
      <w:r w:rsidR="00214B8F" w:rsidRPr="00FE1270">
        <w:rPr>
          <w:rFonts w:cs="Arial"/>
          <w:b w:val="0"/>
          <w:noProof/>
          <w:sz w:val="22"/>
          <w:szCs w:val="22"/>
        </w:rPr>
        <w:t xml:space="preserve"> na način da se svi prihodi proračuna i proračunskih korisnika </w:t>
      </w:r>
      <w:r w:rsidR="00B3390A" w:rsidRPr="00FE1270">
        <w:rPr>
          <w:rFonts w:cs="Arial"/>
          <w:b w:val="0"/>
          <w:noProof/>
          <w:sz w:val="22"/>
          <w:szCs w:val="22"/>
        </w:rPr>
        <w:t xml:space="preserve">izravno </w:t>
      </w:r>
      <w:r w:rsidR="00214B8F" w:rsidRPr="00FE1270">
        <w:rPr>
          <w:rFonts w:cs="Arial"/>
          <w:b w:val="0"/>
          <w:noProof/>
          <w:sz w:val="22"/>
          <w:szCs w:val="22"/>
        </w:rPr>
        <w:t xml:space="preserve">uplaćuju na jedinstveni račun </w:t>
      </w:r>
      <w:r w:rsidR="00E00235" w:rsidRPr="00FE1270">
        <w:rPr>
          <w:rFonts w:cs="Arial"/>
          <w:b w:val="0"/>
          <w:noProof/>
          <w:sz w:val="22"/>
          <w:szCs w:val="22"/>
        </w:rPr>
        <w:t>r</w:t>
      </w:r>
      <w:r w:rsidR="00214B8F" w:rsidRPr="00FE1270">
        <w:rPr>
          <w:rFonts w:cs="Arial"/>
          <w:b w:val="0"/>
          <w:noProof/>
          <w:sz w:val="22"/>
          <w:szCs w:val="22"/>
        </w:rPr>
        <w:t xml:space="preserve">iznice i sva plaćanja </w:t>
      </w:r>
      <w:r w:rsidR="00321404" w:rsidRPr="00FE1270">
        <w:rPr>
          <w:rFonts w:cs="Arial"/>
          <w:b w:val="0"/>
          <w:noProof/>
          <w:sz w:val="22"/>
          <w:szCs w:val="22"/>
        </w:rPr>
        <w:t xml:space="preserve">se </w:t>
      </w:r>
      <w:r w:rsidR="00214B8F" w:rsidRPr="00FE1270">
        <w:rPr>
          <w:rFonts w:cs="Arial"/>
          <w:b w:val="0"/>
          <w:noProof/>
          <w:sz w:val="22"/>
          <w:szCs w:val="22"/>
        </w:rPr>
        <w:t xml:space="preserve">izvršavaju s </w:t>
      </w:r>
      <w:r w:rsidR="00321404" w:rsidRPr="00FE1270">
        <w:rPr>
          <w:rFonts w:cs="Arial"/>
          <w:b w:val="0"/>
          <w:noProof/>
          <w:sz w:val="22"/>
          <w:szCs w:val="22"/>
        </w:rPr>
        <w:t>ist</w:t>
      </w:r>
      <w:r w:rsidR="00214B8F" w:rsidRPr="00FE1270">
        <w:rPr>
          <w:rFonts w:cs="Arial"/>
          <w:b w:val="0"/>
          <w:noProof/>
          <w:sz w:val="22"/>
          <w:szCs w:val="22"/>
        </w:rPr>
        <w:t>og računa</w:t>
      </w:r>
      <w:r w:rsidR="003C14A2">
        <w:rPr>
          <w:rFonts w:cs="Arial"/>
          <w:b w:val="0"/>
          <w:noProof/>
          <w:sz w:val="22"/>
          <w:szCs w:val="22"/>
        </w:rPr>
        <w:t>, osim za dva p</w:t>
      </w:r>
      <w:r w:rsidR="007027DD" w:rsidRPr="00FE1270">
        <w:rPr>
          <w:rFonts w:cs="Arial"/>
          <w:b w:val="0"/>
          <w:noProof/>
          <w:sz w:val="22"/>
          <w:szCs w:val="22"/>
        </w:rPr>
        <w:t>roračunsk</w:t>
      </w:r>
      <w:r w:rsidR="003C14A2">
        <w:rPr>
          <w:rFonts w:cs="Arial"/>
          <w:b w:val="0"/>
          <w:noProof/>
          <w:sz w:val="22"/>
          <w:szCs w:val="22"/>
        </w:rPr>
        <w:t>a</w:t>
      </w:r>
      <w:r w:rsidR="007027DD" w:rsidRPr="00FE1270">
        <w:rPr>
          <w:rFonts w:cs="Arial"/>
          <w:b w:val="0"/>
          <w:noProof/>
          <w:sz w:val="22"/>
          <w:szCs w:val="22"/>
        </w:rPr>
        <w:t xml:space="preserve"> korisni</w:t>
      </w:r>
      <w:r w:rsidR="003C14A2">
        <w:rPr>
          <w:rFonts w:cs="Arial"/>
          <w:b w:val="0"/>
          <w:noProof/>
          <w:sz w:val="22"/>
          <w:szCs w:val="22"/>
        </w:rPr>
        <w:t>ka</w:t>
      </w:r>
      <w:r w:rsidR="007027DD" w:rsidRPr="00FE1270">
        <w:rPr>
          <w:rFonts w:cs="Arial"/>
          <w:b w:val="0"/>
          <w:noProof/>
          <w:sz w:val="22"/>
          <w:szCs w:val="22"/>
        </w:rPr>
        <w:t>:</w:t>
      </w:r>
      <w:r w:rsidR="00E00235" w:rsidRPr="00FE1270">
        <w:rPr>
          <w:rFonts w:cs="Arial"/>
          <w:b w:val="0"/>
          <w:noProof/>
          <w:sz w:val="22"/>
          <w:szCs w:val="22"/>
        </w:rPr>
        <w:t xml:space="preserve"> </w:t>
      </w:r>
      <w:r w:rsidR="00214B8F" w:rsidRPr="00FE1270">
        <w:rPr>
          <w:rFonts w:cs="Arial"/>
          <w:b w:val="0"/>
          <w:noProof/>
          <w:sz w:val="22"/>
          <w:szCs w:val="22"/>
        </w:rPr>
        <w:t>Psihijatrijsk</w:t>
      </w:r>
      <w:r w:rsidR="00E00235" w:rsidRPr="00FE1270">
        <w:rPr>
          <w:rFonts w:cs="Arial"/>
          <w:b w:val="0"/>
          <w:noProof/>
          <w:sz w:val="22"/>
          <w:szCs w:val="22"/>
        </w:rPr>
        <w:t>a</w:t>
      </w:r>
      <w:r w:rsidR="00214B8F" w:rsidRPr="00FE1270">
        <w:rPr>
          <w:rFonts w:cs="Arial"/>
          <w:b w:val="0"/>
          <w:noProof/>
          <w:sz w:val="22"/>
          <w:szCs w:val="22"/>
        </w:rPr>
        <w:t xml:space="preserve"> bolnic</w:t>
      </w:r>
      <w:r w:rsidR="00E00235" w:rsidRPr="00FE1270">
        <w:rPr>
          <w:rFonts w:cs="Arial"/>
          <w:b w:val="0"/>
          <w:noProof/>
          <w:sz w:val="22"/>
          <w:szCs w:val="22"/>
        </w:rPr>
        <w:t>a</w:t>
      </w:r>
      <w:r w:rsidR="00214B8F" w:rsidRPr="00FE1270">
        <w:rPr>
          <w:rFonts w:cs="Arial"/>
          <w:b w:val="0"/>
          <w:noProof/>
          <w:sz w:val="22"/>
          <w:szCs w:val="22"/>
        </w:rPr>
        <w:t xml:space="preserve"> Lopač</w:t>
      </w:r>
      <w:r w:rsidR="00767C1A" w:rsidRPr="00FE1270">
        <w:rPr>
          <w:rFonts w:cs="Arial"/>
          <w:b w:val="0"/>
          <w:noProof/>
          <w:sz w:val="22"/>
          <w:szCs w:val="22"/>
        </w:rPr>
        <w:t>a</w:t>
      </w:r>
      <w:r w:rsidR="00301467" w:rsidRPr="00FE1270">
        <w:rPr>
          <w:rFonts w:cs="Arial"/>
          <w:b w:val="0"/>
          <w:noProof/>
          <w:sz w:val="22"/>
          <w:szCs w:val="22"/>
        </w:rPr>
        <w:t xml:space="preserve"> i</w:t>
      </w:r>
      <w:r w:rsidR="0085694E" w:rsidRPr="00FE1270">
        <w:rPr>
          <w:rFonts w:cs="Arial"/>
          <w:b w:val="0"/>
          <w:noProof/>
          <w:sz w:val="22"/>
          <w:szCs w:val="22"/>
        </w:rPr>
        <w:t xml:space="preserve"> </w:t>
      </w:r>
      <w:r w:rsidR="00D6757F" w:rsidRPr="00FE1270">
        <w:rPr>
          <w:rFonts w:cs="Arial"/>
          <w:b w:val="0"/>
          <w:noProof/>
          <w:sz w:val="22"/>
          <w:szCs w:val="22"/>
        </w:rPr>
        <w:t>APOS</w:t>
      </w:r>
      <w:r w:rsidR="00E00235" w:rsidRPr="00FE1270">
        <w:rPr>
          <w:rFonts w:cs="Arial"/>
          <w:b w:val="0"/>
          <w:noProof/>
          <w:sz w:val="22"/>
          <w:szCs w:val="22"/>
        </w:rPr>
        <w:t xml:space="preserve"> </w:t>
      </w:r>
      <w:r w:rsidR="003C14A2">
        <w:rPr>
          <w:rFonts w:cs="Arial"/>
          <w:b w:val="0"/>
          <w:noProof/>
          <w:sz w:val="22"/>
          <w:szCs w:val="22"/>
        </w:rPr>
        <w:t xml:space="preserve">koji su </w:t>
      </w:r>
      <w:r w:rsidR="001756BF" w:rsidRPr="00FE1270">
        <w:rPr>
          <w:rFonts w:cs="Arial"/>
          <w:b w:val="0"/>
          <w:noProof/>
          <w:sz w:val="22"/>
          <w:szCs w:val="22"/>
        </w:rPr>
        <w:t>istom</w:t>
      </w:r>
      <w:r w:rsidR="00767C1A" w:rsidRPr="00FE1270">
        <w:rPr>
          <w:rFonts w:cs="Arial"/>
          <w:b w:val="0"/>
          <w:noProof/>
          <w:sz w:val="22"/>
          <w:szCs w:val="22"/>
        </w:rPr>
        <w:t xml:space="preserve"> </w:t>
      </w:r>
      <w:r w:rsidR="000E618C" w:rsidRPr="00FE1270">
        <w:rPr>
          <w:rFonts w:cs="Arial"/>
          <w:b w:val="0"/>
          <w:noProof/>
          <w:sz w:val="22"/>
          <w:szCs w:val="22"/>
        </w:rPr>
        <w:t>Odlukom</w:t>
      </w:r>
      <w:r w:rsidR="001756BF" w:rsidRPr="00FE1270">
        <w:rPr>
          <w:rFonts w:cs="Arial"/>
          <w:b w:val="0"/>
          <w:noProof/>
          <w:sz w:val="22"/>
          <w:szCs w:val="22"/>
        </w:rPr>
        <w:t xml:space="preserve"> </w:t>
      </w:r>
      <w:r w:rsidR="00767C1A" w:rsidRPr="00FE1270">
        <w:rPr>
          <w:rFonts w:cs="Arial"/>
          <w:b w:val="0"/>
          <w:noProof/>
          <w:sz w:val="22"/>
          <w:szCs w:val="22"/>
        </w:rPr>
        <w:t>izuzet</w:t>
      </w:r>
      <w:r w:rsidR="001756BF" w:rsidRPr="00FE1270">
        <w:rPr>
          <w:rFonts w:cs="Arial"/>
          <w:b w:val="0"/>
          <w:noProof/>
          <w:sz w:val="22"/>
          <w:szCs w:val="22"/>
        </w:rPr>
        <w:t>i</w:t>
      </w:r>
      <w:r w:rsidR="00214B8F" w:rsidRPr="00FE1270">
        <w:rPr>
          <w:rFonts w:cs="Arial"/>
          <w:b w:val="0"/>
          <w:noProof/>
          <w:sz w:val="22"/>
          <w:szCs w:val="22"/>
        </w:rPr>
        <w:t xml:space="preserve"> od obveze uplate svojih vlastitih i namjenskih prihoda </w:t>
      </w:r>
      <w:r w:rsidR="000E618C" w:rsidRPr="00FE1270">
        <w:rPr>
          <w:rFonts w:cs="Arial"/>
          <w:b w:val="0"/>
          <w:noProof/>
          <w:sz w:val="22"/>
          <w:szCs w:val="22"/>
        </w:rPr>
        <w:t xml:space="preserve">na jedinstveni račun </w:t>
      </w:r>
      <w:r w:rsidR="00E00235" w:rsidRPr="00FE1270">
        <w:rPr>
          <w:rFonts w:cs="Arial"/>
          <w:b w:val="0"/>
          <w:noProof/>
          <w:sz w:val="22"/>
          <w:szCs w:val="22"/>
        </w:rPr>
        <w:t>r</w:t>
      </w:r>
      <w:r w:rsidR="000E618C" w:rsidRPr="00FE1270">
        <w:rPr>
          <w:rFonts w:cs="Arial"/>
          <w:b w:val="0"/>
          <w:noProof/>
          <w:sz w:val="22"/>
          <w:szCs w:val="22"/>
        </w:rPr>
        <w:t>iznice</w:t>
      </w:r>
      <w:r w:rsidR="00E00235" w:rsidRPr="00FE1270">
        <w:rPr>
          <w:rFonts w:cs="Arial"/>
          <w:b w:val="0"/>
          <w:noProof/>
          <w:sz w:val="22"/>
          <w:szCs w:val="22"/>
        </w:rPr>
        <w:t>.</w:t>
      </w:r>
    </w:p>
    <w:p w:rsidR="00DD146A" w:rsidRPr="00FE1270" w:rsidRDefault="00DD146A" w:rsidP="00214B8F">
      <w:pPr>
        <w:pStyle w:val="BodyText3"/>
        <w:outlineLvl w:val="0"/>
        <w:rPr>
          <w:rFonts w:cs="Arial"/>
          <w:b w:val="0"/>
          <w:noProof/>
          <w:sz w:val="22"/>
          <w:szCs w:val="22"/>
        </w:rPr>
      </w:pPr>
    </w:p>
    <w:p w:rsidR="00DD146A" w:rsidRPr="00FE1270" w:rsidRDefault="00DD146A" w:rsidP="00DD146A">
      <w:pPr>
        <w:pStyle w:val="BodyText3"/>
        <w:outlineLvl w:val="0"/>
        <w:rPr>
          <w:rFonts w:cs="Arial"/>
          <w:b w:val="0"/>
          <w:noProof/>
          <w:sz w:val="22"/>
          <w:szCs w:val="22"/>
        </w:rPr>
      </w:pPr>
      <w:r w:rsidRPr="00FE1270">
        <w:rPr>
          <w:rFonts w:cs="Arial"/>
          <w:b w:val="0"/>
          <w:noProof/>
          <w:sz w:val="22"/>
          <w:szCs w:val="22"/>
        </w:rPr>
        <w:t>Konsolidirani financijski izvještaj sadrži ukupnu visinu sredstava koju je iz različitih izvora ostvarila konsolidirana grupa kao cjelina te ukupnu potrošnju iste grupe.</w:t>
      </w:r>
    </w:p>
    <w:p w:rsidR="00DD146A" w:rsidRPr="00FE1270" w:rsidRDefault="00DD146A" w:rsidP="00214B8F">
      <w:pPr>
        <w:pStyle w:val="BodyText3"/>
        <w:outlineLvl w:val="0"/>
        <w:rPr>
          <w:rFonts w:cs="Arial"/>
          <w:b w:val="0"/>
          <w:noProof/>
          <w:sz w:val="22"/>
          <w:szCs w:val="22"/>
        </w:rPr>
      </w:pPr>
    </w:p>
    <w:p w:rsidR="00214B8F" w:rsidRPr="00FE1270" w:rsidRDefault="00844BEE" w:rsidP="00214B8F">
      <w:pPr>
        <w:pStyle w:val="BodyText3"/>
        <w:outlineLvl w:val="0"/>
        <w:rPr>
          <w:rFonts w:cs="Arial"/>
          <w:b w:val="0"/>
          <w:noProof/>
          <w:sz w:val="22"/>
          <w:szCs w:val="22"/>
        </w:rPr>
      </w:pPr>
      <w:r w:rsidRPr="00FE1270">
        <w:rPr>
          <w:rFonts w:cs="Arial"/>
          <w:b w:val="0"/>
          <w:noProof/>
          <w:sz w:val="22"/>
          <w:szCs w:val="22"/>
        </w:rPr>
        <w:t>D</w:t>
      </w:r>
      <w:r w:rsidR="00214B8F" w:rsidRPr="00FE1270">
        <w:rPr>
          <w:rFonts w:cs="Arial"/>
          <w:b w:val="0"/>
          <w:noProof/>
          <w:sz w:val="22"/>
          <w:szCs w:val="22"/>
        </w:rPr>
        <w:t xml:space="preserve">va su temeljna postupka u procesu konsolidacije: </w:t>
      </w:r>
    </w:p>
    <w:p w:rsidR="00B13A30" w:rsidRPr="00FE1270" w:rsidRDefault="00B13A30" w:rsidP="00214B8F">
      <w:pPr>
        <w:pStyle w:val="BodyText3"/>
        <w:outlineLvl w:val="0"/>
        <w:rPr>
          <w:rFonts w:cs="Arial"/>
          <w:b w:val="0"/>
          <w:noProof/>
          <w:sz w:val="22"/>
          <w:szCs w:val="22"/>
        </w:rPr>
      </w:pPr>
    </w:p>
    <w:p w:rsidR="00214B8F" w:rsidRPr="00FE1270" w:rsidRDefault="00214B8F" w:rsidP="00214B8F">
      <w:pPr>
        <w:pStyle w:val="BodyText3"/>
        <w:numPr>
          <w:ilvl w:val="0"/>
          <w:numId w:val="17"/>
        </w:numPr>
        <w:outlineLvl w:val="0"/>
        <w:rPr>
          <w:rFonts w:cs="Arial"/>
          <w:b w:val="0"/>
          <w:noProof/>
          <w:sz w:val="22"/>
          <w:szCs w:val="22"/>
        </w:rPr>
      </w:pPr>
      <w:r w:rsidRPr="00FE1270">
        <w:rPr>
          <w:rFonts w:cs="Arial"/>
          <w:b w:val="0"/>
          <w:noProof/>
          <w:sz w:val="22"/>
          <w:szCs w:val="22"/>
        </w:rPr>
        <w:t>zbrajanje jednakih pozicija financijskih izvještaja nadležne jedinice i jedinica u njenom sastavu na način kao da se radi o jednom računovodstvenom subjektu,</w:t>
      </w:r>
    </w:p>
    <w:p w:rsidR="00214B8F" w:rsidRPr="00FE1270" w:rsidRDefault="00214B8F" w:rsidP="00214B8F">
      <w:pPr>
        <w:pStyle w:val="BodyText3"/>
        <w:numPr>
          <w:ilvl w:val="0"/>
          <w:numId w:val="17"/>
        </w:numPr>
        <w:outlineLvl w:val="0"/>
        <w:rPr>
          <w:rFonts w:cs="Arial"/>
          <w:b w:val="0"/>
          <w:noProof/>
          <w:sz w:val="22"/>
          <w:szCs w:val="22"/>
        </w:rPr>
      </w:pPr>
      <w:r w:rsidRPr="00FE1270">
        <w:rPr>
          <w:rFonts w:cs="Arial"/>
          <w:b w:val="0"/>
          <w:noProof/>
          <w:sz w:val="22"/>
          <w:szCs w:val="22"/>
        </w:rPr>
        <w:t>eliminiranje unutar</w:t>
      </w:r>
      <w:r w:rsidR="00B92C77" w:rsidRPr="00FE1270">
        <w:rPr>
          <w:rFonts w:cs="Arial"/>
          <w:b w:val="0"/>
          <w:noProof/>
          <w:sz w:val="22"/>
          <w:szCs w:val="22"/>
        </w:rPr>
        <w:t>-</w:t>
      </w:r>
      <w:r w:rsidRPr="00FE1270">
        <w:rPr>
          <w:rFonts w:cs="Arial"/>
          <w:b w:val="0"/>
          <w:noProof/>
          <w:sz w:val="22"/>
          <w:szCs w:val="22"/>
        </w:rPr>
        <w:t xml:space="preserve">grupnih transakcija i poslovnih događaja (međusobna potraživanja i obveze te prijenosi korisnicima sredstava za redovno poslovanje). </w:t>
      </w:r>
    </w:p>
    <w:p w:rsidR="00B13A30" w:rsidRPr="00FE1270" w:rsidRDefault="00B13A30" w:rsidP="00B13A30">
      <w:pPr>
        <w:pStyle w:val="BodyText3"/>
        <w:ind w:left="720"/>
        <w:outlineLvl w:val="0"/>
        <w:rPr>
          <w:rFonts w:cs="Arial"/>
          <w:b w:val="0"/>
          <w:noProof/>
          <w:sz w:val="22"/>
          <w:szCs w:val="22"/>
        </w:rPr>
      </w:pPr>
    </w:p>
    <w:p w:rsidR="00370F62" w:rsidRDefault="00370F62" w:rsidP="003D0AC5">
      <w:pPr>
        <w:jc w:val="both"/>
        <w:rPr>
          <w:rFonts w:ascii="Arial" w:hAnsi="Arial"/>
          <w:noProof/>
          <w:sz w:val="22"/>
          <w:szCs w:val="22"/>
        </w:rPr>
      </w:pPr>
    </w:p>
    <w:p w:rsidR="00A06642" w:rsidRPr="00FE1270" w:rsidRDefault="00A06642" w:rsidP="003D0AC5">
      <w:pPr>
        <w:jc w:val="both"/>
        <w:rPr>
          <w:rFonts w:ascii="Arial" w:hAnsi="Arial"/>
          <w:noProof/>
          <w:sz w:val="22"/>
          <w:szCs w:val="22"/>
        </w:rPr>
      </w:pPr>
    </w:p>
    <w:p w:rsidR="003D0AC5" w:rsidRPr="00FE1270" w:rsidRDefault="003D0AC5" w:rsidP="003D0AC5">
      <w:pPr>
        <w:jc w:val="both"/>
        <w:rPr>
          <w:rFonts w:ascii="Arial" w:hAnsi="Arial"/>
          <w:noProof/>
          <w:sz w:val="22"/>
          <w:szCs w:val="22"/>
        </w:rPr>
      </w:pPr>
      <w:r w:rsidRPr="00FE1270">
        <w:rPr>
          <w:rFonts w:ascii="Arial" w:hAnsi="Arial"/>
          <w:noProof/>
          <w:sz w:val="22"/>
          <w:szCs w:val="22"/>
        </w:rPr>
        <w:t>Nastavno se u Bilješkama pojašnjavaju brojčani podaci iskazani u obrascima konsolidiranog financijskog izvještaja.</w:t>
      </w:r>
    </w:p>
    <w:p w:rsidR="00281175" w:rsidRPr="00FE1270" w:rsidRDefault="00281175">
      <w:pPr>
        <w:pStyle w:val="BodyText3"/>
        <w:outlineLvl w:val="0"/>
        <w:rPr>
          <w:rFonts w:cs="Arial"/>
          <w:b w:val="0"/>
          <w:noProof/>
          <w:sz w:val="22"/>
          <w:szCs w:val="22"/>
        </w:rPr>
      </w:pPr>
    </w:p>
    <w:p w:rsidR="00811D7E" w:rsidRDefault="00811D7E">
      <w:pPr>
        <w:pStyle w:val="BodyText3"/>
        <w:outlineLvl w:val="0"/>
        <w:rPr>
          <w:rFonts w:cs="Arial"/>
          <w:b w:val="0"/>
          <w:noProof/>
          <w:color w:val="FF0000"/>
          <w:sz w:val="22"/>
          <w:szCs w:val="22"/>
        </w:rPr>
      </w:pPr>
    </w:p>
    <w:p w:rsidR="00A06642" w:rsidRDefault="00A06642">
      <w:pPr>
        <w:pStyle w:val="BodyText3"/>
        <w:outlineLvl w:val="0"/>
        <w:rPr>
          <w:rFonts w:cs="Arial"/>
          <w:b w:val="0"/>
          <w:noProof/>
          <w:color w:val="FF0000"/>
          <w:sz w:val="22"/>
          <w:szCs w:val="22"/>
        </w:rPr>
      </w:pPr>
    </w:p>
    <w:p w:rsidR="00A06642" w:rsidRDefault="00A06642">
      <w:pPr>
        <w:pStyle w:val="BodyText3"/>
        <w:outlineLvl w:val="0"/>
        <w:rPr>
          <w:rFonts w:cs="Arial"/>
          <w:b w:val="0"/>
          <w:noProof/>
          <w:color w:val="FF0000"/>
          <w:sz w:val="22"/>
          <w:szCs w:val="22"/>
        </w:rPr>
      </w:pPr>
    </w:p>
    <w:p w:rsidR="00A06642" w:rsidRDefault="00A06642">
      <w:pPr>
        <w:pStyle w:val="BodyText3"/>
        <w:outlineLvl w:val="0"/>
        <w:rPr>
          <w:rFonts w:cs="Arial"/>
          <w:b w:val="0"/>
          <w:noProof/>
          <w:color w:val="FF0000"/>
          <w:sz w:val="22"/>
          <w:szCs w:val="22"/>
        </w:rPr>
      </w:pPr>
    </w:p>
    <w:p w:rsidR="00A06642" w:rsidRDefault="00A06642">
      <w:pPr>
        <w:pStyle w:val="BodyText3"/>
        <w:outlineLvl w:val="0"/>
        <w:rPr>
          <w:rFonts w:cs="Arial"/>
          <w:b w:val="0"/>
          <w:noProof/>
          <w:color w:val="FF0000"/>
          <w:sz w:val="22"/>
          <w:szCs w:val="22"/>
        </w:rPr>
      </w:pPr>
    </w:p>
    <w:p w:rsidR="00A06642" w:rsidRDefault="00A06642">
      <w:pPr>
        <w:pStyle w:val="BodyText3"/>
        <w:outlineLvl w:val="0"/>
        <w:rPr>
          <w:rFonts w:cs="Arial"/>
          <w:b w:val="0"/>
          <w:noProof/>
          <w:color w:val="FF0000"/>
          <w:sz w:val="22"/>
          <w:szCs w:val="22"/>
        </w:rPr>
      </w:pPr>
    </w:p>
    <w:p w:rsidR="00A06642" w:rsidRDefault="00A06642">
      <w:pPr>
        <w:pStyle w:val="BodyText3"/>
        <w:outlineLvl w:val="0"/>
        <w:rPr>
          <w:rFonts w:cs="Arial"/>
          <w:b w:val="0"/>
          <w:noProof/>
          <w:color w:val="FF0000"/>
          <w:sz w:val="22"/>
          <w:szCs w:val="22"/>
        </w:rPr>
      </w:pPr>
    </w:p>
    <w:p w:rsidR="00A06642" w:rsidRDefault="00A06642">
      <w:pPr>
        <w:pStyle w:val="BodyText3"/>
        <w:outlineLvl w:val="0"/>
        <w:rPr>
          <w:rFonts w:cs="Arial"/>
          <w:b w:val="0"/>
          <w:noProof/>
          <w:color w:val="FF0000"/>
          <w:sz w:val="22"/>
          <w:szCs w:val="22"/>
        </w:rPr>
      </w:pPr>
    </w:p>
    <w:p w:rsidR="00A06642" w:rsidRDefault="00A06642">
      <w:pPr>
        <w:pStyle w:val="BodyText3"/>
        <w:outlineLvl w:val="0"/>
        <w:rPr>
          <w:rFonts w:cs="Arial"/>
          <w:b w:val="0"/>
          <w:noProof/>
          <w:color w:val="FF0000"/>
          <w:sz w:val="22"/>
          <w:szCs w:val="22"/>
        </w:rPr>
      </w:pPr>
    </w:p>
    <w:p w:rsidR="00A06642" w:rsidRDefault="00A06642">
      <w:pPr>
        <w:pStyle w:val="BodyText3"/>
        <w:outlineLvl w:val="0"/>
        <w:rPr>
          <w:rFonts w:cs="Arial"/>
          <w:b w:val="0"/>
          <w:noProof/>
          <w:color w:val="FF0000"/>
          <w:sz w:val="22"/>
          <w:szCs w:val="22"/>
        </w:rPr>
      </w:pPr>
    </w:p>
    <w:p w:rsidR="00A06642" w:rsidRDefault="00A06642">
      <w:pPr>
        <w:pStyle w:val="BodyText3"/>
        <w:outlineLvl w:val="0"/>
        <w:rPr>
          <w:rFonts w:cs="Arial"/>
          <w:b w:val="0"/>
          <w:noProof/>
          <w:color w:val="FF0000"/>
          <w:sz w:val="22"/>
          <w:szCs w:val="22"/>
        </w:rPr>
      </w:pPr>
    </w:p>
    <w:p w:rsidR="00A06642" w:rsidRDefault="00A06642">
      <w:pPr>
        <w:pStyle w:val="BodyText3"/>
        <w:outlineLvl w:val="0"/>
        <w:rPr>
          <w:rFonts w:cs="Arial"/>
          <w:b w:val="0"/>
          <w:noProof/>
          <w:color w:val="FF0000"/>
          <w:sz w:val="22"/>
          <w:szCs w:val="22"/>
        </w:rPr>
      </w:pPr>
    </w:p>
    <w:p w:rsidR="00A06642" w:rsidRDefault="00A06642">
      <w:pPr>
        <w:pStyle w:val="BodyText3"/>
        <w:outlineLvl w:val="0"/>
        <w:rPr>
          <w:rFonts w:cs="Arial"/>
          <w:b w:val="0"/>
          <w:noProof/>
          <w:color w:val="FF0000"/>
          <w:sz w:val="22"/>
          <w:szCs w:val="22"/>
        </w:rPr>
      </w:pPr>
    </w:p>
    <w:p w:rsidR="00A06642" w:rsidRDefault="00A06642">
      <w:pPr>
        <w:pStyle w:val="BodyText3"/>
        <w:outlineLvl w:val="0"/>
        <w:rPr>
          <w:rFonts w:cs="Arial"/>
          <w:b w:val="0"/>
          <w:noProof/>
          <w:color w:val="FF0000"/>
          <w:sz w:val="22"/>
          <w:szCs w:val="22"/>
        </w:rPr>
      </w:pPr>
    </w:p>
    <w:p w:rsidR="00A06642" w:rsidRDefault="00A06642">
      <w:pPr>
        <w:pStyle w:val="BodyText3"/>
        <w:outlineLvl w:val="0"/>
        <w:rPr>
          <w:rFonts w:cs="Arial"/>
          <w:b w:val="0"/>
          <w:noProof/>
          <w:color w:val="FF0000"/>
          <w:sz w:val="22"/>
          <w:szCs w:val="22"/>
        </w:rPr>
      </w:pPr>
    </w:p>
    <w:p w:rsidR="00A06642" w:rsidRDefault="00A06642">
      <w:pPr>
        <w:pStyle w:val="BodyText3"/>
        <w:outlineLvl w:val="0"/>
        <w:rPr>
          <w:rFonts w:cs="Arial"/>
          <w:b w:val="0"/>
          <w:noProof/>
          <w:color w:val="FF0000"/>
          <w:sz w:val="22"/>
          <w:szCs w:val="22"/>
        </w:rPr>
      </w:pPr>
    </w:p>
    <w:p w:rsidR="00A06642" w:rsidRDefault="00A06642">
      <w:pPr>
        <w:pStyle w:val="BodyText3"/>
        <w:outlineLvl w:val="0"/>
        <w:rPr>
          <w:rFonts w:cs="Arial"/>
          <w:b w:val="0"/>
          <w:noProof/>
          <w:color w:val="FF0000"/>
          <w:sz w:val="22"/>
          <w:szCs w:val="22"/>
        </w:rPr>
      </w:pPr>
    </w:p>
    <w:p w:rsidR="00A06642" w:rsidRDefault="00A06642">
      <w:pPr>
        <w:pStyle w:val="BodyText3"/>
        <w:outlineLvl w:val="0"/>
        <w:rPr>
          <w:rFonts w:cs="Arial"/>
          <w:b w:val="0"/>
          <w:noProof/>
          <w:color w:val="FF0000"/>
          <w:sz w:val="22"/>
          <w:szCs w:val="22"/>
        </w:rPr>
      </w:pPr>
    </w:p>
    <w:p w:rsidR="00A06642" w:rsidRDefault="00A06642">
      <w:pPr>
        <w:pStyle w:val="BodyText3"/>
        <w:outlineLvl w:val="0"/>
        <w:rPr>
          <w:rFonts w:cs="Arial"/>
          <w:b w:val="0"/>
          <w:noProof/>
          <w:color w:val="FF0000"/>
          <w:sz w:val="22"/>
          <w:szCs w:val="22"/>
        </w:rPr>
      </w:pPr>
    </w:p>
    <w:p w:rsidR="00A06642" w:rsidRDefault="00A06642">
      <w:pPr>
        <w:pStyle w:val="BodyText3"/>
        <w:outlineLvl w:val="0"/>
        <w:rPr>
          <w:rFonts w:cs="Arial"/>
          <w:b w:val="0"/>
          <w:noProof/>
          <w:color w:val="FF0000"/>
          <w:sz w:val="22"/>
          <w:szCs w:val="22"/>
        </w:rPr>
      </w:pPr>
    </w:p>
    <w:p w:rsidR="00A06642" w:rsidRDefault="00A06642">
      <w:pPr>
        <w:pStyle w:val="BodyText3"/>
        <w:outlineLvl w:val="0"/>
        <w:rPr>
          <w:rFonts w:cs="Arial"/>
          <w:b w:val="0"/>
          <w:noProof/>
          <w:color w:val="FF0000"/>
          <w:sz w:val="22"/>
          <w:szCs w:val="22"/>
        </w:rPr>
      </w:pPr>
    </w:p>
    <w:p w:rsidR="00A06642" w:rsidRDefault="00A06642">
      <w:pPr>
        <w:pStyle w:val="BodyText3"/>
        <w:outlineLvl w:val="0"/>
        <w:rPr>
          <w:rFonts w:cs="Arial"/>
          <w:b w:val="0"/>
          <w:noProof/>
          <w:color w:val="FF0000"/>
          <w:sz w:val="22"/>
          <w:szCs w:val="22"/>
        </w:rPr>
      </w:pPr>
    </w:p>
    <w:p w:rsidR="00A06642" w:rsidRDefault="00A06642">
      <w:pPr>
        <w:pStyle w:val="BodyText3"/>
        <w:outlineLvl w:val="0"/>
        <w:rPr>
          <w:rFonts w:cs="Arial"/>
          <w:b w:val="0"/>
          <w:noProof/>
          <w:color w:val="FF0000"/>
          <w:sz w:val="22"/>
          <w:szCs w:val="22"/>
        </w:rPr>
      </w:pPr>
    </w:p>
    <w:p w:rsidR="00A06642" w:rsidRDefault="00A06642">
      <w:pPr>
        <w:pStyle w:val="BodyText3"/>
        <w:outlineLvl w:val="0"/>
        <w:rPr>
          <w:rFonts w:cs="Arial"/>
          <w:b w:val="0"/>
          <w:noProof/>
          <w:color w:val="FF0000"/>
          <w:sz w:val="22"/>
          <w:szCs w:val="22"/>
        </w:rPr>
      </w:pPr>
    </w:p>
    <w:p w:rsidR="00A06642" w:rsidRDefault="00A06642">
      <w:pPr>
        <w:pStyle w:val="BodyText3"/>
        <w:outlineLvl w:val="0"/>
        <w:rPr>
          <w:rFonts w:cs="Arial"/>
          <w:b w:val="0"/>
          <w:noProof/>
          <w:color w:val="FF0000"/>
          <w:sz w:val="22"/>
          <w:szCs w:val="22"/>
        </w:rPr>
      </w:pPr>
    </w:p>
    <w:p w:rsidR="00A06642" w:rsidRDefault="00A06642">
      <w:pPr>
        <w:pStyle w:val="BodyText3"/>
        <w:outlineLvl w:val="0"/>
        <w:rPr>
          <w:rFonts w:cs="Arial"/>
          <w:b w:val="0"/>
          <w:noProof/>
          <w:color w:val="FF0000"/>
          <w:sz w:val="22"/>
          <w:szCs w:val="22"/>
        </w:rPr>
      </w:pPr>
    </w:p>
    <w:p w:rsidR="00A06642" w:rsidRPr="00FE1270" w:rsidRDefault="00A06642">
      <w:pPr>
        <w:pStyle w:val="BodyText3"/>
        <w:outlineLvl w:val="0"/>
        <w:rPr>
          <w:rFonts w:cs="Arial"/>
          <w:b w:val="0"/>
          <w:noProof/>
          <w:color w:val="FF0000"/>
          <w:sz w:val="22"/>
          <w:szCs w:val="22"/>
        </w:rPr>
      </w:pPr>
    </w:p>
    <w:p w:rsidR="004D5EDB" w:rsidRPr="00FE1270" w:rsidRDefault="004D5EDB">
      <w:pPr>
        <w:pStyle w:val="BodyText3"/>
        <w:outlineLvl w:val="0"/>
        <w:rPr>
          <w:rFonts w:cs="Arial"/>
          <w:b w:val="0"/>
          <w:noProof/>
          <w:color w:val="244061" w:themeColor="accent1" w:themeShade="80"/>
          <w:sz w:val="22"/>
          <w:szCs w:val="22"/>
        </w:rPr>
      </w:pPr>
    </w:p>
    <w:p w:rsidR="0079130F" w:rsidRPr="00FE1270" w:rsidRDefault="0079130F" w:rsidP="0079130F">
      <w:pPr>
        <w:pStyle w:val="Heading2"/>
        <w:numPr>
          <w:ilvl w:val="0"/>
          <w:numId w:val="15"/>
        </w:numPr>
        <w:rPr>
          <w:rFonts w:cs="Arial"/>
          <w:noProof/>
          <w:color w:val="244061" w:themeColor="accent1" w:themeShade="80"/>
          <w:sz w:val="28"/>
          <w:szCs w:val="28"/>
        </w:rPr>
      </w:pPr>
      <w:r w:rsidRPr="00FE1270">
        <w:rPr>
          <w:rFonts w:cs="Arial"/>
          <w:noProof/>
          <w:color w:val="244061" w:themeColor="accent1" w:themeShade="80"/>
          <w:sz w:val="28"/>
          <w:szCs w:val="28"/>
        </w:rPr>
        <w:lastRenderedPageBreak/>
        <w:t>Bilanca (Obrazac: BIL</w:t>
      </w:r>
      <w:r w:rsidR="00EC44E0" w:rsidRPr="00FE1270">
        <w:rPr>
          <w:rFonts w:cs="Arial"/>
          <w:noProof/>
          <w:color w:val="244061" w:themeColor="accent1" w:themeShade="80"/>
          <w:sz w:val="28"/>
          <w:szCs w:val="28"/>
        </w:rPr>
        <w:t>)</w:t>
      </w:r>
      <w:r w:rsidR="009D5820" w:rsidRPr="00FE1270">
        <w:rPr>
          <w:rFonts w:cs="Arial"/>
          <w:noProof/>
          <w:color w:val="244061" w:themeColor="accent1" w:themeShade="80"/>
          <w:sz w:val="28"/>
          <w:szCs w:val="28"/>
        </w:rPr>
        <w:t xml:space="preserve"> </w:t>
      </w:r>
    </w:p>
    <w:p w:rsidR="00CC609F" w:rsidRPr="00FE1270" w:rsidRDefault="00CC609F" w:rsidP="0079130F">
      <w:pPr>
        <w:jc w:val="both"/>
        <w:rPr>
          <w:rFonts w:ascii="Arial" w:hAnsi="Arial" w:cs="Arial"/>
          <w:noProof/>
          <w:color w:val="244061" w:themeColor="accent1" w:themeShade="80"/>
          <w:sz w:val="22"/>
          <w:szCs w:val="22"/>
        </w:rPr>
      </w:pPr>
    </w:p>
    <w:p w:rsidR="00811D7E" w:rsidRPr="00FE1270" w:rsidRDefault="00811D7E" w:rsidP="00E12A44">
      <w:pPr>
        <w:jc w:val="both"/>
        <w:rPr>
          <w:rFonts w:ascii="Arial" w:hAnsi="Arial" w:cs="Arial"/>
          <w:noProof/>
          <w:sz w:val="22"/>
          <w:szCs w:val="22"/>
        </w:rPr>
      </w:pPr>
    </w:p>
    <w:p w:rsidR="00E12A44" w:rsidRPr="00FE1270" w:rsidRDefault="0079130F" w:rsidP="00E12A44">
      <w:pPr>
        <w:jc w:val="both"/>
        <w:rPr>
          <w:rFonts w:ascii="Arial" w:hAnsi="Arial"/>
          <w:noProof/>
          <w:sz w:val="22"/>
        </w:rPr>
      </w:pPr>
      <w:r w:rsidRPr="00FE1270">
        <w:rPr>
          <w:rFonts w:ascii="Arial" w:hAnsi="Arial" w:cs="Arial"/>
          <w:noProof/>
          <w:sz w:val="22"/>
          <w:szCs w:val="22"/>
        </w:rPr>
        <w:t xml:space="preserve">Vrijednost ukupne </w:t>
      </w:r>
      <w:r w:rsidR="009E15D1" w:rsidRPr="00FE1270">
        <w:rPr>
          <w:rFonts w:ascii="Arial" w:hAnsi="Arial" w:cs="Arial"/>
          <w:noProof/>
          <w:sz w:val="22"/>
          <w:szCs w:val="22"/>
        </w:rPr>
        <w:t xml:space="preserve">aktive </w:t>
      </w:r>
      <w:r w:rsidR="00494B35" w:rsidRPr="00FE1270">
        <w:rPr>
          <w:rFonts w:ascii="Arial" w:hAnsi="Arial" w:cs="Arial"/>
          <w:noProof/>
          <w:sz w:val="22"/>
          <w:szCs w:val="22"/>
        </w:rPr>
        <w:t>(B</w:t>
      </w:r>
      <w:r w:rsidRPr="00FE1270">
        <w:rPr>
          <w:rFonts w:ascii="Arial" w:hAnsi="Arial" w:cs="Arial"/>
          <w:noProof/>
          <w:sz w:val="22"/>
          <w:szCs w:val="22"/>
        </w:rPr>
        <w:t xml:space="preserve">001) </w:t>
      </w:r>
      <w:r w:rsidR="006A3D57" w:rsidRPr="00FE1270">
        <w:rPr>
          <w:rFonts w:ascii="Arial" w:hAnsi="Arial" w:cs="Arial"/>
          <w:noProof/>
          <w:sz w:val="22"/>
          <w:szCs w:val="22"/>
        </w:rPr>
        <w:t xml:space="preserve">konsolidirane grupe </w:t>
      </w:r>
      <w:r w:rsidRPr="00FE1270">
        <w:rPr>
          <w:rFonts w:ascii="Arial" w:hAnsi="Arial" w:cs="Arial"/>
          <w:noProof/>
          <w:sz w:val="22"/>
          <w:szCs w:val="22"/>
        </w:rPr>
        <w:t xml:space="preserve">iznosi </w:t>
      </w:r>
      <w:r w:rsidR="00577D6C" w:rsidRPr="00FE1270">
        <w:rPr>
          <w:rFonts w:ascii="Arial" w:hAnsi="Arial" w:cs="Arial"/>
          <w:noProof/>
          <w:sz w:val="22"/>
          <w:szCs w:val="22"/>
        </w:rPr>
        <w:t>1.245.401.675,60</w:t>
      </w:r>
      <w:r w:rsidR="009C28F0" w:rsidRPr="00FE1270">
        <w:rPr>
          <w:rFonts w:ascii="Arial" w:hAnsi="Arial" w:cs="Arial"/>
          <w:noProof/>
          <w:sz w:val="22"/>
          <w:szCs w:val="22"/>
        </w:rPr>
        <w:t xml:space="preserve"> eura</w:t>
      </w:r>
      <w:r w:rsidR="006A3D57" w:rsidRPr="00FE1270">
        <w:rPr>
          <w:rFonts w:ascii="Arial" w:hAnsi="Arial" w:cs="Arial"/>
          <w:noProof/>
          <w:sz w:val="22"/>
          <w:szCs w:val="22"/>
        </w:rPr>
        <w:t xml:space="preserve"> na dan 31. prosinca 2024. godine</w:t>
      </w:r>
      <w:r w:rsidR="00A16CC1" w:rsidRPr="00FE1270">
        <w:rPr>
          <w:rFonts w:ascii="Arial" w:hAnsi="Arial" w:cs="Arial"/>
          <w:noProof/>
          <w:sz w:val="22"/>
          <w:szCs w:val="22"/>
        </w:rPr>
        <w:t>.</w:t>
      </w:r>
      <w:r w:rsidRPr="00FE1270">
        <w:rPr>
          <w:rFonts w:ascii="Arial" w:hAnsi="Arial" w:cs="Arial"/>
          <w:noProof/>
          <w:sz w:val="22"/>
          <w:szCs w:val="22"/>
        </w:rPr>
        <w:t xml:space="preserve"> </w:t>
      </w:r>
      <w:r w:rsidR="006C6DCD" w:rsidRPr="00FE1270">
        <w:rPr>
          <w:rFonts w:ascii="Arial" w:hAnsi="Arial" w:cs="Arial"/>
          <w:noProof/>
          <w:sz w:val="22"/>
          <w:szCs w:val="22"/>
        </w:rPr>
        <w:t xml:space="preserve">U odnosu na </w:t>
      </w:r>
      <w:r w:rsidR="00812E2E" w:rsidRPr="00FE1270">
        <w:rPr>
          <w:rFonts w:ascii="Arial" w:hAnsi="Arial" w:cs="Arial"/>
          <w:noProof/>
          <w:sz w:val="22"/>
          <w:szCs w:val="22"/>
        </w:rPr>
        <w:t xml:space="preserve">stanje 1. siječnja </w:t>
      </w:r>
      <w:r w:rsidR="00370F62" w:rsidRPr="00FE1270">
        <w:rPr>
          <w:rFonts w:ascii="Arial" w:hAnsi="Arial" w:cs="Arial"/>
          <w:noProof/>
          <w:sz w:val="22"/>
          <w:szCs w:val="22"/>
        </w:rPr>
        <w:t xml:space="preserve">o.g. </w:t>
      </w:r>
      <w:r w:rsidR="00733F62" w:rsidRPr="00FE1270">
        <w:rPr>
          <w:rFonts w:ascii="Arial" w:hAnsi="Arial" w:cs="Arial"/>
          <w:noProof/>
          <w:sz w:val="22"/>
          <w:szCs w:val="22"/>
        </w:rPr>
        <w:t xml:space="preserve">ukupna vrijednost </w:t>
      </w:r>
      <w:r w:rsidR="00812E2E" w:rsidRPr="00FE1270">
        <w:rPr>
          <w:rFonts w:ascii="Arial" w:hAnsi="Arial" w:cs="Arial"/>
          <w:noProof/>
          <w:sz w:val="22"/>
          <w:szCs w:val="22"/>
        </w:rPr>
        <w:t>imovin</w:t>
      </w:r>
      <w:r w:rsidR="00733F62" w:rsidRPr="00FE1270">
        <w:rPr>
          <w:rFonts w:ascii="Arial" w:hAnsi="Arial" w:cs="Arial"/>
          <w:noProof/>
          <w:sz w:val="22"/>
          <w:szCs w:val="22"/>
        </w:rPr>
        <w:t>e</w:t>
      </w:r>
      <w:r w:rsidR="00812E2E" w:rsidRPr="00FE1270">
        <w:rPr>
          <w:rFonts w:ascii="Arial" w:hAnsi="Arial" w:cs="Arial"/>
          <w:noProof/>
          <w:sz w:val="22"/>
          <w:szCs w:val="22"/>
        </w:rPr>
        <w:t xml:space="preserve"> </w:t>
      </w:r>
      <w:r w:rsidR="00CD2A6F" w:rsidRPr="00FE1270">
        <w:rPr>
          <w:rFonts w:ascii="Arial" w:hAnsi="Arial" w:cs="Arial"/>
          <w:noProof/>
          <w:sz w:val="22"/>
          <w:szCs w:val="22"/>
        </w:rPr>
        <w:t>poveća</w:t>
      </w:r>
      <w:r w:rsidR="00546937" w:rsidRPr="00FE1270">
        <w:rPr>
          <w:rFonts w:ascii="Arial" w:hAnsi="Arial" w:cs="Arial"/>
          <w:noProof/>
          <w:sz w:val="22"/>
          <w:szCs w:val="22"/>
        </w:rPr>
        <w:t>na je</w:t>
      </w:r>
      <w:r w:rsidR="00A47DFA" w:rsidRPr="00FE1270">
        <w:rPr>
          <w:rFonts w:ascii="Arial" w:hAnsi="Arial" w:cs="Arial"/>
          <w:noProof/>
          <w:sz w:val="22"/>
          <w:szCs w:val="22"/>
        </w:rPr>
        <w:t xml:space="preserve"> </w:t>
      </w:r>
      <w:r w:rsidR="00812E2E" w:rsidRPr="00FE1270">
        <w:rPr>
          <w:rFonts w:ascii="Arial" w:hAnsi="Arial" w:cs="Arial"/>
          <w:noProof/>
          <w:sz w:val="22"/>
          <w:szCs w:val="22"/>
        </w:rPr>
        <w:t xml:space="preserve">za </w:t>
      </w:r>
      <w:r w:rsidR="00577D6C" w:rsidRPr="00FE1270">
        <w:rPr>
          <w:rFonts w:ascii="Arial" w:hAnsi="Arial" w:cs="Arial"/>
          <w:noProof/>
          <w:sz w:val="22"/>
          <w:szCs w:val="22"/>
        </w:rPr>
        <w:t>15.960.303,50</w:t>
      </w:r>
      <w:r w:rsidR="009C28F0" w:rsidRPr="00FE1270">
        <w:rPr>
          <w:rFonts w:ascii="Arial" w:hAnsi="Arial" w:cs="Arial"/>
          <w:noProof/>
          <w:sz w:val="22"/>
          <w:szCs w:val="22"/>
        </w:rPr>
        <w:t xml:space="preserve"> eura</w:t>
      </w:r>
      <w:r w:rsidR="00006B97" w:rsidRPr="00FE1270">
        <w:rPr>
          <w:rFonts w:ascii="Arial" w:hAnsi="Arial" w:cs="Arial"/>
          <w:noProof/>
          <w:sz w:val="22"/>
          <w:szCs w:val="22"/>
        </w:rPr>
        <w:t xml:space="preserve"> ili </w:t>
      </w:r>
      <w:r w:rsidR="00577D6C" w:rsidRPr="00FE1270">
        <w:rPr>
          <w:rFonts w:ascii="Arial" w:hAnsi="Arial" w:cs="Arial"/>
          <w:noProof/>
          <w:sz w:val="22"/>
          <w:szCs w:val="22"/>
        </w:rPr>
        <w:t>1,3</w:t>
      </w:r>
      <w:r w:rsidR="00812E2E" w:rsidRPr="00FE1270">
        <w:rPr>
          <w:rFonts w:ascii="Arial" w:hAnsi="Arial" w:cs="Arial"/>
          <w:noProof/>
          <w:sz w:val="22"/>
          <w:szCs w:val="22"/>
        </w:rPr>
        <w:t>%</w:t>
      </w:r>
      <w:r w:rsidR="0095394E" w:rsidRPr="00FE1270">
        <w:rPr>
          <w:rFonts w:ascii="Arial" w:hAnsi="Arial" w:cs="Arial"/>
          <w:noProof/>
          <w:sz w:val="22"/>
          <w:szCs w:val="22"/>
        </w:rPr>
        <w:t xml:space="preserve">. </w:t>
      </w:r>
    </w:p>
    <w:p w:rsidR="003D0AC5" w:rsidRPr="00FE1270" w:rsidRDefault="003D0AC5" w:rsidP="003D0AC5">
      <w:pPr>
        <w:ind w:left="-709"/>
        <w:jc w:val="both"/>
        <w:rPr>
          <w:rFonts w:ascii="Arial" w:hAnsi="Arial" w:cs="Arial"/>
          <w:noProof/>
          <w:sz w:val="22"/>
          <w:szCs w:val="22"/>
        </w:rPr>
      </w:pPr>
    </w:p>
    <w:p w:rsidR="0079130F" w:rsidRPr="00FE1270" w:rsidRDefault="0079130F" w:rsidP="0079130F">
      <w:pPr>
        <w:pStyle w:val="Heading4"/>
        <w:rPr>
          <w:rFonts w:cs="Arial"/>
          <w:noProof/>
          <w:szCs w:val="22"/>
        </w:rPr>
      </w:pPr>
      <w:r w:rsidRPr="00FE1270">
        <w:rPr>
          <w:rFonts w:cs="Arial"/>
          <w:noProof/>
          <w:szCs w:val="22"/>
        </w:rPr>
        <w:t>Bilješka broj 2 - nefinancijska imovina (</w:t>
      </w:r>
      <w:r w:rsidR="00A16CC1" w:rsidRPr="00FE1270">
        <w:rPr>
          <w:rFonts w:cs="Arial"/>
          <w:noProof/>
          <w:szCs w:val="22"/>
        </w:rPr>
        <w:t>B</w:t>
      </w:r>
      <w:r w:rsidRPr="00FE1270">
        <w:rPr>
          <w:rFonts w:cs="Arial"/>
          <w:noProof/>
          <w:szCs w:val="22"/>
        </w:rPr>
        <w:t>002)</w:t>
      </w:r>
    </w:p>
    <w:p w:rsidR="0079130F" w:rsidRPr="00FE1270" w:rsidRDefault="0079130F" w:rsidP="0079130F">
      <w:pPr>
        <w:jc w:val="both"/>
        <w:rPr>
          <w:rFonts w:ascii="Arial" w:hAnsi="Arial" w:cs="Arial"/>
          <w:noProof/>
          <w:sz w:val="22"/>
          <w:szCs w:val="22"/>
        </w:rPr>
      </w:pPr>
      <w:r w:rsidRPr="00FE1270">
        <w:rPr>
          <w:rFonts w:ascii="Arial" w:hAnsi="Arial" w:cs="Arial"/>
          <w:noProof/>
          <w:sz w:val="22"/>
          <w:szCs w:val="22"/>
        </w:rPr>
        <w:t xml:space="preserve">Ukupna nefinancijska imovina iznosi </w:t>
      </w:r>
      <w:r w:rsidR="009C28F0" w:rsidRPr="00FE1270">
        <w:rPr>
          <w:rFonts w:ascii="Arial" w:hAnsi="Arial" w:cs="Arial"/>
          <w:noProof/>
          <w:sz w:val="22"/>
          <w:szCs w:val="22"/>
        </w:rPr>
        <w:t>1.</w:t>
      </w:r>
      <w:r w:rsidR="00577D6C" w:rsidRPr="00FE1270">
        <w:rPr>
          <w:rFonts w:ascii="Arial" w:hAnsi="Arial" w:cs="Arial"/>
          <w:noProof/>
          <w:sz w:val="22"/>
          <w:szCs w:val="22"/>
        </w:rPr>
        <w:t>029.012.869,47</w:t>
      </w:r>
      <w:r w:rsidR="009C28F0" w:rsidRPr="00FE1270">
        <w:rPr>
          <w:rFonts w:ascii="Arial" w:hAnsi="Arial" w:cs="Arial"/>
          <w:noProof/>
          <w:sz w:val="22"/>
          <w:szCs w:val="22"/>
        </w:rPr>
        <w:t xml:space="preserve"> eura</w:t>
      </w:r>
      <w:r w:rsidR="00636EAC" w:rsidRPr="00FE1270">
        <w:rPr>
          <w:rFonts w:ascii="Arial" w:hAnsi="Arial" w:cs="Arial"/>
          <w:noProof/>
          <w:sz w:val="22"/>
          <w:szCs w:val="22"/>
        </w:rPr>
        <w:t xml:space="preserve">, </w:t>
      </w:r>
      <w:r w:rsidR="009C28F0" w:rsidRPr="00FE1270">
        <w:rPr>
          <w:rFonts w:ascii="Arial" w:hAnsi="Arial" w:cs="Arial"/>
          <w:noProof/>
          <w:sz w:val="22"/>
          <w:szCs w:val="22"/>
        </w:rPr>
        <w:t>82</w:t>
      </w:r>
      <w:r w:rsidR="00577D6C" w:rsidRPr="00FE1270">
        <w:rPr>
          <w:rFonts w:ascii="Arial" w:hAnsi="Arial" w:cs="Arial"/>
          <w:noProof/>
          <w:sz w:val="22"/>
          <w:szCs w:val="22"/>
        </w:rPr>
        <w:t>,6</w:t>
      </w:r>
      <w:r w:rsidR="00513DAC" w:rsidRPr="00FE1270">
        <w:rPr>
          <w:rFonts w:ascii="Arial" w:hAnsi="Arial" w:cs="Arial"/>
          <w:noProof/>
          <w:sz w:val="22"/>
          <w:szCs w:val="22"/>
        </w:rPr>
        <w:t>%</w:t>
      </w:r>
      <w:r w:rsidRPr="00FE1270">
        <w:rPr>
          <w:rFonts w:ascii="Arial" w:hAnsi="Arial" w:cs="Arial"/>
          <w:noProof/>
          <w:sz w:val="22"/>
          <w:szCs w:val="22"/>
        </w:rPr>
        <w:t xml:space="preserve"> ukupn</w:t>
      </w:r>
      <w:r w:rsidR="00513DAC" w:rsidRPr="00FE1270">
        <w:rPr>
          <w:rFonts w:ascii="Arial" w:hAnsi="Arial" w:cs="Arial"/>
          <w:noProof/>
          <w:sz w:val="22"/>
          <w:szCs w:val="22"/>
        </w:rPr>
        <w:t>e</w:t>
      </w:r>
      <w:r w:rsidRPr="00FE1270">
        <w:rPr>
          <w:rFonts w:ascii="Arial" w:hAnsi="Arial" w:cs="Arial"/>
          <w:noProof/>
          <w:sz w:val="22"/>
          <w:szCs w:val="22"/>
        </w:rPr>
        <w:t xml:space="preserve"> </w:t>
      </w:r>
      <w:r w:rsidR="00513DAC" w:rsidRPr="00FE1270">
        <w:rPr>
          <w:rFonts w:ascii="Arial" w:hAnsi="Arial" w:cs="Arial"/>
          <w:noProof/>
          <w:sz w:val="22"/>
          <w:szCs w:val="22"/>
        </w:rPr>
        <w:t>aktive.</w:t>
      </w:r>
      <w:r w:rsidRPr="00FE1270">
        <w:rPr>
          <w:rFonts w:ascii="Arial" w:hAnsi="Arial" w:cs="Arial"/>
          <w:noProof/>
          <w:sz w:val="22"/>
          <w:szCs w:val="22"/>
        </w:rPr>
        <w:t xml:space="preserve"> </w:t>
      </w:r>
      <w:r w:rsidR="002C60B8">
        <w:rPr>
          <w:rFonts w:ascii="Arial" w:hAnsi="Arial" w:cs="Arial"/>
          <w:noProof/>
          <w:sz w:val="22"/>
          <w:szCs w:val="22"/>
        </w:rPr>
        <w:t xml:space="preserve">Vrijednost nefinancijske imovine </w:t>
      </w:r>
      <w:r w:rsidRPr="00FE1270">
        <w:rPr>
          <w:rFonts w:ascii="Arial" w:hAnsi="Arial" w:cs="Arial"/>
          <w:noProof/>
          <w:sz w:val="22"/>
          <w:szCs w:val="22"/>
        </w:rPr>
        <w:t>Grad</w:t>
      </w:r>
      <w:r w:rsidR="002C60B8">
        <w:rPr>
          <w:rFonts w:ascii="Arial" w:hAnsi="Arial" w:cs="Arial"/>
          <w:noProof/>
          <w:sz w:val="22"/>
          <w:szCs w:val="22"/>
        </w:rPr>
        <w:t xml:space="preserve">a iznosi </w:t>
      </w:r>
      <w:r w:rsidR="00577D6C" w:rsidRPr="00FE1270">
        <w:rPr>
          <w:rFonts w:ascii="Arial" w:hAnsi="Arial" w:cs="Arial"/>
          <w:noProof/>
          <w:sz w:val="22"/>
          <w:szCs w:val="22"/>
        </w:rPr>
        <w:t>998.917.772,26</w:t>
      </w:r>
      <w:r w:rsidR="000E6673" w:rsidRPr="00FE1270">
        <w:rPr>
          <w:rFonts w:ascii="Arial" w:hAnsi="Arial" w:cs="Arial"/>
          <w:noProof/>
          <w:sz w:val="22"/>
          <w:szCs w:val="22"/>
        </w:rPr>
        <w:t xml:space="preserve"> eura</w:t>
      </w:r>
      <w:r w:rsidRPr="00FE1270">
        <w:rPr>
          <w:rFonts w:ascii="Arial" w:hAnsi="Arial" w:cs="Arial"/>
          <w:noProof/>
          <w:sz w:val="22"/>
          <w:szCs w:val="22"/>
        </w:rPr>
        <w:t xml:space="preserve"> ili </w:t>
      </w:r>
      <w:r w:rsidR="005D4C8A" w:rsidRPr="00FE1270">
        <w:rPr>
          <w:rFonts w:ascii="Arial" w:hAnsi="Arial" w:cs="Arial"/>
          <w:noProof/>
          <w:sz w:val="22"/>
          <w:szCs w:val="22"/>
        </w:rPr>
        <w:t>9</w:t>
      </w:r>
      <w:r w:rsidR="00577D6C" w:rsidRPr="00FE1270">
        <w:rPr>
          <w:rFonts w:ascii="Arial" w:hAnsi="Arial" w:cs="Arial"/>
          <w:noProof/>
          <w:sz w:val="22"/>
          <w:szCs w:val="22"/>
        </w:rPr>
        <w:t>7,1</w:t>
      </w:r>
      <w:r w:rsidR="005045DA" w:rsidRPr="00FE1270">
        <w:rPr>
          <w:rFonts w:ascii="Arial" w:hAnsi="Arial" w:cs="Arial"/>
          <w:noProof/>
          <w:sz w:val="22"/>
          <w:szCs w:val="22"/>
        </w:rPr>
        <w:t xml:space="preserve">%, a </w:t>
      </w:r>
      <w:r w:rsidR="002C60B8">
        <w:rPr>
          <w:rFonts w:ascii="Arial" w:hAnsi="Arial" w:cs="Arial"/>
          <w:noProof/>
          <w:sz w:val="22"/>
          <w:szCs w:val="22"/>
        </w:rPr>
        <w:t xml:space="preserve">nefinancijska imovina svih </w:t>
      </w:r>
      <w:r w:rsidR="005045DA" w:rsidRPr="00FE1270">
        <w:rPr>
          <w:rFonts w:ascii="Arial" w:hAnsi="Arial" w:cs="Arial"/>
          <w:noProof/>
          <w:sz w:val="22"/>
          <w:szCs w:val="22"/>
        </w:rPr>
        <w:t>proračunski</w:t>
      </w:r>
      <w:r w:rsidR="002C60B8">
        <w:rPr>
          <w:rFonts w:ascii="Arial" w:hAnsi="Arial" w:cs="Arial"/>
          <w:noProof/>
          <w:sz w:val="22"/>
          <w:szCs w:val="22"/>
        </w:rPr>
        <w:t xml:space="preserve">h korisnika </w:t>
      </w:r>
      <w:r w:rsidR="00577D6C" w:rsidRPr="00FE1270">
        <w:rPr>
          <w:rFonts w:ascii="Arial" w:hAnsi="Arial" w:cs="Arial"/>
          <w:noProof/>
          <w:sz w:val="22"/>
          <w:szCs w:val="22"/>
        </w:rPr>
        <w:t>30.095.097,21</w:t>
      </w:r>
      <w:r w:rsidR="009C28F0" w:rsidRPr="00FE1270">
        <w:rPr>
          <w:rFonts w:ascii="Arial" w:hAnsi="Arial" w:cs="Arial"/>
          <w:noProof/>
          <w:sz w:val="22"/>
          <w:szCs w:val="22"/>
        </w:rPr>
        <w:t xml:space="preserve"> eur</w:t>
      </w:r>
      <w:r w:rsidR="002C60B8">
        <w:rPr>
          <w:rFonts w:ascii="Arial" w:hAnsi="Arial" w:cs="Arial"/>
          <w:noProof/>
          <w:sz w:val="22"/>
          <w:szCs w:val="22"/>
        </w:rPr>
        <w:t>a</w:t>
      </w:r>
      <w:r w:rsidRPr="00FE1270">
        <w:rPr>
          <w:rFonts w:ascii="Arial" w:hAnsi="Arial" w:cs="Arial"/>
          <w:noProof/>
          <w:sz w:val="22"/>
          <w:szCs w:val="22"/>
        </w:rPr>
        <w:t xml:space="preserve"> ili </w:t>
      </w:r>
      <w:r w:rsidR="009C28F0" w:rsidRPr="00FE1270">
        <w:rPr>
          <w:rFonts w:ascii="Arial" w:hAnsi="Arial" w:cs="Arial"/>
          <w:noProof/>
          <w:sz w:val="22"/>
          <w:szCs w:val="22"/>
        </w:rPr>
        <w:t>2,9</w:t>
      </w:r>
      <w:r w:rsidRPr="00FE1270">
        <w:rPr>
          <w:rFonts w:ascii="Arial" w:hAnsi="Arial" w:cs="Arial"/>
          <w:noProof/>
          <w:sz w:val="22"/>
          <w:szCs w:val="22"/>
        </w:rPr>
        <w:t>%</w:t>
      </w:r>
      <w:r w:rsidR="002C60B8">
        <w:rPr>
          <w:rFonts w:ascii="Arial" w:hAnsi="Arial" w:cs="Arial"/>
          <w:noProof/>
          <w:sz w:val="22"/>
          <w:szCs w:val="22"/>
        </w:rPr>
        <w:t xml:space="preserve"> ukupne nefinancijske imovine.</w:t>
      </w:r>
      <w:r w:rsidRPr="00FE1270">
        <w:rPr>
          <w:rFonts w:ascii="Arial" w:hAnsi="Arial" w:cs="Arial"/>
          <w:noProof/>
          <w:sz w:val="22"/>
          <w:szCs w:val="22"/>
        </w:rPr>
        <w:t xml:space="preserve"> </w:t>
      </w:r>
    </w:p>
    <w:p w:rsidR="002C60B8" w:rsidRDefault="002C60B8" w:rsidP="00AC7A93">
      <w:pPr>
        <w:pStyle w:val="Heading4"/>
        <w:rPr>
          <w:rFonts w:cs="Arial"/>
          <w:b w:val="0"/>
          <w:szCs w:val="22"/>
          <w:lang w:eastAsia="hr-HR"/>
        </w:rPr>
      </w:pPr>
    </w:p>
    <w:p w:rsidR="00AC7A93" w:rsidRPr="00FE1270" w:rsidRDefault="0079130F" w:rsidP="00AC7A93">
      <w:pPr>
        <w:pStyle w:val="Heading4"/>
        <w:rPr>
          <w:rFonts w:cs="Arial"/>
          <w:noProof/>
          <w:szCs w:val="22"/>
        </w:rPr>
      </w:pPr>
      <w:r w:rsidRPr="00FE1270">
        <w:rPr>
          <w:rFonts w:cs="Arial"/>
          <w:noProof/>
          <w:szCs w:val="22"/>
        </w:rPr>
        <w:t xml:space="preserve">Bilješka broj </w:t>
      </w:r>
      <w:r w:rsidR="00C136B8" w:rsidRPr="00FE1270">
        <w:rPr>
          <w:rFonts w:cs="Arial"/>
          <w:noProof/>
          <w:szCs w:val="22"/>
        </w:rPr>
        <w:t>3 - financijska imovina (</w:t>
      </w:r>
      <w:r w:rsidR="00494B35" w:rsidRPr="00FE1270">
        <w:rPr>
          <w:rFonts w:cs="Arial"/>
          <w:noProof/>
          <w:szCs w:val="22"/>
        </w:rPr>
        <w:t>1</w:t>
      </w:r>
      <w:r w:rsidRPr="00FE1270">
        <w:rPr>
          <w:rFonts w:cs="Arial"/>
          <w:noProof/>
          <w:szCs w:val="22"/>
        </w:rPr>
        <w:t>)</w:t>
      </w:r>
    </w:p>
    <w:p w:rsidR="00D226B8" w:rsidRPr="00FE1270" w:rsidRDefault="00D226B8" w:rsidP="00D226B8">
      <w:pPr>
        <w:jc w:val="both"/>
        <w:rPr>
          <w:rFonts w:ascii="Arial" w:hAnsi="Arial" w:cs="Arial"/>
          <w:noProof/>
          <w:sz w:val="22"/>
          <w:szCs w:val="22"/>
        </w:rPr>
      </w:pPr>
      <w:r w:rsidRPr="00FE1270">
        <w:rPr>
          <w:rFonts w:ascii="Arial" w:hAnsi="Arial" w:cs="Arial"/>
          <w:noProof/>
          <w:sz w:val="22"/>
          <w:szCs w:val="22"/>
        </w:rPr>
        <w:t xml:space="preserve">Financijska imovina konsolidirane grupe </w:t>
      </w:r>
      <w:r w:rsidR="00013055" w:rsidRPr="00FE1270">
        <w:rPr>
          <w:rFonts w:ascii="Arial" w:hAnsi="Arial" w:cs="Arial"/>
          <w:noProof/>
          <w:sz w:val="22"/>
          <w:szCs w:val="22"/>
        </w:rPr>
        <w:t xml:space="preserve">u ovom se izvještaju </w:t>
      </w:r>
      <w:r w:rsidRPr="00FE1270">
        <w:rPr>
          <w:rFonts w:ascii="Arial" w:hAnsi="Arial" w:cs="Arial"/>
          <w:noProof/>
          <w:sz w:val="22"/>
          <w:szCs w:val="22"/>
        </w:rPr>
        <w:t xml:space="preserve">iskazuje nakon propisane eliminacije </w:t>
      </w:r>
      <w:r w:rsidR="00526B5E" w:rsidRPr="00FE1270">
        <w:rPr>
          <w:rFonts w:ascii="Arial" w:hAnsi="Arial" w:cs="Arial"/>
          <w:noProof/>
          <w:sz w:val="22"/>
          <w:szCs w:val="22"/>
        </w:rPr>
        <w:t xml:space="preserve">međusobnih  </w:t>
      </w:r>
      <w:r w:rsidRPr="00FE1270">
        <w:rPr>
          <w:rFonts w:ascii="Arial" w:hAnsi="Arial" w:cs="Arial"/>
          <w:noProof/>
          <w:sz w:val="22"/>
          <w:szCs w:val="22"/>
        </w:rPr>
        <w:t xml:space="preserve">potraživanja </w:t>
      </w:r>
      <w:r w:rsidR="00526B5E" w:rsidRPr="00FE1270">
        <w:rPr>
          <w:rFonts w:ascii="Arial" w:hAnsi="Arial" w:cs="Arial"/>
          <w:noProof/>
          <w:sz w:val="22"/>
          <w:szCs w:val="22"/>
        </w:rPr>
        <w:t xml:space="preserve">i obveza </w:t>
      </w:r>
      <w:r w:rsidR="00013055" w:rsidRPr="00FE1270">
        <w:rPr>
          <w:rFonts w:ascii="Arial" w:hAnsi="Arial" w:cs="Arial"/>
          <w:noProof/>
          <w:sz w:val="22"/>
          <w:szCs w:val="22"/>
        </w:rPr>
        <w:t>i</w:t>
      </w:r>
      <w:r w:rsidR="00526B5E" w:rsidRPr="00FE1270">
        <w:rPr>
          <w:rFonts w:ascii="Arial" w:hAnsi="Arial" w:cs="Arial"/>
          <w:noProof/>
          <w:sz w:val="22"/>
          <w:szCs w:val="22"/>
        </w:rPr>
        <w:t>zmeđu Grada i proračunskih korisnika</w:t>
      </w:r>
      <w:r w:rsidR="00013055" w:rsidRPr="00FE1270">
        <w:rPr>
          <w:rFonts w:ascii="Arial" w:hAnsi="Arial" w:cs="Arial"/>
          <w:noProof/>
          <w:sz w:val="22"/>
          <w:szCs w:val="22"/>
        </w:rPr>
        <w:t xml:space="preserve"> </w:t>
      </w:r>
      <w:r w:rsidR="00E718D3" w:rsidRPr="00FE1270">
        <w:rPr>
          <w:rFonts w:ascii="Arial" w:hAnsi="Arial" w:cs="Arial"/>
          <w:noProof/>
          <w:sz w:val="22"/>
          <w:szCs w:val="22"/>
        </w:rPr>
        <w:t>(</w:t>
      </w:r>
      <w:r w:rsidRPr="00FE1270">
        <w:rPr>
          <w:rFonts w:ascii="Arial" w:hAnsi="Arial" w:cs="Arial"/>
          <w:noProof/>
          <w:sz w:val="22"/>
          <w:szCs w:val="22"/>
        </w:rPr>
        <w:t>računi 16721, 12911</w:t>
      </w:r>
      <w:r w:rsidR="00AA6145" w:rsidRPr="00FE1270">
        <w:rPr>
          <w:rFonts w:ascii="Arial" w:hAnsi="Arial" w:cs="Arial"/>
          <w:noProof/>
          <w:sz w:val="22"/>
          <w:szCs w:val="22"/>
        </w:rPr>
        <w:t>, 12921 i</w:t>
      </w:r>
      <w:r w:rsidRPr="00FE1270">
        <w:rPr>
          <w:rFonts w:ascii="Arial" w:hAnsi="Arial" w:cs="Arial"/>
          <w:noProof/>
          <w:sz w:val="22"/>
          <w:szCs w:val="22"/>
        </w:rPr>
        <w:t xml:space="preserve"> 12941 prebijaju s</w:t>
      </w:r>
      <w:r w:rsidR="00E718D3" w:rsidRPr="00FE1270">
        <w:rPr>
          <w:rFonts w:ascii="Arial" w:hAnsi="Arial" w:cs="Arial"/>
          <w:noProof/>
          <w:sz w:val="22"/>
          <w:szCs w:val="22"/>
        </w:rPr>
        <w:t>e s</w:t>
      </w:r>
      <w:r w:rsidRPr="00FE1270">
        <w:rPr>
          <w:rFonts w:ascii="Arial" w:hAnsi="Arial" w:cs="Arial"/>
          <w:noProof/>
          <w:sz w:val="22"/>
          <w:szCs w:val="22"/>
        </w:rPr>
        <w:t xml:space="preserve"> </w:t>
      </w:r>
      <w:r w:rsidR="0097337D" w:rsidRPr="00FE1270">
        <w:rPr>
          <w:rFonts w:ascii="Arial" w:hAnsi="Arial" w:cs="Arial"/>
          <w:noProof/>
          <w:sz w:val="22"/>
          <w:szCs w:val="22"/>
        </w:rPr>
        <w:t xml:space="preserve">odgovarajućim </w:t>
      </w:r>
      <w:r w:rsidRPr="00FE1270">
        <w:rPr>
          <w:rFonts w:ascii="Arial" w:hAnsi="Arial" w:cs="Arial"/>
          <w:noProof/>
          <w:sz w:val="22"/>
          <w:szCs w:val="22"/>
        </w:rPr>
        <w:t>obvezama na računima 23956 i 23958</w:t>
      </w:r>
      <w:r w:rsidR="00E718D3" w:rsidRPr="00FE1270">
        <w:rPr>
          <w:rFonts w:ascii="Arial" w:hAnsi="Arial" w:cs="Arial"/>
          <w:noProof/>
          <w:sz w:val="22"/>
          <w:szCs w:val="22"/>
        </w:rPr>
        <w:t>)</w:t>
      </w:r>
      <w:r w:rsidR="00526B5E" w:rsidRPr="00FE1270">
        <w:rPr>
          <w:rFonts w:ascii="Arial" w:hAnsi="Arial" w:cs="Arial"/>
          <w:noProof/>
          <w:sz w:val="22"/>
          <w:szCs w:val="22"/>
        </w:rPr>
        <w:t>.</w:t>
      </w:r>
      <w:r w:rsidR="00611C61" w:rsidRPr="00FE1270">
        <w:rPr>
          <w:rFonts w:ascii="Arial" w:hAnsi="Arial" w:cs="Arial"/>
          <w:noProof/>
          <w:sz w:val="22"/>
          <w:szCs w:val="22"/>
        </w:rPr>
        <w:t xml:space="preserve"> </w:t>
      </w:r>
      <w:r w:rsidR="00526B5E" w:rsidRPr="00FE1270">
        <w:rPr>
          <w:rFonts w:ascii="Arial" w:hAnsi="Arial" w:cs="Arial"/>
          <w:noProof/>
          <w:sz w:val="22"/>
          <w:szCs w:val="22"/>
        </w:rPr>
        <w:t>U</w:t>
      </w:r>
      <w:r w:rsidRPr="00FE1270">
        <w:rPr>
          <w:rFonts w:ascii="Arial" w:hAnsi="Arial" w:cs="Arial"/>
          <w:noProof/>
          <w:sz w:val="22"/>
          <w:szCs w:val="22"/>
        </w:rPr>
        <w:t xml:space="preserve">kupno </w:t>
      </w:r>
      <w:r w:rsidR="00526B5E" w:rsidRPr="00FE1270">
        <w:rPr>
          <w:rFonts w:ascii="Arial" w:hAnsi="Arial" w:cs="Arial"/>
          <w:noProof/>
          <w:sz w:val="22"/>
          <w:szCs w:val="22"/>
        </w:rPr>
        <w:t xml:space="preserve">je </w:t>
      </w:r>
      <w:r w:rsidRPr="00FE1270">
        <w:rPr>
          <w:rFonts w:ascii="Arial" w:hAnsi="Arial" w:cs="Arial"/>
          <w:noProof/>
          <w:sz w:val="22"/>
          <w:szCs w:val="22"/>
        </w:rPr>
        <w:t>s</w:t>
      </w:r>
      <w:r w:rsidR="00AD64D2" w:rsidRPr="00FE1270">
        <w:rPr>
          <w:rFonts w:ascii="Arial" w:hAnsi="Arial" w:cs="Arial"/>
          <w:noProof/>
          <w:sz w:val="22"/>
          <w:szCs w:val="22"/>
        </w:rPr>
        <w:t>a</w:t>
      </w:r>
      <w:r w:rsidRPr="00FE1270">
        <w:rPr>
          <w:rFonts w:ascii="Arial" w:hAnsi="Arial" w:cs="Arial"/>
          <w:noProof/>
          <w:sz w:val="22"/>
          <w:szCs w:val="22"/>
        </w:rPr>
        <w:t xml:space="preserve"> </w:t>
      </w:r>
      <w:r w:rsidR="0093428B" w:rsidRPr="00FE1270">
        <w:rPr>
          <w:rFonts w:ascii="Arial" w:hAnsi="Arial" w:cs="Arial"/>
          <w:noProof/>
          <w:sz w:val="22"/>
          <w:szCs w:val="22"/>
        </w:rPr>
        <w:t>računa</w:t>
      </w:r>
      <w:r w:rsidR="00013055" w:rsidRPr="00FE1270">
        <w:rPr>
          <w:rFonts w:ascii="Arial" w:hAnsi="Arial" w:cs="Arial"/>
          <w:noProof/>
          <w:sz w:val="22"/>
          <w:szCs w:val="22"/>
        </w:rPr>
        <w:t xml:space="preserve"> potraživanja </w:t>
      </w:r>
      <w:r w:rsidRPr="00FE1270">
        <w:rPr>
          <w:rFonts w:ascii="Arial" w:hAnsi="Arial" w:cs="Arial"/>
          <w:noProof/>
          <w:sz w:val="22"/>
          <w:szCs w:val="22"/>
        </w:rPr>
        <w:t xml:space="preserve">16721 </w:t>
      </w:r>
      <w:r w:rsidR="00013055" w:rsidRPr="00FE1270">
        <w:rPr>
          <w:rFonts w:ascii="Arial" w:hAnsi="Arial" w:cs="Arial"/>
          <w:noProof/>
          <w:sz w:val="22"/>
          <w:szCs w:val="22"/>
        </w:rPr>
        <w:t xml:space="preserve">eliminirano </w:t>
      </w:r>
      <w:r w:rsidR="00FB6C58" w:rsidRPr="00FE1270">
        <w:rPr>
          <w:rFonts w:ascii="Arial" w:hAnsi="Arial" w:cs="Arial"/>
          <w:noProof/>
          <w:sz w:val="22"/>
          <w:szCs w:val="22"/>
        </w:rPr>
        <w:t>2.838.008,38</w:t>
      </w:r>
      <w:r w:rsidR="000658B4" w:rsidRPr="00FE1270">
        <w:rPr>
          <w:rFonts w:ascii="Arial" w:hAnsi="Arial" w:cs="Arial"/>
          <w:noProof/>
          <w:sz w:val="22"/>
          <w:szCs w:val="22"/>
        </w:rPr>
        <w:t xml:space="preserve"> eura</w:t>
      </w:r>
      <w:r w:rsidR="00F44DED" w:rsidRPr="00FE1270">
        <w:rPr>
          <w:rFonts w:ascii="Arial" w:hAnsi="Arial" w:cs="Arial"/>
          <w:noProof/>
          <w:sz w:val="22"/>
          <w:szCs w:val="22"/>
        </w:rPr>
        <w:t>, a</w:t>
      </w:r>
      <w:r w:rsidRPr="00FE1270">
        <w:rPr>
          <w:rFonts w:ascii="Arial" w:hAnsi="Arial" w:cs="Arial"/>
          <w:noProof/>
          <w:sz w:val="22"/>
          <w:szCs w:val="22"/>
        </w:rPr>
        <w:t xml:space="preserve"> s </w:t>
      </w:r>
      <w:r w:rsidR="0093428B" w:rsidRPr="00FE1270">
        <w:rPr>
          <w:rFonts w:ascii="Arial" w:hAnsi="Arial" w:cs="Arial"/>
          <w:noProof/>
          <w:sz w:val="22"/>
          <w:szCs w:val="22"/>
        </w:rPr>
        <w:t>računa</w:t>
      </w:r>
      <w:r w:rsidR="00AD64D2" w:rsidRPr="00FE1270">
        <w:rPr>
          <w:rFonts w:ascii="Arial" w:hAnsi="Arial" w:cs="Arial"/>
          <w:noProof/>
          <w:sz w:val="22"/>
          <w:szCs w:val="22"/>
        </w:rPr>
        <w:t xml:space="preserve"> podskupine </w:t>
      </w:r>
      <w:r w:rsidRPr="00FE1270">
        <w:rPr>
          <w:rFonts w:ascii="Arial" w:hAnsi="Arial" w:cs="Arial"/>
          <w:noProof/>
          <w:sz w:val="22"/>
          <w:szCs w:val="22"/>
        </w:rPr>
        <w:t>129</w:t>
      </w:r>
      <w:r w:rsidR="00013055" w:rsidRPr="00FE1270">
        <w:rPr>
          <w:rFonts w:ascii="Arial" w:hAnsi="Arial" w:cs="Arial"/>
          <w:noProof/>
          <w:sz w:val="22"/>
          <w:szCs w:val="22"/>
        </w:rPr>
        <w:t>,</w:t>
      </w:r>
      <w:r w:rsidRPr="00FE1270">
        <w:rPr>
          <w:rFonts w:ascii="Arial" w:hAnsi="Arial" w:cs="Arial"/>
          <w:noProof/>
          <w:sz w:val="22"/>
          <w:szCs w:val="22"/>
        </w:rPr>
        <w:t xml:space="preserve"> </w:t>
      </w:r>
      <w:r w:rsidR="00FB6C58" w:rsidRPr="00FE1270">
        <w:rPr>
          <w:rFonts w:ascii="Arial" w:hAnsi="Arial" w:cs="Arial"/>
          <w:noProof/>
          <w:sz w:val="22"/>
          <w:szCs w:val="22"/>
        </w:rPr>
        <w:t>227.931,34</w:t>
      </w:r>
      <w:r w:rsidR="006A1E44" w:rsidRPr="00FE1270">
        <w:rPr>
          <w:rFonts w:ascii="Arial" w:hAnsi="Arial" w:cs="Arial"/>
          <w:noProof/>
          <w:sz w:val="22"/>
          <w:szCs w:val="22"/>
        </w:rPr>
        <w:t xml:space="preserve"> </w:t>
      </w:r>
      <w:r w:rsidR="000658B4" w:rsidRPr="00FE1270">
        <w:rPr>
          <w:rFonts w:ascii="Arial" w:hAnsi="Arial" w:cs="Arial"/>
          <w:noProof/>
          <w:sz w:val="22"/>
          <w:szCs w:val="22"/>
        </w:rPr>
        <w:t>eur</w:t>
      </w:r>
      <w:r w:rsidR="00526B5E" w:rsidRPr="00FE1270">
        <w:rPr>
          <w:rFonts w:ascii="Arial" w:hAnsi="Arial" w:cs="Arial"/>
          <w:noProof/>
          <w:sz w:val="22"/>
          <w:szCs w:val="22"/>
        </w:rPr>
        <w:t>a</w:t>
      </w:r>
      <w:r w:rsidRPr="00FE1270">
        <w:rPr>
          <w:rFonts w:ascii="Arial" w:hAnsi="Arial" w:cs="Arial"/>
          <w:noProof/>
          <w:sz w:val="22"/>
          <w:szCs w:val="22"/>
        </w:rPr>
        <w:t>).</w:t>
      </w:r>
      <w:r w:rsidR="00AA6145" w:rsidRPr="00FE1270">
        <w:rPr>
          <w:rFonts w:ascii="Arial" w:hAnsi="Arial" w:cs="Arial"/>
          <w:noProof/>
          <w:sz w:val="22"/>
          <w:szCs w:val="22"/>
        </w:rPr>
        <w:t xml:space="preserve"> Osim </w:t>
      </w:r>
      <w:r w:rsidR="0006208A" w:rsidRPr="00FE1270">
        <w:rPr>
          <w:rFonts w:ascii="Arial" w:hAnsi="Arial" w:cs="Arial"/>
          <w:noProof/>
          <w:sz w:val="22"/>
          <w:szCs w:val="22"/>
        </w:rPr>
        <w:t>navedenog,</w:t>
      </w:r>
      <w:r w:rsidR="00AA6145" w:rsidRPr="00FE1270">
        <w:rPr>
          <w:rFonts w:ascii="Arial" w:hAnsi="Arial" w:cs="Arial"/>
          <w:noProof/>
          <w:sz w:val="22"/>
          <w:szCs w:val="22"/>
        </w:rPr>
        <w:t xml:space="preserve"> eliminirani su i iznosi </w:t>
      </w:r>
      <w:r w:rsidR="0006208A" w:rsidRPr="00FE1270">
        <w:rPr>
          <w:rFonts w:ascii="Arial" w:hAnsi="Arial" w:cs="Arial"/>
          <w:noProof/>
          <w:sz w:val="22"/>
          <w:szCs w:val="22"/>
        </w:rPr>
        <w:t xml:space="preserve">međusobnih potraživanja i obveza Grada i </w:t>
      </w:r>
      <w:r w:rsidR="009D7CF4" w:rsidRPr="00FE1270">
        <w:rPr>
          <w:rFonts w:ascii="Arial" w:hAnsi="Arial" w:cs="Arial"/>
          <w:noProof/>
          <w:sz w:val="22"/>
          <w:szCs w:val="22"/>
        </w:rPr>
        <w:t xml:space="preserve">APOS-a </w:t>
      </w:r>
      <w:r w:rsidR="009238E2" w:rsidRPr="00FE1270">
        <w:rPr>
          <w:rFonts w:ascii="Arial" w:hAnsi="Arial" w:cs="Arial"/>
          <w:noProof/>
          <w:sz w:val="22"/>
          <w:szCs w:val="22"/>
        </w:rPr>
        <w:t xml:space="preserve">na </w:t>
      </w:r>
      <w:r w:rsidR="00E43043">
        <w:rPr>
          <w:rFonts w:ascii="Arial" w:hAnsi="Arial" w:cs="Arial"/>
          <w:noProof/>
          <w:sz w:val="22"/>
          <w:szCs w:val="22"/>
        </w:rPr>
        <w:t>računima</w:t>
      </w:r>
      <w:r w:rsidR="009238E2" w:rsidRPr="00FE1270">
        <w:rPr>
          <w:rFonts w:ascii="Arial" w:hAnsi="Arial" w:cs="Arial"/>
          <w:noProof/>
          <w:sz w:val="22"/>
          <w:szCs w:val="22"/>
        </w:rPr>
        <w:t xml:space="preserve"> 1373</w:t>
      </w:r>
      <w:r w:rsidR="00301522" w:rsidRPr="00FE1270">
        <w:rPr>
          <w:rFonts w:ascii="Arial" w:hAnsi="Arial" w:cs="Arial"/>
          <w:noProof/>
          <w:sz w:val="22"/>
          <w:szCs w:val="22"/>
        </w:rPr>
        <w:t>-APOS</w:t>
      </w:r>
      <w:r w:rsidR="009238E2" w:rsidRPr="00FE1270">
        <w:rPr>
          <w:rFonts w:ascii="Arial" w:hAnsi="Arial" w:cs="Arial"/>
          <w:noProof/>
          <w:sz w:val="22"/>
          <w:szCs w:val="22"/>
        </w:rPr>
        <w:t xml:space="preserve"> i 2673</w:t>
      </w:r>
      <w:r w:rsidR="00301522" w:rsidRPr="00FE1270">
        <w:rPr>
          <w:rFonts w:ascii="Arial" w:hAnsi="Arial" w:cs="Arial"/>
          <w:noProof/>
          <w:sz w:val="22"/>
          <w:szCs w:val="22"/>
        </w:rPr>
        <w:t>-Grad</w:t>
      </w:r>
      <w:r w:rsidR="0001445B" w:rsidRPr="00FE1270">
        <w:rPr>
          <w:rFonts w:ascii="Arial" w:hAnsi="Arial" w:cs="Arial"/>
          <w:noProof/>
          <w:sz w:val="22"/>
          <w:szCs w:val="22"/>
        </w:rPr>
        <w:t xml:space="preserve"> </w:t>
      </w:r>
      <w:r w:rsidR="00F44DED" w:rsidRPr="00FE1270">
        <w:rPr>
          <w:rFonts w:ascii="Arial" w:hAnsi="Arial" w:cs="Arial"/>
          <w:noProof/>
          <w:sz w:val="22"/>
          <w:szCs w:val="22"/>
        </w:rPr>
        <w:t xml:space="preserve">u iznosu od </w:t>
      </w:r>
      <w:r w:rsidR="00092859" w:rsidRPr="00FE1270">
        <w:rPr>
          <w:rFonts w:ascii="Arial" w:hAnsi="Arial" w:cs="Arial"/>
          <w:noProof/>
          <w:sz w:val="22"/>
          <w:szCs w:val="22"/>
        </w:rPr>
        <w:t xml:space="preserve">988.043,65 </w:t>
      </w:r>
      <w:r w:rsidR="000658B4" w:rsidRPr="00FE1270">
        <w:rPr>
          <w:rFonts w:ascii="Arial" w:hAnsi="Arial" w:cs="Arial"/>
          <w:noProof/>
          <w:sz w:val="22"/>
          <w:szCs w:val="22"/>
        </w:rPr>
        <w:t>eura</w:t>
      </w:r>
      <w:r w:rsidR="00013055" w:rsidRPr="00FE1270">
        <w:rPr>
          <w:rFonts w:ascii="Arial" w:hAnsi="Arial" w:cs="Arial"/>
          <w:noProof/>
          <w:sz w:val="22"/>
          <w:szCs w:val="22"/>
        </w:rPr>
        <w:t xml:space="preserve"> (radi se o </w:t>
      </w:r>
      <w:r w:rsidR="00AD2929" w:rsidRPr="00FE1270">
        <w:rPr>
          <w:rFonts w:ascii="Arial" w:hAnsi="Arial" w:cs="Arial"/>
          <w:noProof/>
          <w:sz w:val="22"/>
          <w:szCs w:val="22"/>
        </w:rPr>
        <w:t>robn</w:t>
      </w:r>
      <w:r w:rsidR="00013055" w:rsidRPr="00FE1270">
        <w:rPr>
          <w:rFonts w:ascii="Arial" w:hAnsi="Arial" w:cs="Arial"/>
          <w:noProof/>
          <w:sz w:val="22"/>
          <w:szCs w:val="22"/>
        </w:rPr>
        <w:t>om</w:t>
      </w:r>
      <w:r w:rsidR="00AD2929" w:rsidRPr="00FE1270">
        <w:rPr>
          <w:rFonts w:ascii="Arial" w:hAnsi="Arial" w:cs="Arial"/>
          <w:noProof/>
          <w:sz w:val="22"/>
          <w:szCs w:val="22"/>
        </w:rPr>
        <w:t xml:space="preserve"> zajm</w:t>
      </w:r>
      <w:r w:rsidR="00013055" w:rsidRPr="00FE1270">
        <w:rPr>
          <w:rFonts w:ascii="Arial" w:hAnsi="Arial" w:cs="Arial"/>
          <w:noProof/>
          <w:sz w:val="22"/>
          <w:szCs w:val="22"/>
        </w:rPr>
        <w:t>u</w:t>
      </w:r>
      <w:r w:rsidR="00AD2929" w:rsidRPr="00FE1270">
        <w:rPr>
          <w:rFonts w:ascii="Arial" w:hAnsi="Arial" w:cs="Arial"/>
          <w:noProof/>
          <w:sz w:val="22"/>
          <w:szCs w:val="22"/>
        </w:rPr>
        <w:t xml:space="preserve"> za kupnju dviju stambenih zgrada na </w:t>
      </w:r>
      <w:r w:rsidR="00600881" w:rsidRPr="00FE1270">
        <w:rPr>
          <w:rFonts w:ascii="Arial" w:hAnsi="Arial" w:cs="Arial"/>
          <w:noProof/>
          <w:sz w:val="22"/>
          <w:szCs w:val="22"/>
        </w:rPr>
        <w:t xml:space="preserve">POS </w:t>
      </w:r>
      <w:r w:rsidR="00AD2929" w:rsidRPr="00FE1270">
        <w:rPr>
          <w:rFonts w:ascii="Arial" w:hAnsi="Arial" w:cs="Arial"/>
          <w:noProof/>
          <w:sz w:val="22"/>
          <w:szCs w:val="22"/>
        </w:rPr>
        <w:t>Rujevic</w:t>
      </w:r>
      <w:r w:rsidR="00600881" w:rsidRPr="00FE1270">
        <w:rPr>
          <w:rFonts w:ascii="Arial" w:hAnsi="Arial" w:cs="Arial"/>
          <w:noProof/>
          <w:sz w:val="22"/>
          <w:szCs w:val="22"/>
        </w:rPr>
        <w:t>a I faza</w:t>
      </w:r>
      <w:r w:rsidR="00AD2929" w:rsidRPr="00FE1270">
        <w:rPr>
          <w:rFonts w:ascii="Arial" w:hAnsi="Arial" w:cs="Arial"/>
          <w:noProof/>
          <w:sz w:val="22"/>
          <w:szCs w:val="22"/>
        </w:rPr>
        <w:t>)</w:t>
      </w:r>
      <w:r w:rsidR="0036560D" w:rsidRPr="00FE1270">
        <w:rPr>
          <w:rFonts w:ascii="Arial" w:hAnsi="Arial" w:cs="Arial"/>
          <w:noProof/>
          <w:sz w:val="22"/>
          <w:szCs w:val="22"/>
        </w:rPr>
        <w:t xml:space="preserve"> i </w:t>
      </w:r>
      <w:r w:rsidR="00575568" w:rsidRPr="00FE1270">
        <w:rPr>
          <w:rFonts w:ascii="Arial" w:hAnsi="Arial" w:cs="Arial"/>
          <w:noProof/>
          <w:sz w:val="22"/>
          <w:szCs w:val="22"/>
        </w:rPr>
        <w:t xml:space="preserve">na </w:t>
      </w:r>
      <w:r w:rsidR="00E43043">
        <w:rPr>
          <w:rFonts w:ascii="Arial" w:hAnsi="Arial" w:cs="Arial"/>
          <w:noProof/>
          <w:sz w:val="22"/>
          <w:szCs w:val="22"/>
        </w:rPr>
        <w:t>računima</w:t>
      </w:r>
      <w:r w:rsidR="00575568" w:rsidRPr="00FE1270">
        <w:rPr>
          <w:rFonts w:ascii="Arial" w:hAnsi="Arial" w:cs="Arial"/>
          <w:noProof/>
          <w:sz w:val="22"/>
          <w:szCs w:val="22"/>
        </w:rPr>
        <w:t xml:space="preserve"> </w:t>
      </w:r>
      <w:r w:rsidR="0001445B" w:rsidRPr="00FE1270">
        <w:rPr>
          <w:rFonts w:ascii="Arial" w:hAnsi="Arial" w:cs="Arial"/>
          <w:noProof/>
          <w:sz w:val="22"/>
          <w:szCs w:val="22"/>
        </w:rPr>
        <w:t>2673</w:t>
      </w:r>
      <w:r w:rsidR="00301522" w:rsidRPr="00FE1270">
        <w:rPr>
          <w:rFonts w:ascii="Arial" w:hAnsi="Arial" w:cs="Arial"/>
          <w:noProof/>
          <w:sz w:val="22"/>
          <w:szCs w:val="22"/>
        </w:rPr>
        <w:t>-APOS</w:t>
      </w:r>
      <w:r w:rsidR="0001445B" w:rsidRPr="00FE1270">
        <w:rPr>
          <w:rFonts w:ascii="Arial" w:hAnsi="Arial" w:cs="Arial"/>
          <w:noProof/>
          <w:sz w:val="22"/>
          <w:szCs w:val="22"/>
        </w:rPr>
        <w:t xml:space="preserve"> </w:t>
      </w:r>
      <w:r w:rsidR="0036560D" w:rsidRPr="00FE1270">
        <w:rPr>
          <w:rFonts w:ascii="Arial" w:hAnsi="Arial" w:cs="Arial"/>
          <w:noProof/>
          <w:sz w:val="22"/>
          <w:szCs w:val="22"/>
        </w:rPr>
        <w:t>i 1373</w:t>
      </w:r>
      <w:r w:rsidR="00301522" w:rsidRPr="00FE1270">
        <w:rPr>
          <w:rFonts w:ascii="Arial" w:hAnsi="Arial" w:cs="Arial"/>
          <w:noProof/>
          <w:sz w:val="22"/>
          <w:szCs w:val="22"/>
        </w:rPr>
        <w:t>-Grad</w:t>
      </w:r>
      <w:r w:rsidR="00596027" w:rsidRPr="00FE1270">
        <w:rPr>
          <w:rFonts w:ascii="Arial" w:hAnsi="Arial" w:cs="Arial"/>
          <w:noProof/>
          <w:sz w:val="22"/>
          <w:szCs w:val="22"/>
        </w:rPr>
        <w:t xml:space="preserve"> </w:t>
      </w:r>
      <w:r w:rsidR="00F44DED" w:rsidRPr="00FE1270">
        <w:rPr>
          <w:rFonts w:ascii="Arial" w:hAnsi="Arial" w:cs="Arial"/>
          <w:noProof/>
          <w:sz w:val="22"/>
          <w:szCs w:val="22"/>
        </w:rPr>
        <w:t xml:space="preserve">u iznosu od </w:t>
      </w:r>
      <w:r w:rsidR="00092859" w:rsidRPr="00FE1270">
        <w:rPr>
          <w:rFonts w:ascii="Arial" w:hAnsi="Arial" w:cs="Arial"/>
          <w:noProof/>
          <w:sz w:val="22"/>
          <w:szCs w:val="22"/>
        </w:rPr>
        <w:t>1.262.136,73</w:t>
      </w:r>
      <w:r w:rsidR="000658B4" w:rsidRPr="00FE1270">
        <w:rPr>
          <w:rFonts w:ascii="Arial" w:hAnsi="Arial" w:cs="Arial"/>
          <w:noProof/>
          <w:sz w:val="22"/>
          <w:szCs w:val="22"/>
        </w:rPr>
        <w:t xml:space="preserve"> eura</w:t>
      </w:r>
      <w:r w:rsidR="00600881" w:rsidRPr="00FE1270">
        <w:rPr>
          <w:rFonts w:ascii="Arial" w:hAnsi="Arial" w:cs="Arial"/>
          <w:noProof/>
          <w:sz w:val="22"/>
          <w:szCs w:val="22"/>
        </w:rPr>
        <w:t xml:space="preserve"> (</w:t>
      </w:r>
      <w:r w:rsidR="00013055" w:rsidRPr="00FE1270">
        <w:rPr>
          <w:rFonts w:ascii="Arial" w:hAnsi="Arial" w:cs="Arial"/>
          <w:noProof/>
          <w:sz w:val="22"/>
          <w:szCs w:val="22"/>
        </w:rPr>
        <w:t xml:space="preserve">radi se o </w:t>
      </w:r>
      <w:r w:rsidR="00600881" w:rsidRPr="00FE1270">
        <w:rPr>
          <w:rFonts w:ascii="Arial" w:hAnsi="Arial" w:cs="Arial"/>
          <w:noProof/>
          <w:sz w:val="22"/>
          <w:szCs w:val="22"/>
        </w:rPr>
        <w:t>ulaganj</w:t>
      </w:r>
      <w:r w:rsidR="00013055" w:rsidRPr="00FE1270">
        <w:rPr>
          <w:rFonts w:ascii="Arial" w:hAnsi="Arial" w:cs="Arial"/>
          <w:noProof/>
          <w:sz w:val="22"/>
          <w:szCs w:val="22"/>
        </w:rPr>
        <w:t>ima</w:t>
      </w:r>
      <w:r w:rsidR="00600881" w:rsidRPr="00FE1270">
        <w:rPr>
          <w:rFonts w:ascii="Arial" w:hAnsi="Arial" w:cs="Arial"/>
          <w:noProof/>
          <w:sz w:val="22"/>
          <w:szCs w:val="22"/>
        </w:rPr>
        <w:t xml:space="preserve"> Grada Rijeke </w:t>
      </w:r>
      <w:r w:rsidR="00013055" w:rsidRPr="00FE1270">
        <w:rPr>
          <w:rFonts w:ascii="Arial" w:hAnsi="Arial" w:cs="Arial"/>
          <w:noProof/>
          <w:sz w:val="22"/>
          <w:szCs w:val="22"/>
        </w:rPr>
        <w:t xml:space="preserve">u </w:t>
      </w:r>
      <w:r w:rsidR="00E43043">
        <w:rPr>
          <w:rFonts w:ascii="Arial" w:hAnsi="Arial" w:cs="Arial"/>
          <w:noProof/>
          <w:sz w:val="22"/>
          <w:szCs w:val="22"/>
        </w:rPr>
        <w:t xml:space="preserve">društveno </w:t>
      </w:r>
      <w:r w:rsidR="00013055" w:rsidRPr="00FE1270">
        <w:rPr>
          <w:rFonts w:ascii="Arial" w:hAnsi="Arial" w:cs="Arial"/>
          <w:noProof/>
          <w:sz w:val="22"/>
          <w:szCs w:val="22"/>
        </w:rPr>
        <w:t>poticanu stanogradnju za</w:t>
      </w:r>
      <w:r w:rsidR="00600881" w:rsidRPr="00FE1270">
        <w:rPr>
          <w:rFonts w:ascii="Arial" w:hAnsi="Arial" w:cs="Arial"/>
          <w:noProof/>
          <w:sz w:val="22"/>
          <w:szCs w:val="22"/>
        </w:rPr>
        <w:t xml:space="preserve"> projekt POS Rujevica II faza, POS Donja Drenova</w:t>
      </w:r>
      <w:r w:rsidR="00037A0E" w:rsidRPr="00FE1270">
        <w:rPr>
          <w:rFonts w:ascii="Arial" w:hAnsi="Arial" w:cs="Arial"/>
          <w:noProof/>
          <w:sz w:val="22"/>
          <w:szCs w:val="22"/>
        </w:rPr>
        <w:t>,</w:t>
      </w:r>
      <w:r w:rsidR="00301522" w:rsidRPr="00FE1270">
        <w:rPr>
          <w:rFonts w:ascii="Arial" w:hAnsi="Arial" w:cs="Arial"/>
          <w:noProof/>
          <w:sz w:val="22"/>
          <w:szCs w:val="22"/>
        </w:rPr>
        <w:t xml:space="preserve"> </w:t>
      </w:r>
      <w:r w:rsidR="00B420ED" w:rsidRPr="00FE1270">
        <w:rPr>
          <w:rFonts w:ascii="Arial" w:hAnsi="Arial" w:cs="Arial"/>
          <w:noProof/>
          <w:sz w:val="22"/>
          <w:szCs w:val="22"/>
        </w:rPr>
        <w:t xml:space="preserve">POS Hostov breg </w:t>
      </w:r>
      <w:r w:rsidR="003906DF" w:rsidRPr="00FE1270">
        <w:rPr>
          <w:rFonts w:ascii="Arial" w:hAnsi="Arial" w:cs="Arial"/>
          <w:noProof/>
          <w:sz w:val="22"/>
          <w:szCs w:val="22"/>
        </w:rPr>
        <w:t>I faza</w:t>
      </w:r>
      <w:r w:rsidR="00F17649" w:rsidRPr="00FE1270">
        <w:rPr>
          <w:rFonts w:ascii="Arial" w:hAnsi="Arial" w:cs="Arial"/>
          <w:noProof/>
          <w:sz w:val="22"/>
          <w:szCs w:val="22"/>
        </w:rPr>
        <w:t xml:space="preserve">, </w:t>
      </w:r>
      <w:r w:rsidR="00013055" w:rsidRPr="00FE1270">
        <w:rPr>
          <w:rFonts w:ascii="Arial" w:hAnsi="Arial" w:cs="Arial"/>
          <w:noProof/>
          <w:sz w:val="22"/>
          <w:szCs w:val="22"/>
        </w:rPr>
        <w:t>POS Martinkovac I faza</w:t>
      </w:r>
      <w:r w:rsidR="00F17649" w:rsidRPr="00FE1270">
        <w:rPr>
          <w:rFonts w:ascii="Arial" w:hAnsi="Arial" w:cs="Arial"/>
          <w:noProof/>
          <w:sz w:val="22"/>
          <w:szCs w:val="22"/>
        </w:rPr>
        <w:t xml:space="preserve"> i POS Zamet</w:t>
      </w:r>
      <w:r w:rsidR="00B420ED" w:rsidRPr="00FE1270">
        <w:rPr>
          <w:rFonts w:ascii="Arial" w:hAnsi="Arial" w:cs="Arial"/>
          <w:noProof/>
          <w:sz w:val="22"/>
          <w:szCs w:val="22"/>
        </w:rPr>
        <w:t>)</w:t>
      </w:r>
      <w:r w:rsidR="006A255D" w:rsidRPr="00FE1270">
        <w:rPr>
          <w:rFonts w:ascii="Arial" w:hAnsi="Arial" w:cs="Arial"/>
          <w:noProof/>
          <w:sz w:val="22"/>
          <w:szCs w:val="22"/>
        </w:rPr>
        <w:t>.</w:t>
      </w:r>
    </w:p>
    <w:p w:rsidR="00D226B8" w:rsidRPr="00FE1270" w:rsidRDefault="00D226B8" w:rsidP="00526437">
      <w:pPr>
        <w:jc w:val="both"/>
        <w:rPr>
          <w:rFonts w:ascii="Arial" w:hAnsi="Arial" w:cs="Arial"/>
          <w:noProof/>
          <w:sz w:val="22"/>
          <w:szCs w:val="22"/>
        </w:rPr>
      </w:pPr>
    </w:p>
    <w:p w:rsidR="00383F6A" w:rsidRPr="00FE1270" w:rsidRDefault="00730699" w:rsidP="00383F6A">
      <w:pPr>
        <w:jc w:val="both"/>
        <w:rPr>
          <w:rFonts w:ascii="Arial" w:hAnsi="Arial" w:cs="Arial"/>
          <w:noProof/>
          <w:sz w:val="22"/>
          <w:szCs w:val="22"/>
        </w:rPr>
      </w:pPr>
      <w:r w:rsidRPr="00FE1270">
        <w:rPr>
          <w:rFonts w:ascii="Arial" w:hAnsi="Arial" w:cs="Arial"/>
          <w:noProof/>
          <w:sz w:val="22"/>
          <w:szCs w:val="22"/>
        </w:rPr>
        <w:t>Vrijednost f</w:t>
      </w:r>
      <w:r w:rsidR="0079130F" w:rsidRPr="00FE1270">
        <w:rPr>
          <w:rFonts w:ascii="Arial" w:hAnsi="Arial" w:cs="Arial"/>
          <w:noProof/>
          <w:sz w:val="22"/>
          <w:szCs w:val="22"/>
        </w:rPr>
        <w:t>inancijsk</w:t>
      </w:r>
      <w:r w:rsidRPr="00FE1270">
        <w:rPr>
          <w:rFonts w:ascii="Arial" w:hAnsi="Arial" w:cs="Arial"/>
          <w:noProof/>
          <w:sz w:val="22"/>
          <w:szCs w:val="22"/>
        </w:rPr>
        <w:t>e</w:t>
      </w:r>
      <w:r w:rsidR="0079130F" w:rsidRPr="00FE1270">
        <w:rPr>
          <w:rFonts w:ascii="Arial" w:hAnsi="Arial" w:cs="Arial"/>
          <w:noProof/>
          <w:sz w:val="22"/>
          <w:szCs w:val="22"/>
        </w:rPr>
        <w:t xml:space="preserve"> imovin</w:t>
      </w:r>
      <w:r w:rsidRPr="00FE1270">
        <w:rPr>
          <w:rFonts w:ascii="Arial" w:hAnsi="Arial" w:cs="Arial"/>
          <w:noProof/>
          <w:sz w:val="22"/>
          <w:szCs w:val="22"/>
        </w:rPr>
        <w:t>e</w:t>
      </w:r>
      <w:r w:rsidR="0079130F" w:rsidRPr="00FE1270">
        <w:rPr>
          <w:rFonts w:ascii="Arial" w:hAnsi="Arial" w:cs="Arial"/>
          <w:noProof/>
          <w:sz w:val="22"/>
          <w:szCs w:val="22"/>
        </w:rPr>
        <w:t xml:space="preserve"> </w:t>
      </w:r>
      <w:r w:rsidR="006241C2" w:rsidRPr="00FE1270">
        <w:rPr>
          <w:rFonts w:ascii="Arial" w:hAnsi="Arial" w:cs="Arial"/>
          <w:noProof/>
          <w:sz w:val="22"/>
          <w:szCs w:val="22"/>
        </w:rPr>
        <w:t xml:space="preserve">konsolidirane grupe </w:t>
      </w:r>
      <w:r w:rsidR="00EC3C4D" w:rsidRPr="00FE1270">
        <w:rPr>
          <w:rFonts w:ascii="Arial" w:hAnsi="Arial" w:cs="Arial"/>
          <w:noProof/>
          <w:sz w:val="22"/>
          <w:szCs w:val="22"/>
        </w:rPr>
        <w:t xml:space="preserve">prije umanjenja/eliminacija </w:t>
      </w:r>
      <w:r w:rsidR="0079130F" w:rsidRPr="00FE1270">
        <w:rPr>
          <w:rFonts w:ascii="Arial" w:hAnsi="Arial" w:cs="Arial"/>
          <w:noProof/>
          <w:sz w:val="22"/>
          <w:szCs w:val="22"/>
        </w:rPr>
        <w:t xml:space="preserve">iznosi </w:t>
      </w:r>
      <w:r w:rsidR="00663F82" w:rsidRPr="00FE1270">
        <w:rPr>
          <w:rFonts w:ascii="Arial" w:hAnsi="Arial" w:cs="Arial"/>
          <w:noProof/>
          <w:sz w:val="22"/>
          <w:szCs w:val="22"/>
        </w:rPr>
        <w:t>221.704.926,23</w:t>
      </w:r>
      <w:r w:rsidR="006A1E44" w:rsidRPr="00FE1270">
        <w:rPr>
          <w:rFonts w:ascii="Arial" w:hAnsi="Arial" w:cs="Arial"/>
          <w:noProof/>
          <w:sz w:val="22"/>
          <w:szCs w:val="22"/>
        </w:rPr>
        <w:t xml:space="preserve"> eura</w:t>
      </w:r>
      <w:r w:rsidR="00EC3C4D" w:rsidRPr="00FE1270">
        <w:rPr>
          <w:rFonts w:ascii="Arial" w:hAnsi="Arial" w:cs="Arial"/>
          <w:noProof/>
          <w:sz w:val="22"/>
          <w:szCs w:val="22"/>
        </w:rPr>
        <w:t>, a nakon umanjenja/eliminacija i</w:t>
      </w:r>
      <w:r w:rsidR="006A1E44" w:rsidRPr="00FE1270">
        <w:rPr>
          <w:rFonts w:ascii="Arial" w:hAnsi="Arial" w:cs="Arial"/>
          <w:noProof/>
          <w:sz w:val="22"/>
          <w:szCs w:val="22"/>
        </w:rPr>
        <w:t xml:space="preserve">znosi </w:t>
      </w:r>
      <w:r w:rsidR="00663F82" w:rsidRPr="00FE1270">
        <w:rPr>
          <w:rFonts w:ascii="Arial" w:hAnsi="Arial" w:cs="Arial"/>
          <w:b/>
          <w:noProof/>
          <w:sz w:val="22"/>
          <w:szCs w:val="22"/>
        </w:rPr>
        <w:t>216.388.806,13</w:t>
      </w:r>
      <w:r w:rsidR="006A1E44" w:rsidRPr="00FE1270">
        <w:rPr>
          <w:rFonts w:ascii="Arial" w:hAnsi="Arial" w:cs="Arial"/>
          <w:noProof/>
          <w:sz w:val="22"/>
          <w:szCs w:val="22"/>
        </w:rPr>
        <w:t xml:space="preserve"> eura.</w:t>
      </w:r>
      <w:r w:rsidR="0079130F" w:rsidRPr="00FE1270">
        <w:rPr>
          <w:rFonts w:ascii="Arial" w:hAnsi="Arial" w:cs="Arial"/>
          <w:noProof/>
          <w:sz w:val="22"/>
          <w:szCs w:val="22"/>
        </w:rPr>
        <w:t xml:space="preserve"> </w:t>
      </w:r>
      <w:r w:rsidR="00FA386D" w:rsidRPr="00FE1270">
        <w:rPr>
          <w:rFonts w:ascii="Arial" w:hAnsi="Arial" w:cs="Arial"/>
          <w:noProof/>
          <w:sz w:val="22"/>
          <w:szCs w:val="22"/>
        </w:rPr>
        <w:t>V</w:t>
      </w:r>
      <w:r w:rsidR="00E42F79" w:rsidRPr="00FE1270">
        <w:rPr>
          <w:rFonts w:ascii="Arial" w:hAnsi="Arial" w:cs="Arial"/>
          <w:noProof/>
          <w:sz w:val="22"/>
          <w:szCs w:val="22"/>
        </w:rPr>
        <w:t xml:space="preserve">rijednost </w:t>
      </w:r>
      <w:r w:rsidR="002A7D64" w:rsidRPr="00FE1270">
        <w:rPr>
          <w:rFonts w:ascii="Arial" w:hAnsi="Arial" w:cs="Arial"/>
          <w:noProof/>
          <w:sz w:val="22"/>
          <w:szCs w:val="22"/>
        </w:rPr>
        <w:t>financijsk</w:t>
      </w:r>
      <w:r w:rsidR="00E42F79" w:rsidRPr="00FE1270">
        <w:rPr>
          <w:rFonts w:ascii="Arial" w:hAnsi="Arial" w:cs="Arial"/>
          <w:noProof/>
          <w:sz w:val="22"/>
          <w:szCs w:val="22"/>
        </w:rPr>
        <w:t>e</w:t>
      </w:r>
      <w:r w:rsidR="002A7D64" w:rsidRPr="00FE1270">
        <w:rPr>
          <w:rFonts w:ascii="Arial" w:hAnsi="Arial" w:cs="Arial"/>
          <w:noProof/>
          <w:sz w:val="22"/>
          <w:szCs w:val="22"/>
        </w:rPr>
        <w:t xml:space="preserve"> imovin</w:t>
      </w:r>
      <w:r w:rsidR="00E42F79" w:rsidRPr="00FE1270">
        <w:rPr>
          <w:rFonts w:ascii="Arial" w:hAnsi="Arial" w:cs="Arial"/>
          <w:noProof/>
          <w:sz w:val="22"/>
          <w:szCs w:val="22"/>
        </w:rPr>
        <w:t>e</w:t>
      </w:r>
      <w:r w:rsidR="002A7D64" w:rsidRPr="00FE1270">
        <w:rPr>
          <w:rFonts w:ascii="Arial" w:hAnsi="Arial" w:cs="Arial"/>
          <w:noProof/>
          <w:sz w:val="22"/>
          <w:szCs w:val="22"/>
        </w:rPr>
        <w:t xml:space="preserve"> </w:t>
      </w:r>
      <w:r w:rsidR="0079130F" w:rsidRPr="00FE1270">
        <w:rPr>
          <w:rFonts w:ascii="Arial" w:hAnsi="Arial" w:cs="Arial"/>
          <w:noProof/>
          <w:sz w:val="22"/>
          <w:szCs w:val="22"/>
        </w:rPr>
        <w:t>Grad</w:t>
      </w:r>
      <w:r w:rsidR="002A7D64" w:rsidRPr="00FE1270">
        <w:rPr>
          <w:rFonts w:ascii="Arial" w:hAnsi="Arial" w:cs="Arial"/>
          <w:noProof/>
          <w:sz w:val="22"/>
          <w:szCs w:val="22"/>
        </w:rPr>
        <w:t>a</w:t>
      </w:r>
      <w:r w:rsidR="0079130F" w:rsidRPr="00FE1270">
        <w:rPr>
          <w:rFonts w:ascii="Arial" w:hAnsi="Arial" w:cs="Arial"/>
          <w:noProof/>
          <w:sz w:val="22"/>
          <w:szCs w:val="22"/>
        </w:rPr>
        <w:t xml:space="preserve"> </w:t>
      </w:r>
      <w:r w:rsidRPr="00FE1270">
        <w:rPr>
          <w:rFonts w:ascii="Arial" w:hAnsi="Arial" w:cs="Arial"/>
          <w:noProof/>
          <w:sz w:val="22"/>
          <w:szCs w:val="22"/>
        </w:rPr>
        <w:t xml:space="preserve">iznosi </w:t>
      </w:r>
      <w:r w:rsidR="00663F82" w:rsidRPr="00FE1270">
        <w:rPr>
          <w:rFonts w:ascii="Arial" w:hAnsi="Arial" w:cs="Arial"/>
          <w:noProof/>
          <w:sz w:val="22"/>
          <w:szCs w:val="22"/>
        </w:rPr>
        <w:t>207.317.222,32</w:t>
      </w:r>
      <w:r w:rsidR="000E6673" w:rsidRPr="00FE1270">
        <w:rPr>
          <w:rFonts w:ascii="Arial" w:hAnsi="Arial" w:cs="Arial"/>
          <w:noProof/>
          <w:sz w:val="22"/>
          <w:szCs w:val="22"/>
        </w:rPr>
        <w:t xml:space="preserve"> eura</w:t>
      </w:r>
      <w:r w:rsidR="0079130F" w:rsidRPr="00FE1270">
        <w:rPr>
          <w:rFonts w:ascii="Arial" w:hAnsi="Arial" w:cs="Arial"/>
          <w:noProof/>
          <w:sz w:val="22"/>
          <w:szCs w:val="22"/>
        </w:rPr>
        <w:t xml:space="preserve"> ili </w:t>
      </w:r>
      <w:r w:rsidR="00FA386D" w:rsidRPr="00FE1270">
        <w:rPr>
          <w:rFonts w:ascii="Arial" w:hAnsi="Arial" w:cs="Arial"/>
          <w:noProof/>
          <w:sz w:val="22"/>
          <w:szCs w:val="22"/>
        </w:rPr>
        <w:t>95</w:t>
      </w:r>
      <w:r w:rsidR="00663F82" w:rsidRPr="00FE1270">
        <w:rPr>
          <w:rFonts w:ascii="Arial" w:hAnsi="Arial" w:cs="Arial"/>
          <w:noProof/>
          <w:sz w:val="22"/>
          <w:szCs w:val="22"/>
        </w:rPr>
        <w:t>,8</w:t>
      </w:r>
      <w:r w:rsidR="0079130F" w:rsidRPr="00FE1270">
        <w:rPr>
          <w:rFonts w:ascii="Arial" w:hAnsi="Arial" w:cs="Arial"/>
          <w:noProof/>
          <w:sz w:val="22"/>
          <w:szCs w:val="22"/>
        </w:rPr>
        <w:t xml:space="preserve">%, </w:t>
      </w:r>
      <w:r w:rsidRPr="00FE1270">
        <w:rPr>
          <w:rFonts w:ascii="Arial" w:hAnsi="Arial" w:cs="Arial"/>
          <w:noProof/>
          <w:sz w:val="22"/>
          <w:szCs w:val="22"/>
        </w:rPr>
        <w:t xml:space="preserve">a </w:t>
      </w:r>
      <w:r w:rsidR="00E42F79" w:rsidRPr="00FE1270">
        <w:rPr>
          <w:rFonts w:ascii="Arial" w:hAnsi="Arial" w:cs="Arial"/>
          <w:noProof/>
          <w:sz w:val="22"/>
          <w:szCs w:val="22"/>
        </w:rPr>
        <w:t xml:space="preserve">svih </w:t>
      </w:r>
      <w:r w:rsidR="0079130F" w:rsidRPr="00FE1270">
        <w:rPr>
          <w:rFonts w:ascii="Arial" w:hAnsi="Arial" w:cs="Arial"/>
          <w:noProof/>
          <w:sz w:val="22"/>
          <w:szCs w:val="22"/>
        </w:rPr>
        <w:t>korisnik</w:t>
      </w:r>
      <w:r w:rsidR="00E42F79" w:rsidRPr="00FE1270">
        <w:rPr>
          <w:rFonts w:ascii="Arial" w:hAnsi="Arial" w:cs="Arial"/>
          <w:noProof/>
          <w:sz w:val="22"/>
          <w:szCs w:val="22"/>
        </w:rPr>
        <w:t>a</w:t>
      </w:r>
      <w:r w:rsidR="0079130F" w:rsidRPr="00FE1270">
        <w:rPr>
          <w:rFonts w:ascii="Arial" w:hAnsi="Arial" w:cs="Arial"/>
          <w:noProof/>
          <w:sz w:val="22"/>
          <w:szCs w:val="22"/>
        </w:rPr>
        <w:t xml:space="preserve"> </w:t>
      </w:r>
      <w:r w:rsidR="00C43091" w:rsidRPr="00FE1270">
        <w:rPr>
          <w:rFonts w:ascii="Arial" w:hAnsi="Arial" w:cs="Arial"/>
          <w:noProof/>
          <w:sz w:val="22"/>
          <w:szCs w:val="22"/>
        </w:rPr>
        <w:t xml:space="preserve">ukupno </w:t>
      </w:r>
      <w:r w:rsidR="00663F82" w:rsidRPr="00FE1270">
        <w:rPr>
          <w:rFonts w:ascii="Arial" w:hAnsi="Arial" w:cs="Arial"/>
          <w:noProof/>
          <w:sz w:val="22"/>
          <w:szCs w:val="22"/>
        </w:rPr>
        <w:t>9.071.583,81</w:t>
      </w:r>
      <w:r w:rsidR="0079130F" w:rsidRPr="00FE1270">
        <w:rPr>
          <w:rFonts w:ascii="Arial" w:hAnsi="Arial" w:cs="Arial"/>
          <w:noProof/>
          <w:sz w:val="22"/>
          <w:szCs w:val="22"/>
        </w:rPr>
        <w:t xml:space="preserve"> </w:t>
      </w:r>
      <w:r w:rsidR="00FA386D" w:rsidRPr="00FE1270">
        <w:rPr>
          <w:rFonts w:ascii="Arial" w:hAnsi="Arial" w:cs="Arial"/>
          <w:noProof/>
          <w:sz w:val="22"/>
          <w:szCs w:val="22"/>
        </w:rPr>
        <w:t>euro</w:t>
      </w:r>
      <w:r w:rsidR="0079130F" w:rsidRPr="00FE1270">
        <w:rPr>
          <w:rFonts w:ascii="Arial" w:hAnsi="Arial" w:cs="Arial"/>
          <w:noProof/>
          <w:sz w:val="22"/>
          <w:szCs w:val="22"/>
        </w:rPr>
        <w:t xml:space="preserve"> ili </w:t>
      </w:r>
      <w:r w:rsidR="00663F82" w:rsidRPr="00FE1270">
        <w:rPr>
          <w:rFonts w:ascii="Arial" w:hAnsi="Arial" w:cs="Arial"/>
          <w:noProof/>
          <w:sz w:val="22"/>
          <w:szCs w:val="22"/>
        </w:rPr>
        <w:t>4,2</w:t>
      </w:r>
      <w:r w:rsidR="0079130F" w:rsidRPr="00FE1270">
        <w:rPr>
          <w:rFonts w:ascii="Arial" w:hAnsi="Arial" w:cs="Arial"/>
          <w:noProof/>
          <w:sz w:val="22"/>
          <w:szCs w:val="22"/>
        </w:rPr>
        <w:t>%</w:t>
      </w:r>
      <w:r w:rsidR="006A255D" w:rsidRPr="00FE1270">
        <w:rPr>
          <w:rFonts w:ascii="Arial" w:hAnsi="Arial" w:cs="Arial"/>
          <w:noProof/>
          <w:sz w:val="22"/>
          <w:szCs w:val="22"/>
        </w:rPr>
        <w:t xml:space="preserve"> ukupne vrijednosti financijske imovine konsolidirane grupe</w:t>
      </w:r>
      <w:r w:rsidR="0079130F" w:rsidRPr="00FE1270">
        <w:rPr>
          <w:rFonts w:ascii="Arial" w:hAnsi="Arial" w:cs="Arial"/>
          <w:noProof/>
          <w:sz w:val="22"/>
          <w:szCs w:val="22"/>
        </w:rPr>
        <w:t>.</w:t>
      </w:r>
      <w:r w:rsidR="00006B97" w:rsidRPr="00FE1270">
        <w:rPr>
          <w:rFonts w:ascii="Arial" w:hAnsi="Arial" w:cs="Arial"/>
          <w:noProof/>
          <w:sz w:val="22"/>
          <w:szCs w:val="22"/>
        </w:rPr>
        <w:t xml:space="preserve"> U odnosu na stanje 1. siječnja</w:t>
      </w:r>
      <w:r w:rsidR="00B13A30" w:rsidRPr="00FE1270">
        <w:rPr>
          <w:rFonts w:ascii="Arial" w:hAnsi="Arial" w:cs="Arial"/>
          <w:noProof/>
          <w:sz w:val="22"/>
          <w:szCs w:val="22"/>
        </w:rPr>
        <w:t xml:space="preserve"> o.g.</w:t>
      </w:r>
      <w:r w:rsidR="00006B97" w:rsidRPr="00FE1270">
        <w:rPr>
          <w:rFonts w:ascii="Arial" w:hAnsi="Arial" w:cs="Arial"/>
          <w:noProof/>
          <w:sz w:val="22"/>
          <w:szCs w:val="22"/>
        </w:rPr>
        <w:t xml:space="preserve"> </w:t>
      </w:r>
      <w:r w:rsidR="006241C2" w:rsidRPr="00FE1270">
        <w:rPr>
          <w:rFonts w:ascii="Arial" w:hAnsi="Arial" w:cs="Arial"/>
          <w:noProof/>
          <w:sz w:val="22"/>
          <w:szCs w:val="22"/>
        </w:rPr>
        <w:t>vrijednost</w:t>
      </w:r>
      <w:r w:rsidR="00F17649" w:rsidRPr="00FE1270">
        <w:rPr>
          <w:rFonts w:ascii="Arial" w:hAnsi="Arial" w:cs="Arial"/>
          <w:noProof/>
          <w:sz w:val="22"/>
          <w:szCs w:val="22"/>
        </w:rPr>
        <w:t xml:space="preserve"> ukupne</w:t>
      </w:r>
      <w:r w:rsidR="006241C2" w:rsidRPr="00FE1270">
        <w:rPr>
          <w:rFonts w:ascii="Arial" w:hAnsi="Arial" w:cs="Arial"/>
          <w:noProof/>
          <w:sz w:val="22"/>
          <w:szCs w:val="22"/>
        </w:rPr>
        <w:t xml:space="preserve"> </w:t>
      </w:r>
      <w:r w:rsidR="00006B97" w:rsidRPr="00FE1270">
        <w:rPr>
          <w:rFonts w:ascii="Arial" w:hAnsi="Arial" w:cs="Arial"/>
          <w:noProof/>
          <w:sz w:val="22"/>
          <w:szCs w:val="22"/>
        </w:rPr>
        <w:t>financijsk</w:t>
      </w:r>
      <w:r w:rsidR="006241C2" w:rsidRPr="00FE1270">
        <w:rPr>
          <w:rFonts w:ascii="Arial" w:hAnsi="Arial" w:cs="Arial"/>
          <w:noProof/>
          <w:sz w:val="22"/>
          <w:szCs w:val="22"/>
        </w:rPr>
        <w:t>e</w:t>
      </w:r>
      <w:r w:rsidR="00006B97" w:rsidRPr="00FE1270">
        <w:rPr>
          <w:rFonts w:ascii="Arial" w:hAnsi="Arial" w:cs="Arial"/>
          <w:noProof/>
          <w:sz w:val="22"/>
          <w:szCs w:val="22"/>
        </w:rPr>
        <w:t xml:space="preserve"> imovin</w:t>
      </w:r>
      <w:r w:rsidR="006241C2" w:rsidRPr="00FE1270">
        <w:rPr>
          <w:rFonts w:ascii="Arial" w:hAnsi="Arial" w:cs="Arial"/>
          <w:noProof/>
          <w:sz w:val="22"/>
          <w:szCs w:val="22"/>
        </w:rPr>
        <w:t>e</w:t>
      </w:r>
      <w:r w:rsidR="00663F82" w:rsidRPr="00FE1270">
        <w:rPr>
          <w:rFonts w:ascii="Arial" w:hAnsi="Arial" w:cs="Arial"/>
          <w:noProof/>
          <w:sz w:val="22"/>
          <w:szCs w:val="22"/>
        </w:rPr>
        <w:t xml:space="preserve"> </w:t>
      </w:r>
      <w:r w:rsidR="00EB1087">
        <w:rPr>
          <w:rFonts w:ascii="Arial" w:hAnsi="Arial" w:cs="Arial"/>
          <w:noProof/>
          <w:sz w:val="22"/>
          <w:szCs w:val="22"/>
        </w:rPr>
        <w:t xml:space="preserve">krajem izvještajnog razdoblja </w:t>
      </w:r>
      <w:r w:rsidR="00663F82" w:rsidRPr="00FE1270">
        <w:rPr>
          <w:rFonts w:ascii="Arial" w:hAnsi="Arial" w:cs="Arial"/>
          <w:noProof/>
          <w:sz w:val="22"/>
          <w:szCs w:val="22"/>
        </w:rPr>
        <w:t xml:space="preserve">je </w:t>
      </w:r>
      <w:r w:rsidR="00EB1087">
        <w:rPr>
          <w:rFonts w:ascii="Arial" w:hAnsi="Arial" w:cs="Arial"/>
          <w:noProof/>
          <w:sz w:val="22"/>
          <w:szCs w:val="22"/>
        </w:rPr>
        <w:t xml:space="preserve">gotovo </w:t>
      </w:r>
      <w:r w:rsidR="00663F82" w:rsidRPr="00FE1270">
        <w:rPr>
          <w:rFonts w:ascii="Arial" w:hAnsi="Arial" w:cs="Arial"/>
          <w:noProof/>
          <w:sz w:val="22"/>
          <w:szCs w:val="22"/>
        </w:rPr>
        <w:t xml:space="preserve">na </w:t>
      </w:r>
      <w:r w:rsidR="00EB1087">
        <w:rPr>
          <w:rFonts w:ascii="Arial" w:hAnsi="Arial" w:cs="Arial"/>
          <w:noProof/>
          <w:sz w:val="22"/>
          <w:szCs w:val="22"/>
        </w:rPr>
        <w:t xml:space="preserve">istoj </w:t>
      </w:r>
      <w:r w:rsidR="00663F82" w:rsidRPr="00FE1270">
        <w:rPr>
          <w:rFonts w:ascii="Arial" w:hAnsi="Arial" w:cs="Arial"/>
          <w:noProof/>
          <w:sz w:val="22"/>
          <w:szCs w:val="22"/>
        </w:rPr>
        <w:t>razini</w:t>
      </w:r>
      <w:r w:rsidR="00F17649" w:rsidRPr="00FE1270">
        <w:rPr>
          <w:rFonts w:ascii="Arial" w:hAnsi="Arial" w:cs="Arial"/>
          <w:noProof/>
          <w:sz w:val="22"/>
          <w:szCs w:val="22"/>
        </w:rPr>
        <w:t xml:space="preserve"> (Novac u banci i blagajni bilježi rast </w:t>
      </w:r>
      <w:r w:rsidR="00EB1087">
        <w:rPr>
          <w:rFonts w:ascii="Arial" w:hAnsi="Arial" w:cs="Arial"/>
          <w:noProof/>
          <w:sz w:val="22"/>
          <w:szCs w:val="22"/>
        </w:rPr>
        <w:t xml:space="preserve">od 27,9% </w:t>
      </w:r>
      <w:r w:rsidR="00F17649" w:rsidRPr="00FE1270">
        <w:rPr>
          <w:rFonts w:ascii="Arial" w:hAnsi="Arial" w:cs="Arial"/>
          <w:noProof/>
          <w:sz w:val="22"/>
          <w:szCs w:val="22"/>
        </w:rPr>
        <w:t>dok</w:t>
      </w:r>
      <w:r w:rsidR="0036560D" w:rsidRPr="00FE1270">
        <w:rPr>
          <w:rFonts w:ascii="Arial" w:hAnsi="Arial" w:cs="Arial"/>
          <w:noProof/>
          <w:sz w:val="22"/>
          <w:szCs w:val="22"/>
        </w:rPr>
        <w:t xml:space="preserve"> depoziti</w:t>
      </w:r>
      <w:r w:rsidR="00E93430" w:rsidRPr="00FE1270">
        <w:rPr>
          <w:rFonts w:ascii="Arial" w:hAnsi="Arial" w:cs="Arial"/>
          <w:noProof/>
          <w:sz w:val="22"/>
          <w:szCs w:val="22"/>
        </w:rPr>
        <w:t>,</w:t>
      </w:r>
      <w:r w:rsidR="00326AB0" w:rsidRPr="00FE1270">
        <w:rPr>
          <w:rFonts w:ascii="Arial" w:hAnsi="Arial" w:cs="Arial"/>
          <w:noProof/>
          <w:sz w:val="22"/>
          <w:szCs w:val="22"/>
        </w:rPr>
        <w:t xml:space="preserve"> </w:t>
      </w:r>
      <w:r w:rsidR="00E93430" w:rsidRPr="00FE1270">
        <w:rPr>
          <w:rFonts w:ascii="Arial" w:hAnsi="Arial" w:cs="Arial"/>
          <w:noProof/>
          <w:sz w:val="22"/>
          <w:szCs w:val="22"/>
        </w:rPr>
        <w:t>jamčevni polozi</w:t>
      </w:r>
      <w:r w:rsidR="0036560D" w:rsidRPr="00FE1270">
        <w:rPr>
          <w:rFonts w:ascii="Arial" w:hAnsi="Arial" w:cs="Arial"/>
          <w:noProof/>
          <w:sz w:val="22"/>
          <w:szCs w:val="22"/>
        </w:rPr>
        <w:t xml:space="preserve">, </w:t>
      </w:r>
      <w:r w:rsidR="00206BD8" w:rsidRPr="00FE1270">
        <w:rPr>
          <w:rFonts w:ascii="Arial" w:hAnsi="Arial" w:cs="Arial"/>
          <w:noProof/>
          <w:sz w:val="22"/>
          <w:szCs w:val="22"/>
        </w:rPr>
        <w:t>potraživanja za dane zajmove</w:t>
      </w:r>
      <w:r w:rsidR="00A82536" w:rsidRPr="00FE1270">
        <w:rPr>
          <w:rFonts w:ascii="Arial" w:hAnsi="Arial" w:cs="Arial"/>
          <w:noProof/>
          <w:sz w:val="22"/>
          <w:szCs w:val="22"/>
        </w:rPr>
        <w:t>,</w:t>
      </w:r>
      <w:r w:rsidR="00F17649" w:rsidRPr="00FE1270">
        <w:rPr>
          <w:rFonts w:ascii="Arial" w:hAnsi="Arial" w:cs="Arial"/>
          <w:noProof/>
          <w:sz w:val="22"/>
          <w:szCs w:val="22"/>
        </w:rPr>
        <w:t xml:space="preserve"> vrijednosni papiri, </w:t>
      </w:r>
      <w:r w:rsidR="00E93430" w:rsidRPr="00FE1270">
        <w:rPr>
          <w:rFonts w:ascii="Arial" w:hAnsi="Arial" w:cs="Arial"/>
          <w:noProof/>
          <w:sz w:val="22"/>
          <w:szCs w:val="22"/>
        </w:rPr>
        <w:t>potraživanja</w:t>
      </w:r>
      <w:r w:rsidR="00A82536" w:rsidRPr="00FE1270">
        <w:rPr>
          <w:rFonts w:ascii="Arial" w:hAnsi="Arial" w:cs="Arial"/>
          <w:noProof/>
          <w:sz w:val="22"/>
          <w:szCs w:val="22"/>
        </w:rPr>
        <w:t xml:space="preserve"> za prihode poslovanja</w:t>
      </w:r>
      <w:r w:rsidR="002A1D33" w:rsidRPr="00FE1270">
        <w:rPr>
          <w:rFonts w:ascii="Arial" w:hAnsi="Arial" w:cs="Arial"/>
          <w:noProof/>
          <w:sz w:val="22"/>
          <w:szCs w:val="22"/>
        </w:rPr>
        <w:t>, potraživanja od prodaje nefinancijske imovine</w:t>
      </w:r>
      <w:r w:rsidR="00A82536" w:rsidRPr="00FE1270">
        <w:rPr>
          <w:rFonts w:ascii="Arial" w:hAnsi="Arial" w:cs="Arial"/>
          <w:noProof/>
          <w:sz w:val="22"/>
          <w:szCs w:val="22"/>
        </w:rPr>
        <w:t xml:space="preserve"> i rashodi budućih razdoblja</w:t>
      </w:r>
      <w:r w:rsidR="0036560D" w:rsidRPr="00FE1270">
        <w:rPr>
          <w:rFonts w:ascii="Arial" w:hAnsi="Arial" w:cs="Arial"/>
          <w:noProof/>
          <w:sz w:val="22"/>
          <w:szCs w:val="22"/>
        </w:rPr>
        <w:t xml:space="preserve"> bilježe</w:t>
      </w:r>
      <w:r w:rsidR="000C1AF8" w:rsidRPr="00FE1270">
        <w:rPr>
          <w:rFonts w:ascii="Arial" w:hAnsi="Arial" w:cs="Arial"/>
          <w:noProof/>
          <w:sz w:val="22"/>
          <w:szCs w:val="22"/>
        </w:rPr>
        <w:t xml:space="preserve"> </w:t>
      </w:r>
      <w:r w:rsidR="00FC7198">
        <w:rPr>
          <w:rFonts w:ascii="Arial" w:hAnsi="Arial" w:cs="Arial"/>
          <w:noProof/>
          <w:sz w:val="22"/>
          <w:szCs w:val="22"/>
        </w:rPr>
        <w:t xml:space="preserve">ukupno </w:t>
      </w:r>
      <w:r w:rsidR="000C1AF8" w:rsidRPr="00FE1270">
        <w:rPr>
          <w:rFonts w:ascii="Arial" w:hAnsi="Arial" w:cs="Arial"/>
          <w:noProof/>
          <w:sz w:val="22"/>
          <w:szCs w:val="22"/>
        </w:rPr>
        <w:t>pad</w:t>
      </w:r>
      <w:r w:rsidR="00FC7198">
        <w:rPr>
          <w:rFonts w:ascii="Arial" w:hAnsi="Arial" w:cs="Arial"/>
          <w:noProof/>
          <w:sz w:val="22"/>
          <w:szCs w:val="22"/>
        </w:rPr>
        <w:t xml:space="preserve"> od 28,4%</w:t>
      </w:r>
      <w:r w:rsidR="002A1D33" w:rsidRPr="00FE1270">
        <w:rPr>
          <w:rFonts w:ascii="Arial" w:hAnsi="Arial" w:cs="Arial"/>
          <w:noProof/>
          <w:sz w:val="22"/>
          <w:szCs w:val="22"/>
        </w:rPr>
        <w:t>).</w:t>
      </w:r>
    </w:p>
    <w:p w:rsidR="00526437" w:rsidRPr="00FE1270" w:rsidRDefault="00526437" w:rsidP="00526437">
      <w:pPr>
        <w:jc w:val="both"/>
        <w:rPr>
          <w:rFonts w:ascii="Arial" w:hAnsi="Arial" w:cs="Arial"/>
          <w:noProof/>
          <w:sz w:val="22"/>
          <w:szCs w:val="22"/>
        </w:rPr>
      </w:pPr>
    </w:p>
    <w:p w:rsidR="00D56978" w:rsidRPr="00FE1270" w:rsidRDefault="0079130F" w:rsidP="006B649A">
      <w:pPr>
        <w:jc w:val="both"/>
        <w:rPr>
          <w:rFonts w:ascii="Arial" w:hAnsi="Arial" w:cs="Arial"/>
          <w:noProof/>
          <w:sz w:val="22"/>
          <w:szCs w:val="22"/>
        </w:rPr>
      </w:pPr>
      <w:r w:rsidRPr="00FE1270">
        <w:rPr>
          <w:rFonts w:ascii="Arial" w:hAnsi="Arial" w:cs="Arial"/>
          <w:noProof/>
          <w:sz w:val="22"/>
          <w:szCs w:val="22"/>
        </w:rPr>
        <w:t xml:space="preserve">Financijsku imovinu </w:t>
      </w:r>
      <w:r w:rsidR="008B784D" w:rsidRPr="00FE1270">
        <w:rPr>
          <w:rFonts w:ascii="Arial" w:hAnsi="Arial" w:cs="Arial"/>
          <w:b/>
          <w:noProof/>
          <w:sz w:val="22"/>
          <w:szCs w:val="22"/>
        </w:rPr>
        <w:t>proračunskih</w:t>
      </w:r>
      <w:r w:rsidR="008B784D" w:rsidRPr="00FE1270">
        <w:rPr>
          <w:rFonts w:ascii="Arial" w:hAnsi="Arial" w:cs="Arial"/>
          <w:noProof/>
          <w:sz w:val="22"/>
          <w:szCs w:val="22"/>
        </w:rPr>
        <w:t xml:space="preserve"> </w:t>
      </w:r>
      <w:r w:rsidRPr="00FE1270">
        <w:rPr>
          <w:rFonts w:ascii="Arial" w:hAnsi="Arial" w:cs="Arial"/>
          <w:b/>
          <w:noProof/>
          <w:sz w:val="22"/>
          <w:szCs w:val="22"/>
        </w:rPr>
        <w:t>korisnika</w:t>
      </w:r>
      <w:r w:rsidRPr="00FE1270">
        <w:rPr>
          <w:rFonts w:ascii="Arial" w:hAnsi="Arial" w:cs="Arial"/>
          <w:noProof/>
          <w:sz w:val="22"/>
          <w:szCs w:val="22"/>
        </w:rPr>
        <w:t xml:space="preserve"> čini: novac u banci i blagajni</w:t>
      </w:r>
      <w:r w:rsidR="00C136B8" w:rsidRPr="00FE1270">
        <w:rPr>
          <w:rFonts w:ascii="Arial" w:hAnsi="Arial" w:cs="Arial"/>
          <w:noProof/>
          <w:sz w:val="22"/>
          <w:szCs w:val="22"/>
        </w:rPr>
        <w:t xml:space="preserve"> (</w:t>
      </w:r>
      <w:r w:rsidR="00494B35" w:rsidRPr="00FE1270">
        <w:rPr>
          <w:rFonts w:ascii="Arial" w:hAnsi="Arial" w:cs="Arial"/>
          <w:noProof/>
          <w:sz w:val="22"/>
          <w:szCs w:val="22"/>
        </w:rPr>
        <w:t>11</w:t>
      </w:r>
      <w:r w:rsidR="00DF5F52" w:rsidRPr="00FE1270">
        <w:rPr>
          <w:rFonts w:ascii="Arial" w:hAnsi="Arial" w:cs="Arial"/>
          <w:noProof/>
          <w:sz w:val="22"/>
          <w:szCs w:val="22"/>
        </w:rPr>
        <w:t xml:space="preserve">) </w:t>
      </w:r>
      <w:r w:rsidR="00226434" w:rsidRPr="00FE1270">
        <w:rPr>
          <w:rFonts w:ascii="Arial" w:hAnsi="Arial" w:cs="Arial"/>
          <w:noProof/>
          <w:sz w:val="22"/>
          <w:szCs w:val="22"/>
        </w:rPr>
        <w:t>1.649.143,28</w:t>
      </w:r>
      <w:r w:rsidR="00A82536" w:rsidRPr="00FE1270">
        <w:rPr>
          <w:rFonts w:ascii="Arial" w:hAnsi="Arial" w:cs="Arial"/>
          <w:noProof/>
          <w:sz w:val="22"/>
          <w:szCs w:val="22"/>
        </w:rPr>
        <w:t xml:space="preserve"> eura</w:t>
      </w:r>
      <w:r w:rsidR="005E1200" w:rsidRPr="00FE1270">
        <w:rPr>
          <w:rFonts w:ascii="Arial" w:hAnsi="Arial" w:cs="Arial"/>
          <w:noProof/>
          <w:sz w:val="22"/>
          <w:szCs w:val="22"/>
        </w:rPr>
        <w:t xml:space="preserve"> (</w:t>
      </w:r>
      <w:r w:rsidR="00A82536" w:rsidRPr="00FE1270">
        <w:rPr>
          <w:rFonts w:ascii="Arial" w:hAnsi="Arial" w:cs="Arial"/>
          <w:noProof/>
          <w:sz w:val="22"/>
          <w:szCs w:val="22"/>
        </w:rPr>
        <w:t>najveći dio</w:t>
      </w:r>
      <w:r w:rsidR="005077D3" w:rsidRPr="00FE1270">
        <w:rPr>
          <w:rFonts w:ascii="Arial" w:hAnsi="Arial" w:cs="Arial"/>
          <w:noProof/>
          <w:sz w:val="22"/>
          <w:szCs w:val="22"/>
        </w:rPr>
        <w:t xml:space="preserve"> </w:t>
      </w:r>
      <w:r w:rsidR="00D077F2" w:rsidRPr="00FE1270">
        <w:rPr>
          <w:rFonts w:ascii="Arial" w:hAnsi="Arial" w:cs="Arial"/>
          <w:noProof/>
          <w:sz w:val="22"/>
          <w:szCs w:val="22"/>
        </w:rPr>
        <w:t xml:space="preserve">odnosi se na </w:t>
      </w:r>
      <w:r w:rsidR="005077D3" w:rsidRPr="00FE1270">
        <w:rPr>
          <w:rFonts w:ascii="Arial" w:hAnsi="Arial" w:cs="Arial"/>
          <w:noProof/>
          <w:sz w:val="22"/>
          <w:szCs w:val="22"/>
        </w:rPr>
        <w:t>korisnik</w:t>
      </w:r>
      <w:r w:rsidR="00D077F2" w:rsidRPr="00FE1270">
        <w:rPr>
          <w:rFonts w:ascii="Arial" w:hAnsi="Arial" w:cs="Arial"/>
          <w:noProof/>
          <w:sz w:val="22"/>
          <w:szCs w:val="22"/>
        </w:rPr>
        <w:t>e</w:t>
      </w:r>
      <w:r w:rsidR="005077D3" w:rsidRPr="00FE1270">
        <w:rPr>
          <w:rFonts w:ascii="Arial" w:hAnsi="Arial" w:cs="Arial"/>
          <w:noProof/>
          <w:sz w:val="22"/>
          <w:szCs w:val="22"/>
        </w:rPr>
        <w:t xml:space="preserve"> koji su izuzeti od obveze uplate vlastitih prihoda na račun jedi</w:t>
      </w:r>
      <w:r w:rsidR="00D077F2" w:rsidRPr="00FE1270">
        <w:rPr>
          <w:rFonts w:ascii="Arial" w:hAnsi="Arial" w:cs="Arial"/>
          <w:noProof/>
          <w:sz w:val="22"/>
          <w:szCs w:val="22"/>
        </w:rPr>
        <w:t>n</w:t>
      </w:r>
      <w:r w:rsidR="005077D3" w:rsidRPr="00FE1270">
        <w:rPr>
          <w:rFonts w:ascii="Arial" w:hAnsi="Arial" w:cs="Arial"/>
          <w:noProof/>
          <w:sz w:val="22"/>
          <w:szCs w:val="22"/>
        </w:rPr>
        <w:t>stvenog računa riznice Grada Rijeke</w:t>
      </w:r>
      <w:r w:rsidR="003F3CD7" w:rsidRPr="00FE1270">
        <w:rPr>
          <w:rFonts w:ascii="Arial" w:hAnsi="Arial" w:cs="Arial"/>
          <w:noProof/>
          <w:sz w:val="22"/>
          <w:szCs w:val="22"/>
        </w:rPr>
        <w:t xml:space="preserve">: </w:t>
      </w:r>
      <w:r w:rsidR="005E1200" w:rsidRPr="00FE1270">
        <w:rPr>
          <w:rFonts w:ascii="Arial" w:hAnsi="Arial" w:cs="Arial"/>
          <w:noProof/>
          <w:sz w:val="22"/>
          <w:szCs w:val="22"/>
        </w:rPr>
        <w:t>Psihijatrijska bolnica Lopača</w:t>
      </w:r>
      <w:r w:rsidR="00AC21AF" w:rsidRPr="00FE1270">
        <w:rPr>
          <w:rFonts w:ascii="Arial" w:hAnsi="Arial" w:cs="Arial"/>
          <w:noProof/>
          <w:sz w:val="22"/>
          <w:szCs w:val="22"/>
        </w:rPr>
        <w:t xml:space="preserve"> =</w:t>
      </w:r>
      <w:r w:rsidR="00226434" w:rsidRPr="00FE1270">
        <w:rPr>
          <w:rFonts w:ascii="Arial" w:hAnsi="Arial" w:cs="Arial"/>
          <w:noProof/>
          <w:sz w:val="22"/>
          <w:szCs w:val="22"/>
        </w:rPr>
        <w:t>1.381.096,22</w:t>
      </w:r>
      <w:r w:rsidR="000E6673" w:rsidRPr="00FE1270">
        <w:rPr>
          <w:rFonts w:ascii="Arial" w:hAnsi="Arial" w:cs="Arial"/>
          <w:noProof/>
          <w:sz w:val="22"/>
          <w:szCs w:val="22"/>
        </w:rPr>
        <w:t xml:space="preserve"> eura</w:t>
      </w:r>
      <w:r w:rsidR="00226434" w:rsidRPr="00FE1270">
        <w:rPr>
          <w:rFonts w:ascii="Arial" w:hAnsi="Arial" w:cs="Arial"/>
          <w:noProof/>
          <w:sz w:val="22"/>
          <w:szCs w:val="22"/>
        </w:rPr>
        <w:t xml:space="preserve"> i APOS=232.174,84</w:t>
      </w:r>
      <w:r w:rsidR="005E1200" w:rsidRPr="00FE1270">
        <w:rPr>
          <w:rFonts w:ascii="Arial" w:hAnsi="Arial" w:cs="Arial"/>
          <w:noProof/>
          <w:sz w:val="22"/>
          <w:szCs w:val="22"/>
        </w:rPr>
        <w:t>)</w:t>
      </w:r>
      <w:r w:rsidR="00E00508" w:rsidRPr="00FE1270">
        <w:rPr>
          <w:rFonts w:ascii="Arial" w:hAnsi="Arial" w:cs="Arial"/>
          <w:noProof/>
          <w:sz w:val="22"/>
          <w:szCs w:val="22"/>
        </w:rPr>
        <w:t>;</w:t>
      </w:r>
      <w:r w:rsidRPr="00FE1270">
        <w:rPr>
          <w:rFonts w:ascii="Arial" w:hAnsi="Arial" w:cs="Arial"/>
          <w:noProof/>
          <w:sz w:val="22"/>
          <w:szCs w:val="22"/>
        </w:rPr>
        <w:t xml:space="preserve"> </w:t>
      </w:r>
      <w:r w:rsidR="005D4CC1" w:rsidRPr="00FE1270">
        <w:rPr>
          <w:rFonts w:ascii="Arial" w:hAnsi="Arial" w:cs="Arial"/>
          <w:noProof/>
          <w:sz w:val="22"/>
          <w:szCs w:val="22"/>
        </w:rPr>
        <w:t xml:space="preserve">zatim </w:t>
      </w:r>
      <w:r w:rsidRPr="00FE1270">
        <w:rPr>
          <w:rFonts w:ascii="Arial" w:hAnsi="Arial" w:cs="Arial"/>
          <w:noProof/>
          <w:sz w:val="22"/>
          <w:szCs w:val="22"/>
        </w:rPr>
        <w:t>jamčevni polo</w:t>
      </w:r>
      <w:r w:rsidR="00AC21AF" w:rsidRPr="00FE1270">
        <w:rPr>
          <w:rFonts w:ascii="Arial" w:hAnsi="Arial" w:cs="Arial"/>
          <w:noProof/>
          <w:sz w:val="22"/>
          <w:szCs w:val="22"/>
        </w:rPr>
        <w:t>zi</w:t>
      </w:r>
      <w:r w:rsidR="005D4CC1" w:rsidRPr="00FE1270">
        <w:rPr>
          <w:rFonts w:ascii="Arial" w:hAnsi="Arial" w:cs="Arial"/>
          <w:noProof/>
          <w:sz w:val="22"/>
          <w:szCs w:val="22"/>
        </w:rPr>
        <w:t>;</w:t>
      </w:r>
      <w:r w:rsidR="00AC21AF" w:rsidRPr="00FE1270">
        <w:rPr>
          <w:rFonts w:ascii="Arial" w:hAnsi="Arial" w:cs="Arial"/>
          <w:noProof/>
          <w:sz w:val="22"/>
          <w:szCs w:val="22"/>
        </w:rPr>
        <w:t xml:space="preserve"> potraživanja od zaposlenih</w:t>
      </w:r>
      <w:r w:rsidR="005D4CC1" w:rsidRPr="00FE1270">
        <w:rPr>
          <w:rFonts w:ascii="Arial" w:hAnsi="Arial" w:cs="Arial"/>
          <w:noProof/>
          <w:sz w:val="22"/>
          <w:szCs w:val="22"/>
        </w:rPr>
        <w:t xml:space="preserve">; </w:t>
      </w:r>
      <w:r w:rsidR="00F26D87" w:rsidRPr="00FE1270">
        <w:rPr>
          <w:rFonts w:ascii="Arial" w:hAnsi="Arial" w:cs="Arial"/>
          <w:noProof/>
          <w:sz w:val="22"/>
          <w:szCs w:val="22"/>
        </w:rPr>
        <w:t xml:space="preserve">potraživanja za više plaćene poreze i doprinose i ostala potraživanja </w:t>
      </w:r>
      <w:r w:rsidR="00C136B8" w:rsidRPr="00FE1270">
        <w:rPr>
          <w:rFonts w:ascii="Arial" w:hAnsi="Arial" w:cs="Arial"/>
          <w:noProof/>
          <w:sz w:val="22"/>
          <w:szCs w:val="22"/>
        </w:rPr>
        <w:t>(</w:t>
      </w:r>
      <w:r w:rsidR="00494B35" w:rsidRPr="00FE1270">
        <w:rPr>
          <w:rFonts w:ascii="Arial" w:hAnsi="Arial" w:cs="Arial"/>
          <w:noProof/>
          <w:sz w:val="22"/>
          <w:szCs w:val="22"/>
        </w:rPr>
        <w:t>12</w:t>
      </w:r>
      <w:r w:rsidR="00DF5F52" w:rsidRPr="00FE1270">
        <w:rPr>
          <w:rFonts w:ascii="Arial" w:hAnsi="Arial" w:cs="Arial"/>
          <w:noProof/>
          <w:sz w:val="22"/>
          <w:szCs w:val="22"/>
        </w:rPr>
        <w:t xml:space="preserve">) </w:t>
      </w:r>
      <w:r w:rsidR="003F3CD7" w:rsidRPr="00FE1270">
        <w:rPr>
          <w:rFonts w:ascii="Arial" w:hAnsi="Arial" w:cs="Arial"/>
          <w:noProof/>
          <w:sz w:val="22"/>
          <w:szCs w:val="22"/>
        </w:rPr>
        <w:t>638.621,64</w:t>
      </w:r>
      <w:r w:rsidR="00F26D87" w:rsidRPr="00FE1270">
        <w:rPr>
          <w:rFonts w:ascii="Arial" w:hAnsi="Arial" w:cs="Arial"/>
          <w:noProof/>
          <w:sz w:val="22"/>
          <w:szCs w:val="22"/>
        </w:rPr>
        <w:t xml:space="preserve"> eura</w:t>
      </w:r>
      <w:r w:rsidR="00BA4873" w:rsidRPr="00FE1270">
        <w:rPr>
          <w:rFonts w:ascii="Arial" w:hAnsi="Arial" w:cs="Arial"/>
          <w:noProof/>
          <w:sz w:val="22"/>
          <w:szCs w:val="22"/>
        </w:rPr>
        <w:t>;</w:t>
      </w:r>
      <w:r w:rsidR="00C40A0D" w:rsidRPr="00FE1270">
        <w:rPr>
          <w:rFonts w:ascii="Arial" w:hAnsi="Arial" w:cs="Arial"/>
          <w:noProof/>
          <w:sz w:val="22"/>
          <w:szCs w:val="22"/>
        </w:rPr>
        <w:t xml:space="preserve"> </w:t>
      </w:r>
      <w:r w:rsidR="00E25166" w:rsidRPr="00FE1270">
        <w:rPr>
          <w:rFonts w:ascii="Arial" w:hAnsi="Arial" w:cs="Arial"/>
          <w:noProof/>
          <w:sz w:val="22"/>
          <w:szCs w:val="22"/>
        </w:rPr>
        <w:t>potra</w:t>
      </w:r>
      <w:r w:rsidR="00001404" w:rsidRPr="00FE1270">
        <w:rPr>
          <w:rFonts w:ascii="Arial" w:hAnsi="Arial" w:cs="Arial"/>
          <w:noProof/>
          <w:sz w:val="22"/>
          <w:szCs w:val="22"/>
        </w:rPr>
        <w:t>živanje za dane zajmove</w:t>
      </w:r>
      <w:r w:rsidR="00F26D87" w:rsidRPr="00FE1270">
        <w:rPr>
          <w:rFonts w:ascii="Arial" w:hAnsi="Arial" w:cs="Arial"/>
          <w:noProof/>
          <w:sz w:val="22"/>
          <w:szCs w:val="22"/>
        </w:rPr>
        <w:t xml:space="preserve"> u APOS-u</w:t>
      </w:r>
      <w:r w:rsidR="00001404" w:rsidRPr="00FE1270">
        <w:rPr>
          <w:rFonts w:ascii="Arial" w:hAnsi="Arial" w:cs="Arial"/>
          <w:noProof/>
          <w:sz w:val="22"/>
          <w:szCs w:val="22"/>
        </w:rPr>
        <w:t xml:space="preserve"> (</w:t>
      </w:r>
      <w:r w:rsidR="00494B35" w:rsidRPr="00FE1270">
        <w:rPr>
          <w:rFonts w:ascii="Arial" w:hAnsi="Arial" w:cs="Arial"/>
          <w:noProof/>
          <w:sz w:val="22"/>
          <w:szCs w:val="22"/>
        </w:rPr>
        <w:t>13</w:t>
      </w:r>
      <w:r w:rsidR="00E25166" w:rsidRPr="00FE1270">
        <w:rPr>
          <w:rFonts w:ascii="Arial" w:hAnsi="Arial" w:cs="Arial"/>
          <w:noProof/>
          <w:sz w:val="22"/>
          <w:szCs w:val="22"/>
        </w:rPr>
        <w:t xml:space="preserve">) </w:t>
      </w:r>
      <w:r w:rsidR="00690812" w:rsidRPr="00FE1270">
        <w:rPr>
          <w:rFonts w:ascii="Arial" w:hAnsi="Arial" w:cs="Arial"/>
          <w:noProof/>
          <w:sz w:val="22"/>
          <w:szCs w:val="22"/>
        </w:rPr>
        <w:t>3.167.171,26</w:t>
      </w:r>
      <w:r w:rsidR="00F26D87" w:rsidRPr="00FE1270">
        <w:rPr>
          <w:rFonts w:ascii="Arial" w:hAnsi="Arial" w:cs="Arial"/>
          <w:noProof/>
          <w:sz w:val="22"/>
          <w:szCs w:val="22"/>
        </w:rPr>
        <w:t xml:space="preserve"> eura</w:t>
      </w:r>
      <w:r w:rsidR="00E00508" w:rsidRPr="00FE1270">
        <w:rPr>
          <w:rFonts w:ascii="Arial" w:hAnsi="Arial" w:cs="Arial"/>
          <w:noProof/>
          <w:sz w:val="22"/>
          <w:szCs w:val="22"/>
        </w:rPr>
        <w:t>;</w:t>
      </w:r>
      <w:r w:rsidR="00E25166" w:rsidRPr="00FE1270">
        <w:rPr>
          <w:rFonts w:ascii="Arial" w:hAnsi="Arial" w:cs="Arial"/>
          <w:noProof/>
          <w:sz w:val="22"/>
          <w:szCs w:val="22"/>
        </w:rPr>
        <w:t xml:space="preserve"> </w:t>
      </w:r>
      <w:r w:rsidR="00001404" w:rsidRPr="00FE1270">
        <w:rPr>
          <w:rFonts w:ascii="Arial" w:hAnsi="Arial" w:cs="Arial"/>
          <w:noProof/>
          <w:sz w:val="22"/>
          <w:szCs w:val="22"/>
        </w:rPr>
        <w:t>v</w:t>
      </w:r>
      <w:r w:rsidR="00D164F7" w:rsidRPr="00FE1270">
        <w:rPr>
          <w:rFonts w:ascii="Arial" w:hAnsi="Arial" w:cs="Arial"/>
          <w:noProof/>
          <w:sz w:val="22"/>
          <w:szCs w:val="22"/>
        </w:rPr>
        <w:t>rijednosni papiri</w:t>
      </w:r>
      <w:r w:rsidRPr="00FE1270">
        <w:rPr>
          <w:rFonts w:ascii="Arial" w:hAnsi="Arial" w:cs="Arial"/>
          <w:noProof/>
          <w:sz w:val="22"/>
          <w:szCs w:val="22"/>
        </w:rPr>
        <w:t xml:space="preserve"> </w:t>
      </w:r>
      <w:r w:rsidR="00494B35" w:rsidRPr="00FE1270">
        <w:rPr>
          <w:rFonts w:ascii="Arial" w:hAnsi="Arial" w:cs="Arial"/>
          <w:noProof/>
          <w:sz w:val="22"/>
          <w:szCs w:val="22"/>
        </w:rPr>
        <w:t>(14</w:t>
      </w:r>
      <w:r w:rsidR="00DF5F52" w:rsidRPr="00FE1270">
        <w:rPr>
          <w:rFonts w:ascii="Arial" w:hAnsi="Arial" w:cs="Arial"/>
          <w:noProof/>
          <w:sz w:val="22"/>
          <w:szCs w:val="22"/>
        </w:rPr>
        <w:t xml:space="preserve">) </w:t>
      </w:r>
      <w:r w:rsidR="003F3CD7" w:rsidRPr="00FE1270">
        <w:rPr>
          <w:rFonts w:ascii="Arial" w:hAnsi="Arial" w:cs="Arial"/>
          <w:noProof/>
          <w:sz w:val="22"/>
          <w:szCs w:val="22"/>
        </w:rPr>
        <w:t>20.730,27</w:t>
      </w:r>
      <w:r w:rsidR="00F26D87" w:rsidRPr="00FE1270">
        <w:rPr>
          <w:rFonts w:ascii="Arial" w:hAnsi="Arial" w:cs="Arial"/>
          <w:noProof/>
          <w:sz w:val="22"/>
          <w:szCs w:val="22"/>
        </w:rPr>
        <w:t xml:space="preserve"> eur</w:t>
      </w:r>
      <w:r w:rsidR="00914099" w:rsidRPr="00FE1270">
        <w:rPr>
          <w:rFonts w:ascii="Arial" w:hAnsi="Arial" w:cs="Arial"/>
          <w:noProof/>
          <w:sz w:val="22"/>
          <w:szCs w:val="22"/>
        </w:rPr>
        <w:t>a</w:t>
      </w:r>
      <w:r w:rsidR="00E00508" w:rsidRPr="00FE1270">
        <w:rPr>
          <w:rFonts w:ascii="Arial" w:hAnsi="Arial" w:cs="Arial"/>
          <w:noProof/>
          <w:sz w:val="22"/>
          <w:szCs w:val="22"/>
        </w:rPr>
        <w:t>;</w:t>
      </w:r>
      <w:r w:rsidRPr="00FE1270">
        <w:rPr>
          <w:rFonts w:ascii="Arial" w:hAnsi="Arial" w:cs="Arial"/>
          <w:noProof/>
          <w:sz w:val="22"/>
          <w:szCs w:val="22"/>
        </w:rPr>
        <w:t xml:space="preserve"> dionice i udjeli u glavnici </w:t>
      </w:r>
      <w:r w:rsidR="00DF5F52" w:rsidRPr="00FE1270">
        <w:rPr>
          <w:rFonts w:ascii="Arial" w:hAnsi="Arial" w:cs="Arial"/>
          <w:noProof/>
          <w:sz w:val="22"/>
          <w:szCs w:val="22"/>
        </w:rPr>
        <w:t>(</w:t>
      </w:r>
      <w:r w:rsidR="00494B35" w:rsidRPr="00FE1270">
        <w:rPr>
          <w:rFonts w:ascii="Arial" w:hAnsi="Arial" w:cs="Arial"/>
          <w:noProof/>
          <w:sz w:val="22"/>
          <w:szCs w:val="22"/>
        </w:rPr>
        <w:t>15</w:t>
      </w:r>
      <w:r w:rsidR="00DF5F52" w:rsidRPr="00FE1270">
        <w:rPr>
          <w:rFonts w:ascii="Arial" w:hAnsi="Arial" w:cs="Arial"/>
          <w:noProof/>
          <w:sz w:val="22"/>
          <w:szCs w:val="22"/>
        </w:rPr>
        <w:t xml:space="preserve">) </w:t>
      </w:r>
      <w:r w:rsidR="00F26D87" w:rsidRPr="00FE1270">
        <w:rPr>
          <w:rFonts w:ascii="Arial" w:hAnsi="Arial" w:cs="Arial"/>
          <w:noProof/>
          <w:sz w:val="22"/>
          <w:szCs w:val="22"/>
        </w:rPr>
        <w:t>29,33 eura</w:t>
      </w:r>
      <w:r w:rsidR="00E00508" w:rsidRPr="00FE1270">
        <w:rPr>
          <w:rFonts w:ascii="Arial" w:hAnsi="Arial" w:cs="Arial"/>
          <w:noProof/>
          <w:sz w:val="22"/>
          <w:szCs w:val="22"/>
        </w:rPr>
        <w:t>;</w:t>
      </w:r>
      <w:r w:rsidR="00D1033D" w:rsidRPr="00FE1270">
        <w:rPr>
          <w:rFonts w:ascii="Arial" w:hAnsi="Arial" w:cs="Arial"/>
          <w:noProof/>
          <w:sz w:val="22"/>
          <w:szCs w:val="22"/>
        </w:rPr>
        <w:t xml:space="preserve"> </w:t>
      </w:r>
      <w:r w:rsidRPr="00FE1270">
        <w:rPr>
          <w:rFonts w:ascii="Arial" w:hAnsi="Arial" w:cs="Arial"/>
          <w:noProof/>
          <w:sz w:val="22"/>
          <w:szCs w:val="22"/>
        </w:rPr>
        <w:t xml:space="preserve">potraživanja za prihode poslovanja </w:t>
      </w:r>
      <w:r w:rsidR="00DF5F52" w:rsidRPr="00FE1270">
        <w:rPr>
          <w:rFonts w:ascii="Arial" w:hAnsi="Arial" w:cs="Arial"/>
          <w:noProof/>
          <w:sz w:val="22"/>
          <w:szCs w:val="22"/>
        </w:rPr>
        <w:t>(</w:t>
      </w:r>
      <w:r w:rsidR="00494B35" w:rsidRPr="00FE1270">
        <w:rPr>
          <w:rFonts w:ascii="Arial" w:hAnsi="Arial" w:cs="Arial"/>
          <w:noProof/>
          <w:sz w:val="22"/>
          <w:szCs w:val="22"/>
        </w:rPr>
        <w:t>16</w:t>
      </w:r>
      <w:r w:rsidR="00DF5F52" w:rsidRPr="00FE1270">
        <w:rPr>
          <w:rFonts w:ascii="Arial" w:hAnsi="Arial" w:cs="Arial"/>
          <w:noProof/>
          <w:sz w:val="22"/>
          <w:szCs w:val="22"/>
        </w:rPr>
        <w:t xml:space="preserve">) </w:t>
      </w:r>
      <w:r w:rsidR="00AB0FFC" w:rsidRPr="00FE1270">
        <w:rPr>
          <w:rFonts w:ascii="Arial" w:hAnsi="Arial" w:cs="Arial"/>
          <w:noProof/>
          <w:sz w:val="22"/>
          <w:szCs w:val="22"/>
        </w:rPr>
        <w:t>869.735,82</w:t>
      </w:r>
      <w:r w:rsidR="00F26D87" w:rsidRPr="00FE1270">
        <w:rPr>
          <w:rFonts w:ascii="Arial" w:hAnsi="Arial" w:cs="Arial"/>
          <w:noProof/>
          <w:sz w:val="22"/>
          <w:szCs w:val="22"/>
        </w:rPr>
        <w:t xml:space="preserve"> eura</w:t>
      </w:r>
      <w:r w:rsidR="00E00508" w:rsidRPr="00FE1270">
        <w:rPr>
          <w:rFonts w:ascii="Arial" w:hAnsi="Arial" w:cs="Arial"/>
          <w:noProof/>
          <w:sz w:val="22"/>
          <w:szCs w:val="22"/>
        </w:rPr>
        <w:t>;</w:t>
      </w:r>
      <w:r w:rsidRPr="00FE1270">
        <w:rPr>
          <w:rFonts w:ascii="Arial" w:hAnsi="Arial" w:cs="Arial"/>
          <w:noProof/>
          <w:sz w:val="22"/>
          <w:szCs w:val="22"/>
        </w:rPr>
        <w:t xml:space="preserve"> potraživanja od prodaje nefinancijske imovine</w:t>
      </w:r>
      <w:r w:rsidR="00DF5F52" w:rsidRPr="00FE1270">
        <w:rPr>
          <w:rFonts w:ascii="Arial" w:hAnsi="Arial" w:cs="Arial"/>
          <w:noProof/>
          <w:sz w:val="22"/>
          <w:szCs w:val="22"/>
        </w:rPr>
        <w:t xml:space="preserve"> (</w:t>
      </w:r>
      <w:r w:rsidR="00494B35" w:rsidRPr="00FE1270">
        <w:rPr>
          <w:rFonts w:ascii="Arial" w:hAnsi="Arial" w:cs="Arial"/>
          <w:noProof/>
          <w:sz w:val="22"/>
          <w:szCs w:val="22"/>
        </w:rPr>
        <w:t>17</w:t>
      </w:r>
      <w:r w:rsidR="00DF5F52" w:rsidRPr="00FE1270">
        <w:rPr>
          <w:rFonts w:ascii="Arial" w:hAnsi="Arial" w:cs="Arial"/>
          <w:noProof/>
          <w:sz w:val="22"/>
          <w:szCs w:val="22"/>
        </w:rPr>
        <w:t>)</w:t>
      </w:r>
      <w:r w:rsidRPr="00FE1270">
        <w:rPr>
          <w:rFonts w:ascii="Arial" w:hAnsi="Arial" w:cs="Arial"/>
          <w:noProof/>
          <w:sz w:val="22"/>
          <w:szCs w:val="22"/>
        </w:rPr>
        <w:t xml:space="preserve"> </w:t>
      </w:r>
      <w:r w:rsidR="00AB0FFC" w:rsidRPr="00FE1270">
        <w:rPr>
          <w:rFonts w:ascii="Arial" w:hAnsi="Arial" w:cs="Arial"/>
          <w:noProof/>
          <w:sz w:val="22"/>
          <w:szCs w:val="22"/>
        </w:rPr>
        <w:t>38.207,37</w:t>
      </w:r>
      <w:r w:rsidR="00994A42" w:rsidRPr="00FE1270">
        <w:rPr>
          <w:rFonts w:ascii="Arial" w:hAnsi="Arial" w:cs="Arial"/>
          <w:noProof/>
          <w:sz w:val="22"/>
          <w:szCs w:val="22"/>
        </w:rPr>
        <w:t xml:space="preserve"> </w:t>
      </w:r>
      <w:r w:rsidR="00914099" w:rsidRPr="00FE1270">
        <w:rPr>
          <w:rFonts w:ascii="Arial" w:hAnsi="Arial" w:cs="Arial"/>
          <w:noProof/>
          <w:sz w:val="22"/>
          <w:szCs w:val="22"/>
        </w:rPr>
        <w:t xml:space="preserve">eura </w:t>
      </w:r>
      <w:r w:rsidR="00994A42" w:rsidRPr="00FE1270">
        <w:rPr>
          <w:rFonts w:ascii="Arial" w:hAnsi="Arial" w:cs="Arial"/>
          <w:noProof/>
          <w:sz w:val="22"/>
          <w:szCs w:val="22"/>
        </w:rPr>
        <w:t>te</w:t>
      </w:r>
      <w:r w:rsidRPr="00FE1270">
        <w:rPr>
          <w:rFonts w:ascii="Arial" w:hAnsi="Arial" w:cs="Arial"/>
          <w:noProof/>
          <w:sz w:val="22"/>
          <w:szCs w:val="22"/>
        </w:rPr>
        <w:t xml:space="preserve"> rashodi budućih razdoblja </w:t>
      </w:r>
      <w:r w:rsidR="00994A42" w:rsidRPr="00FE1270">
        <w:rPr>
          <w:rFonts w:ascii="Arial" w:hAnsi="Arial" w:cs="Arial"/>
          <w:noProof/>
          <w:sz w:val="22"/>
          <w:szCs w:val="22"/>
        </w:rPr>
        <w:t xml:space="preserve">i nedospjela naplata prihoda </w:t>
      </w:r>
      <w:r w:rsidR="00DF5F52" w:rsidRPr="00FE1270">
        <w:rPr>
          <w:rFonts w:ascii="Arial" w:hAnsi="Arial" w:cs="Arial"/>
          <w:noProof/>
          <w:sz w:val="22"/>
          <w:szCs w:val="22"/>
        </w:rPr>
        <w:t>(</w:t>
      </w:r>
      <w:r w:rsidR="00494B35" w:rsidRPr="00FE1270">
        <w:rPr>
          <w:rFonts w:ascii="Arial" w:hAnsi="Arial" w:cs="Arial"/>
          <w:noProof/>
          <w:sz w:val="22"/>
          <w:szCs w:val="22"/>
        </w:rPr>
        <w:t>19</w:t>
      </w:r>
      <w:r w:rsidR="00DF5F52" w:rsidRPr="00FE1270">
        <w:rPr>
          <w:rFonts w:ascii="Arial" w:hAnsi="Arial" w:cs="Arial"/>
          <w:noProof/>
          <w:sz w:val="22"/>
          <w:szCs w:val="22"/>
        </w:rPr>
        <w:t xml:space="preserve">) </w:t>
      </w:r>
      <w:r w:rsidR="00AB0FFC" w:rsidRPr="00FE1270">
        <w:rPr>
          <w:rFonts w:ascii="Arial" w:hAnsi="Arial" w:cs="Arial"/>
          <w:noProof/>
          <w:sz w:val="22"/>
          <w:szCs w:val="22"/>
        </w:rPr>
        <w:t>2.687.944,84</w:t>
      </w:r>
      <w:r w:rsidR="00F26D87" w:rsidRPr="00FE1270">
        <w:rPr>
          <w:rFonts w:ascii="Arial" w:hAnsi="Arial" w:cs="Arial"/>
          <w:noProof/>
          <w:sz w:val="22"/>
          <w:szCs w:val="22"/>
        </w:rPr>
        <w:t xml:space="preserve"> eura</w:t>
      </w:r>
      <w:r w:rsidR="006B649A" w:rsidRPr="00FE1270">
        <w:rPr>
          <w:rFonts w:ascii="Arial" w:hAnsi="Arial" w:cs="Arial"/>
          <w:noProof/>
          <w:sz w:val="22"/>
          <w:szCs w:val="22"/>
        </w:rPr>
        <w:t>.</w:t>
      </w:r>
    </w:p>
    <w:p w:rsidR="0015682E" w:rsidRPr="00FE1270" w:rsidRDefault="0015682E" w:rsidP="00895CFF">
      <w:pPr>
        <w:jc w:val="both"/>
        <w:rPr>
          <w:rFonts w:ascii="Arial" w:hAnsi="Arial" w:cs="Arial"/>
          <w:noProof/>
          <w:sz w:val="22"/>
          <w:szCs w:val="22"/>
        </w:rPr>
      </w:pPr>
    </w:p>
    <w:p w:rsidR="0079130F" w:rsidRPr="00FE1270" w:rsidRDefault="0079130F" w:rsidP="0079130F">
      <w:pPr>
        <w:pStyle w:val="Heading4"/>
        <w:rPr>
          <w:rFonts w:cs="Arial"/>
          <w:noProof/>
          <w:szCs w:val="22"/>
        </w:rPr>
      </w:pPr>
      <w:r w:rsidRPr="00FE1270">
        <w:rPr>
          <w:rFonts w:cs="Arial"/>
          <w:noProof/>
          <w:szCs w:val="22"/>
        </w:rPr>
        <w:t>Bilješka broj 4 - obveze (</w:t>
      </w:r>
      <w:r w:rsidR="00494B35" w:rsidRPr="00FE1270">
        <w:rPr>
          <w:rFonts w:cs="Arial"/>
          <w:noProof/>
          <w:szCs w:val="22"/>
        </w:rPr>
        <w:t>2</w:t>
      </w:r>
      <w:r w:rsidRPr="00FE1270">
        <w:rPr>
          <w:rFonts w:cs="Arial"/>
          <w:noProof/>
          <w:szCs w:val="22"/>
        </w:rPr>
        <w:t>)</w:t>
      </w:r>
    </w:p>
    <w:p w:rsidR="005B0AFF" w:rsidRPr="00FE1270" w:rsidRDefault="005B0AFF" w:rsidP="00611C61">
      <w:pPr>
        <w:jc w:val="both"/>
        <w:rPr>
          <w:rFonts w:ascii="Arial" w:hAnsi="Arial" w:cs="Arial"/>
          <w:noProof/>
          <w:sz w:val="22"/>
          <w:szCs w:val="22"/>
        </w:rPr>
      </w:pPr>
      <w:r w:rsidRPr="00FE1270">
        <w:rPr>
          <w:rFonts w:ascii="Arial" w:hAnsi="Arial" w:cs="Arial"/>
          <w:noProof/>
          <w:sz w:val="22"/>
          <w:szCs w:val="22"/>
        </w:rPr>
        <w:t xml:space="preserve">Nakon </w:t>
      </w:r>
      <w:r w:rsidR="00A46B45" w:rsidRPr="00FE1270">
        <w:rPr>
          <w:rFonts w:ascii="Arial" w:hAnsi="Arial" w:cs="Arial"/>
          <w:noProof/>
          <w:sz w:val="22"/>
          <w:szCs w:val="22"/>
        </w:rPr>
        <w:t xml:space="preserve">propisane </w:t>
      </w:r>
      <w:r w:rsidRPr="00FE1270">
        <w:rPr>
          <w:rFonts w:ascii="Arial" w:hAnsi="Arial" w:cs="Arial"/>
          <w:noProof/>
          <w:sz w:val="22"/>
          <w:szCs w:val="22"/>
        </w:rPr>
        <w:t xml:space="preserve">eliminacije </w:t>
      </w:r>
      <w:r w:rsidR="00A46B45" w:rsidRPr="00FE1270">
        <w:rPr>
          <w:rFonts w:ascii="Arial" w:hAnsi="Arial" w:cs="Arial"/>
          <w:noProof/>
          <w:sz w:val="22"/>
          <w:szCs w:val="22"/>
        </w:rPr>
        <w:t>obveza (</w:t>
      </w:r>
      <w:r w:rsidR="00745DB7" w:rsidRPr="00FE1270">
        <w:rPr>
          <w:rFonts w:ascii="Arial" w:hAnsi="Arial" w:cs="Arial"/>
          <w:noProof/>
          <w:sz w:val="22"/>
          <w:szCs w:val="22"/>
        </w:rPr>
        <w:t xml:space="preserve">na računima </w:t>
      </w:r>
      <w:r w:rsidRPr="00FE1270">
        <w:rPr>
          <w:rFonts w:ascii="Arial" w:hAnsi="Arial" w:cs="Arial"/>
          <w:noProof/>
          <w:sz w:val="22"/>
          <w:szCs w:val="22"/>
        </w:rPr>
        <w:t>23956</w:t>
      </w:r>
      <w:r w:rsidR="006131CC" w:rsidRPr="00FE1270">
        <w:rPr>
          <w:rFonts w:ascii="Arial" w:hAnsi="Arial" w:cs="Arial"/>
          <w:noProof/>
          <w:sz w:val="22"/>
          <w:szCs w:val="22"/>
        </w:rPr>
        <w:t xml:space="preserve"> </w:t>
      </w:r>
      <w:r w:rsidR="008F721E" w:rsidRPr="00FE1270">
        <w:rPr>
          <w:rFonts w:ascii="Arial" w:hAnsi="Arial" w:cs="Arial"/>
          <w:noProof/>
          <w:sz w:val="22"/>
          <w:szCs w:val="22"/>
        </w:rPr>
        <w:t>=</w:t>
      </w:r>
      <w:r w:rsidR="00AB0FFC" w:rsidRPr="00FE1270">
        <w:rPr>
          <w:rFonts w:ascii="Arial" w:hAnsi="Arial" w:cs="Arial"/>
          <w:noProof/>
          <w:sz w:val="22"/>
          <w:szCs w:val="22"/>
        </w:rPr>
        <w:t xml:space="preserve">2.838.008,38 </w:t>
      </w:r>
      <w:r w:rsidR="000658B4" w:rsidRPr="00FE1270">
        <w:rPr>
          <w:rFonts w:ascii="Arial" w:hAnsi="Arial" w:cs="Arial"/>
          <w:noProof/>
          <w:sz w:val="22"/>
          <w:szCs w:val="22"/>
        </w:rPr>
        <w:t>eura</w:t>
      </w:r>
      <w:r w:rsidR="0001355A" w:rsidRPr="00FE1270">
        <w:rPr>
          <w:rFonts w:ascii="Arial" w:hAnsi="Arial" w:cs="Arial"/>
          <w:noProof/>
          <w:sz w:val="22"/>
          <w:szCs w:val="22"/>
        </w:rPr>
        <w:t>,</w:t>
      </w:r>
      <w:r w:rsidR="002B1D3F" w:rsidRPr="00FE1270">
        <w:rPr>
          <w:rFonts w:ascii="Arial" w:hAnsi="Arial" w:cs="Arial"/>
          <w:noProof/>
          <w:sz w:val="22"/>
          <w:szCs w:val="22"/>
        </w:rPr>
        <w:t xml:space="preserve"> </w:t>
      </w:r>
      <w:r w:rsidRPr="00FE1270">
        <w:rPr>
          <w:rFonts w:ascii="Arial" w:hAnsi="Arial" w:cs="Arial"/>
          <w:noProof/>
          <w:sz w:val="22"/>
          <w:szCs w:val="22"/>
        </w:rPr>
        <w:t>23958</w:t>
      </w:r>
      <w:r w:rsidR="006131CC" w:rsidRPr="00FE1270">
        <w:rPr>
          <w:rFonts w:ascii="Arial" w:hAnsi="Arial" w:cs="Arial"/>
          <w:noProof/>
          <w:sz w:val="22"/>
          <w:szCs w:val="22"/>
        </w:rPr>
        <w:t xml:space="preserve"> </w:t>
      </w:r>
      <w:r w:rsidR="008F721E" w:rsidRPr="00FE1270">
        <w:rPr>
          <w:rFonts w:ascii="Arial" w:hAnsi="Arial" w:cs="Arial"/>
          <w:noProof/>
          <w:sz w:val="22"/>
          <w:szCs w:val="22"/>
        </w:rPr>
        <w:t>=</w:t>
      </w:r>
      <w:r w:rsidR="00AB0FFC" w:rsidRPr="00FE1270">
        <w:rPr>
          <w:rFonts w:ascii="Arial" w:hAnsi="Arial" w:cs="Arial"/>
          <w:noProof/>
          <w:sz w:val="22"/>
          <w:szCs w:val="22"/>
        </w:rPr>
        <w:t>227.931,34</w:t>
      </w:r>
      <w:r w:rsidR="000658B4" w:rsidRPr="00FE1270">
        <w:rPr>
          <w:rFonts w:ascii="Arial" w:hAnsi="Arial" w:cs="Arial"/>
          <w:noProof/>
          <w:sz w:val="22"/>
          <w:szCs w:val="22"/>
        </w:rPr>
        <w:t xml:space="preserve"> eura</w:t>
      </w:r>
      <w:r w:rsidR="00A46B45" w:rsidRPr="00FE1270">
        <w:rPr>
          <w:rFonts w:ascii="Arial" w:hAnsi="Arial" w:cs="Arial"/>
          <w:b/>
          <w:noProof/>
          <w:sz w:val="22"/>
          <w:szCs w:val="22"/>
        </w:rPr>
        <w:t>,</w:t>
      </w:r>
      <w:r w:rsidR="0001355A" w:rsidRPr="00FE1270">
        <w:rPr>
          <w:rFonts w:ascii="Arial" w:hAnsi="Arial" w:cs="Arial"/>
          <w:b/>
          <w:noProof/>
          <w:sz w:val="22"/>
          <w:szCs w:val="22"/>
        </w:rPr>
        <w:t xml:space="preserve"> </w:t>
      </w:r>
      <w:r w:rsidR="0001355A" w:rsidRPr="00FE1270">
        <w:rPr>
          <w:rFonts w:ascii="Arial" w:hAnsi="Arial" w:cs="Arial"/>
          <w:noProof/>
          <w:sz w:val="22"/>
          <w:szCs w:val="22"/>
        </w:rPr>
        <w:t>2673</w:t>
      </w:r>
      <w:r w:rsidR="008B6DBB" w:rsidRPr="00FE1270">
        <w:rPr>
          <w:rFonts w:ascii="Arial" w:hAnsi="Arial" w:cs="Arial"/>
          <w:noProof/>
          <w:sz w:val="22"/>
          <w:szCs w:val="22"/>
        </w:rPr>
        <w:t>=</w:t>
      </w:r>
      <w:r w:rsidR="00AB0FFC" w:rsidRPr="00FE1270">
        <w:rPr>
          <w:rFonts w:ascii="Arial" w:hAnsi="Arial" w:cs="Arial"/>
          <w:noProof/>
          <w:sz w:val="22"/>
          <w:szCs w:val="22"/>
        </w:rPr>
        <w:t>2.250.180,38</w:t>
      </w:r>
      <w:r w:rsidR="000658B4" w:rsidRPr="00FE1270">
        <w:rPr>
          <w:rFonts w:ascii="Arial" w:hAnsi="Arial" w:cs="Arial"/>
          <w:noProof/>
          <w:sz w:val="22"/>
          <w:szCs w:val="22"/>
        </w:rPr>
        <w:t xml:space="preserve"> eura</w:t>
      </w:r>
      <w:r w:rsidR="00F50C5A" w:rsidRPr="00FE1270">
        <w:rPr>
          <w:rFonts w:ascii="Arial" w:hAnsi="Arial" w:cs="Arial"/>
          <w:noProof/>
          <w:sz w:val="22"/>
          <w:szCs w:val="22"/>
        </w:rPr>
        <w:t>;</w:t>
      </w:r>
      <w:r w:rsidR="008B6DBB" w:rsidRPr="00FE1270">
        <w:rPr>
          <w:rFonts w:ascii="Arial" w:hAnsi="Arial" w:cs="Arial"/>
          <w:noProof/>
          <w:sz w:val="22"/>
          <w:szCs w:val="22"/>
        </w:rPr>
        <w:t xml:space="preserve"> </w:t>
      </w:r>
      <w:r w:rsidR="003244AF" w:rsidRPr="00FE1270">
        <w:rPr>
          <w:rFonts w:ascii="Arial" w:hAnsi="Arial" w:cs="Arial"/>
          <w:noProof/>
          <w:sz w:val="22"/>
          <w:szCs w:val="22"/>
        </w:rPr>
        <w:t>sveu</w:t>
      </w:r>
      <w:r w:rsidR="00B10E5F" w:rsidRPr="00FE1270">
        <w:rPr>
          <w:rFonts w:ascii="Arial" w:hAnsi="Arial" w:cs="Arial"/>
          <w:noProof/>
          <w:sz w:val="22"/>
          <w:szCs w:val="22"/>
        </w:rPr>
        <w:t xml:space="preserve">kupno </w:t>
      </w:r>
      <w:r w:rsidR="00AB0FFC" w:rsidRPr="00FE1270">
        <w:rPr>
          <w:rFonts w:ascii="Arial" w:hAnsi="Arial" w:cs="Arial"/>
          <w:noProof/>
          <w:sz w:val="22"/>
          <w:szCs w:val="22"/>
        </w:rPr>
        <w:t>5.316.120,10</w:t>
      </w:r>
      <w:r w:rsidR="000658B4" w:rsidRPr="00FE1270">
        <w:rPr>
          <w:rFonts w:ascii="Arial" w:hAnsi="Arial" w:cs="Arial"/>
          <w:noProof/>
          <w:sz w:val="22"/>
          <w:szCs w:val="22"/>
        </w:rPr>
        <w:t xml:space="preserve"> eura</w:t>
      </w:r>
      <w:r w:rsidR="00745DB7" w:rsidRPr="00FE1270">
        <w:rPr>
          <w:rFonts w:ascii="Arial" w:hAnsi="Arial" w:cs="Arial"/>
          <w:noProof/>
          <w:sz w:val="22"/>
          <w:szCs w:val="22"/>
        </w:rPr>
        <w:t>)</w:t>
      </w:r>
      <w:r w:rsidR="00A46B45" w:rsidRPr="00FE1270">
        <w:rPr>
          <w:rFonts w:ascii="Arial" w:hAnsi="Arial" w:cs="Arial"/>
          <w:noProof/>
          <w:sz w:val="22"/>
          <w:szCs w:val="22"/>
        </w:rPr>
        <w:t>,</w:t>
      </w:r>
      <w:r w:rsidR="00B10E5F" w:rsidRPr="00FE1270">
        <w:rPr>
          <w:rFonts w:ascii="Arial" w:hAnsi="Arial" w:cs="Arial"/>
          <w:noProof/>
          <w:sz w:val="22"/>
          <w:szCs w:val="22"/>
        </w:rPr>
        <w:t xml:space="preserve"> </w:t>
      </w:r>
      <w:r w:rsidR="00A46B45" w:rsidRPr="00FE1270">
        <w:rPr>
          <w:rFonts w:ascii="Arial" w:hAnsi="Arial" w:cs="Arial"/>
          <w:noProof/>
          <w:sz w:val="22"/>
          <w:szCs w:val="22"/>
        </w:rPr>
        <w:t xml:space="preserve">iskazuje se </w:t>
      </w:r>
      <w:r w:rsidR="0044522C" w:rsidRPr="00FE1270">
        <w:rPr>
          <w:rFonts w:ascii="Arial" w:hAnsi="Arial" w:cs="Arial"/>
          <w:noProof/>
          <w:sz w:val="22"/>
          <w:szCs w:val="22"/>
        </w:rPr>
        <w:t xml:space="preserve">podatak o stanju </w:t>
      </w:r>
      <w:r w:rsidR="00300821" w:rsidRPr="00FE1270">
        <w:rPr>
          <w:rFonts w:ascii="Arial" w:hAnsi="Arial" w:cs="Arial"/>
          <w:noProof/>
          <w:sz w:val="22"/>
          <w:szCs w:val="22"/>
        </w:rPr>
        <w:t xml:space="preserve">obveza </w:t>
      </w:r>
      <w:r w:rsidRPr="00FE1270">
        <w:rPr>
          <w:rFonts w:ascii="Arial" w:hAnsi="Arial" w:cs="Arial"/>
          <w:noProof/>
          <w:sz w:val="22"/>
          <w:szCs w:val="22"/>
        </w:rPr>
        <w:t>konsolidiran</w:t>
      </w:r>
      <w:r w:rsidR="0044522C" w:rsidRPr="00FE1270">
        <w:rPr>
          <w:rFonts w:ascii="Arial" w:hAnsi="Arial" w:cs="Arial"/>
          <w:noProof/>
          <w:sz w:val="22"/>
          <w:szCs w:val="22"/>
        </w:rPr>
        <w:t>e</w:t>
      </w:r>
      <w:r w:rsidRPr="00FE1270">
        <w:rPr>
          <w:rFonts w:ascii="Arial" w:hAnsi="Arial" w:cs="Arial"/>
          <w:noProof/>
          <w:sz w:val="22"/>
          <w:szCs w:val="22"/>
        </w:rPr>
        <w:t xml:space="preserve"> </w:t>
      </w:r>
      <w:r w:rsidR="00745DB7" w:rsidRPr="00FE1270">
        <w:rPr>
          <w:rFonts w:ascii="Arial" w:hAnsi="Arial" w:cs="Arial"/>
          <w:noProof/>
          <w:sz w:val="22"/>
          <w:szCs w:val="22"/>
        </w:rPr>
        <w:t>grupe</w:t>
      </w:r>
      <w:r w:rsidR="00300821" w:rsidRPr="00FE1270">
        <w:rPr>
          <w:rFonts w:ascii="Arial" w:hAnsi="Arial" w:cs="Arial"/>
          <w:noProof/>
          <w:sz w:val="22"/>
          <w:szCs w:val="22"/>
        </w:rPr>
        <w:t>:</w:t>
      </w:r>
    </w:p>
    <w:p w:rsidR="0079130F" w:rsidRPr="00FE1270" w:rsidRDefault="00271789" w:rsidP="00611C61">
      <w:pPr>
        <w:jc w:val="both"/>
        <w:rPr>
          <w:rFonts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s</w:t>
      </w:r>
      <w:r w:rsidR="00F50C5A" w:rsidRPr="00FE1270">
        <w:rPr>
          <w:rFonts w:ascii="Arial" w:hAnsi="Arial" w:cs="Arial"/>
          <w:noProof/>
          <w:sz w:val="22"/>
          <w:szCs w:val="22"/>
        </w:rPr>
        <w:t xml:space="preserve">tanje ukupnih obveza </w:t>
      </w:r>
      <w:r w:rsidR="00651E72">
        <w:rPr>
          <w:rFonts w:ascii="Arial" w:hAnsi="Arial" w:cs="Arial"/>
          <w:noProof/>
          <w:sz w:val="22"/>
          <w:szCs w:val="22"/>
        </w:rPr>
        <w:t xml:space="preserve">u bilanci </w:t>
      </w:r>
      <w:r w:rsidR="0079130F" w:rsidRPr="00FE1270">
        <w:rPr>
          <w:rFonts w:ascii="Arial" w:hAnsi="Arial" w:cs="Arial"/>
          <w:noProof/>
          <w:sz w:val="22"/>
          <w:szCs w:val="22"/>
        </w:rPr>
        <w:t>iznos</w:t>
      </w:r>
      <w:r w:rsidR="00F50C5A" w:rsidRPr="00FE1270">
        <w:rPr>
          <w:rFonts w:ascii="Arial" w:hAnsi="Arial" w:cs="Arial"/>
          <w:noProof/>
          <w:sz w:val="22"/>
          <w:szCs w:val="22"/>
        </w:rPr>
        <w:t>i</w:t>
      </w:r>
      <w:r w:rsidR="0079130F" w:rsidRPr="00FE1270">
        <w:rPr>
          <w:rFonts w:ascii="Arial" w:hAnsi="Arial" w:cs="Arial"/>
          <w:noProof/>
          <w:sz w:val="22"/>
          <w:szCs w:val="22"/>
        </w:rPr>
        <w:t xml:space="preserve"> </w:t>
      </w:r>
      <w:r w:rsidR="00834FD4" w:rsidRPr="00FE1270">
        <w:rPr>
          <w:rFonts w:ascii="Arial" w:hAnsi="Arial" w:cs="Arial"/>
          <w:noProof/>
          <w:sz w:val="22"/>
          <w:szCs w:val="22"/>
        </w:rPr>
        <w:t>70.081.382,12</w:t>
      </w:r>
      <w:r w:rsidR="00BA4873" w:rsidRPr="00FE1270">
        <w:rPr>
          <w:rFonts w:ascii="Arial" w:hAnsi="Arial" w:cs="Arial"/>
          <w:noProof/>
          <w:sz w:val="22"/>
          <w:szCs w:val="22"/>
        </w:rPr>
        <w:t xml:space="preserve"> eura</w:t>
      </w:r>
      <w:r w:rsidR="001757CB" w:rsidRPr="00FE1270">
        <w:rPr>
          <w:rFonts w:ascii="Arial" w:hAnsi="Arial" w:cs="Arial"/>
          <w:noProof/>
          <w:sz w:val="22"/>
          <w:szCs w:val="22"/>
        </w:rPr>
        <w:t xml:space="preserve"> i</w:t>
      </w:r>
      <w:r w:rsidR="0079130F" w:rsidRPr="00FE1270">
        <w:rPr>
          <w:rFonts w:ascii="Arial" w:hAnsi="Arial" w:cs="Arial"/>
          <w:noProof/>
          <w:sz w:val="22"/>
          <w:szCs w:val="22"/>
        </w:rPr>
        <w:t xml:space="preserve"> </w:t>
      </w:r>
      <w:r w:rsidR="00037409" w:rsidRPr="00FE1270">
        <w:rPr>
          <w:rFonts w:ascii="Arial" w:hAnsi="Arial" w:cs="Arial"/>
          <w:noProof/>
          <w:sz w:val="22"/>
          <w:szCs w:val="22"/>
        </w:rPr>
        <w:t xml:space="preserve">u </w:t>
      </w:r>
      <w:r w:rsidR="00A4422F">
        <w:rPr>
          <w:rFonts w:ascii="Arial" w:hAnsi="Arial" w:cs="Arial"/>
          <w:noProof/>
          <w:sz w:val="22"/>
          <w:szCs w:val="22"/>
        </w:rPr>
        <w:t xml:space="preserve">odnosu na </w:t>
      </w:r>
      <w:r w:rsidR="00651E72">
        <w:rPr>
          <w:rFonts w:ascii="Arial" w:hAnsi="Arial" w:cs="Arial"/>
          <w:noProof/>
          <w:sz w:val="22"/>
          <w:szCs w:val="22"/>
        </w:rPr>
        <w:t xml:space="preserve">stanje </w:t>
      </w:r>
      <w:r w:rsidR="00A4422F">
        <w:rPr>
          <w:rFonts w:ascii="Arial" w:hAnsi="Arial" w:cs="Arial"/>
          <w:noProof/>
          <w:sz w:val="22"/>
          <w:szCs w:val="22"/>
        </w:rPr>
        <w:t>prethodn</w:t>
      </w:r>
      <w:r w:rsidR="00651E72">
        <w:rPr>
          <w:rFonts w:ascii="Arial" w:hAnsi="Arial" w:cs="Arial"/>
          <w:noProof/>
          <w:sz w:val="22"/>
          <w:szCs w:val="22"/>
        </w:rPr>
        <w:t>e</w:t>
      </w:r>
      <w:r w:rsidR="00A4422F">
        <w:rPr>
          <w:rFonts w:ascii="Arial" w:hAnsi="Arial" w:cs="Arial"/>
          <w:noProof/>
          <w:sz w:val="22"/>
          <w:szCs w:val="22"/>
        </w:rPr>
        <w:t xml:space="preserve"> godin</w:t>
      </w:r>
      <w:r w:rsidR="00651E72">
        <w:rPr>
          <w:rFonts w:ascii="Arial" w:hAnsi="Arial" w:cs="Arial"/>
          <w:noProof/>
          <w:sz w:val="22"/>
          <w:szCs w:val="22"/>
        </w:rPr>
        <w:t>e</w:t>
      </w:r>
      <w:r w:rsidR="00A4422F">
        <w:rPr>
          <w:rFonts w:ascii="Arial" w:hAnsi="Arial" w:cs="Arial"/>
          <w:noProof/>
          <w:sz w:val="22"/>
          <w:szCs w:val="22"/>
        </w:rPr>
        <w:t xml:space="preserve"> značajno </w:t>
      </w:r>
      <w:r w:rsidR="00651E72">
        <w:rPr>
          <w:rFonts w:ascii="Arial" w:hAnsi="Arial" w:cs="Arial"/>
          <w:noProof/>
          <w:sz w:val="22"/>
          <w:szCs w:val="22"/>
        </w:rPr>
        <w:t>je</w:t>
      </w:r>
      <w:r w:rsidR="00A4422F">
        <w:rPr>
          <w:rFonts w:ascii="Arial" w:hAnsi="Arial" w:cs="Arial"/>
          <w:noProof/>
          <w:sz w:val="22"/>
          <w:szCs w:val="22"/>
        </w:rPr>
        <w:t xml:space="preserve"> smanjen</w:t>
      </w:r>
      <w:r w:rsidR="00651E72">
        <w:rPr>
          <w:rFonts w:ascii="Arial" w:hAnsi="Arial" w:cs="Arial"/>
          <w:noProof/>
          <w:sz w:val="22"/>
          <w:szCs w:val="22"/>
        </w:rPr>
        <w:t>o</w:t>
      </w:r>
      <w:r w:rsidR="00A4422F">
        <w:rPr>
          <w:rFonts w:ascii="Arial" w:hAnsi="Arial" w:cs="Arial"/>
          <w:noProof/>
          <w:sz w:val="22"/>
          <w:szCs w:val="22"/>
        </w:rPr>
        <w:t>, za 6.065.352,14 eura ili 8%. Ukupne o</w:t>
      </w:r>
      <w:r w:rsidR="0079130F" w:rsidRPr="00FE1270">
        <w:rPr>
          <w:rFonts w:ascii="Arial" w:hAnsi="Arial" w:cs="Arial"/>
          <w:noProof/>
          <w:sz w:val="22"/>
          <w:szCs w:val="22"/>
        </w:rPr>
        <w:t>bveze Grada</w:t>
      </w:r>
      <w:r w:rsidR="00A4422F">
        <w:rPr>
          <w:rFonts w:ascii="Arial" w:hAnsi="Arial" w:cs="Arial"/>
          <w:noProof/>
          <w:sz w:val="22"/>
          <w:szCs w:val="22"/>
        </w:rPr>
        <w:t>, nakon eliminacije unutargrupnih transakcija,</w:t>
      </w:r>
      <w:r w:rsidR="008F3F1F" w:rsidRPr="00FE1270">
        <w:rPr>
          <w:rFonts w:ascii="Arial" w:hAnsi="Arial" w:cs="Arial"/>
          <w:noProof/>
          <w:sz w:val="22"/>
          <w:szCs w:val="22"/>
        </w:rPr>
        <w:t xml:space="preserve"> </w:t>
      </w:r>
      <w:r w:rsidR="00A4422F">
        <w:rPr>
          <w:rFonts w:ascii="Arial" w:hAnsi="Arial" w:cs="Arial"/>
          <w:noProof/>
          <w:sz w:val="22"/>
          <w:szCs w:val="22"/>
        </w:rPr>
        <w:t xml:space="preserve">iznose </w:t>
      </w:r>
      <w:r w:rsidR="00834FD4" w:rsidRPr="00FE1270">
        <w:rPr>
          <w:rFonts w:ascii="Arial" w:hAnsi="Arial" w:cs="Arial"/>
          <w:noProof/>
          <w:sz w:val="22"/>
          <w:szCs w:val="22"/>
        </w:rPr>
        <w:t>53.642.334,64</w:t>
      </w:r>
      <w:r w:rsidR="003E6891" w:rsidRPr="00FE1270">
        <w:rPr>
          <w:rFonts w:ascii="Arial" w:hAnsi="Arial" w:cs="Arial"/>
          <w:noProof/>
          <w:sz w:val="22"/>
          <w:szCs w:val="22"/>
        </w:rPr>
        <w:t xml:space="preserve"> eura</w:t>
      </w:r>
      <w:r w:rsidR="0079130F" w:rsidRPr="00FE1270">
        <w:rPr>
          <w:rFonts w:ascii="Arial" w:hAnsi="Arial" w:cs="Arial"/>
          <w:noProof/>
          <w:sz w:val="22"/>
          <w:szCs w:val="22"/>
        </w:rPr>
        <w:t xml:space="preserve"> ili </w:t>
      </w:r>
      <w:r w:rsidR="005709F6" w:rsidRPr="00FE1270">
        <w:rPr>
          <w:rFonts w:ascii="Arial" w:hAnsi="Arial" w:cs="Arial"/>
          <w:noProof/>
          <w:sz w:val="22"/>
          <w:szCs w:val="22"/>
        </w:rPr>
        <w:t>76,5</w:t>
      </w:r>
      <w:r w:rsidR="00745DB7" w:rsidRPr="00FE1270">
        <w:rPr>
          <w:rFonts w:ascii="Arial" w:hAnsi="Arial" w:cs="Arial"/>
          <w:noProof/>
          <w:sz w:val="22"/>
          <w:szCs w:val="22"/>
        </w:rPr>
        <w:t>%</w:t>
      </w:r>
      <w:r w:rsidR="00766D82" w:rsidRPr="00FE1270">
        <w:rPr>
          <w:rFonts w:ascii="Arial" w:hAnsi="Arial" w:cs="Arial"/>
          <w:noProof/>
          <w:sz w:val="22"/>
          <w:szCs w:val="22"/>
        </w:rPr>
        <w:t>)</w:t>
      </w:r>
      <w:r w:rsidR="001757CB" w:rsidRPr="00FE1270">
        <w:rPr>
          <w:rFonts w:ascii="Arial" w:hAnsi="Arial" w:cs="Arial"/>
          <w:noProof/>
          <w:sz w:val="22"/>
          <w:szCs w:val="22"/>
        </w:rPr>
        <w:t>. U</w:t>
      </w:r>
      <w:r w:rsidR="004B16A8" w:rsidRPr="00FE1270">
        <w:rPr>
          <w:rFonts w:ascii="Arial" w:hAnsi="Arial" w:cs="Arial"/>
          <w:noProof/>
          <w:sz w:val="22"/>
          <w:szCs w:val="22"/>
        </w:rPr>
        <w:t>kupn</w:t>
      </w:r>
      <w:r w:rsidR="00037409" w:rsidRPr="00FE1270">
        <w:rPr>
          <w:rFonts w:ascii="Arial" w:hAnsi="Arial" w:cs="Arial"/>
          <w:noProof/>
          <w:sz w:val="22"/>
          <w:szCs w:val="22"/>
        </w:rPr>
        <w:t>e</w:t>
      </w:r>
      <w:r w:rsidR="004B16A8" w:rsidRPr="00FE1270">
        <w:rPr>
          <w:rFonts w:ascii="Arial" w:hAnsi="Arial" w:cs="Arial"/>
          <w:noProof/>
          <w:sz w:val="22"/>
          <w:szCs w:val="22"/>
        </w:rPr>
        <w:t xml:space="preserve"> </w:t>
      </w:r>
      <w:r w:rsidR="0079130F" w:rsidRPr="00FE1270">
        <w:rPr>
          <w:rFonts w:ascii="Arial" w:hAnsi="Arial" w:cs="Arial"/>
          <w:noProof/>
          <w:sz w:val="22"/>
          <w:szCs w:val="22"/>
        </w:rPr>
        <w:t xml:space="preserve">obveze korisnika </w:t>
      </w:r>
      <w:r w:rsidR="00FD273F" w:rsidRPr="00FE1270">
        <w:rPr>
          <w:rFonts w:ascii="Arial" w:hAnsi="Arial" w:cs="Arial"/>
          <w:noProof/>
          <w:sz w:val="22"/>
          <w:szCs w:val="22"/>
        </w:rPr>
        <w:t xml:space="preserve">iznose </w:t>
      </w:r>
      <w:r w:rsidR="005709F6" w:rsidRPr="00FE1270">
        <w:rPr>
          <w:rFonts w:ascii="Arial" w:hAnsi="Arial" w:cs="Arial"/>
          <w:noProof/>
          <w:sz w:val="22"/>
          <w:szCs w:val="22"/>
        </w:rPr>
        <w:t>16.439.047,48</w:t>
      </w:r>
      <w:r w:rsidR="00BA4873" w:rsidRPr="00FE1270">
        <w:rPr>
          <w:rFonts w:ascii="Arial" w:hAnsi="Arial" w:cs="Arial"/>
          <w:noProof/>
          <w:sz w:val="22"/>
          <w:szCs w:val="22"/>
        </w:rPr>
        <w:t xml:space="preserve"> eura</w:t>
      </w:r>
      <w:r w:rsidR="0079130F" w:rsidRPr="00FE1270">
        <w:rPr>
          <w:rFonts w:ascii="Arial" w:hAnsi="Arial" w:cs="Arial"/>
          <w:noProof/>
          <w:sz w:val="22"/>
          <w:szCs w:val="22"/>
        </w:rPr>
        <w:t xml:space="preserve"> ili</w:t>
      </w:r>
      <w:r w:rsidR="00BE46D9" w:rsidRPr="00FE1270">
        <w:rPr>
          <w:rFonts w:ascii="Arial" w:hAnsi="Arial" w:cs="Arial"/>
          <w:noProof/>
          <w:sz w:val="22"/>
          <w:szCs w:val="22"/>
        </w:rPr>
        <w:t xml:space="preserve"> </w:t>
      </w:r>
      <w:r w:rsidR="00A93C44" w:rsidRPr="00FE1270">
        <w:rPr>
          <w:rFonts w:ascii="Arial" w:hAnsi="Arial" w:cs="Arial"/>
          <w:noProof/>
          <w:sz w:val="22"/>
          <w:szCs w:val="22"/>
        </w:rPr>
        <w:t xml:space="preserve">preostalih </w:t>
      </w:r>
      <w:r w:rsidR="005709F6" w:rsidRPr="00FE1270">
        <w:rPr>
          <w:rFonts w:ascii="Arial" w:hAnsi="Arial" w:cs="Arial"/>
          <w:noProof/>
          <w:sz w:val="22"/>
          <w:szCs w:val="22"/>
        </w:rPr>
        <w:t>23,5</w:t>
      </w:r>
      <w:r w:rsidR="0079130F" w:rsidRPr="00FE1270">
        <w:rPr>
          <w:rFonts w:ascii="Arial" w:hAnsi="Arial" w:cs="Arial"/>
          <w:noProof/>
          <w:sz w:val="22"/>
          <w:szCs w:val="22"/>
        </w:rPr>
        <w:t>%.</w:t>
      </w:r>
      <w:r w:rsidR="00A771B4" w:rsidRPr="00FE1270">
        <w:rPr>
          <w:rFonts w:cs="Arial"/>
          <w:noProof/>
          <w:sz w:val="22"/>
          <w:szCs w:val="22"/>
        </w:rPr>
        <w:t xml:space="preserve"> </w:t>
      </w:r>
    </w:p>
    <w:p w:rsidR="00A771B4" w:rsidRPr="00FE1270" w:rsidRDefault="00A771B4" w:rsidP="00611C61">
      <w:pPr>
        <w:jc w:val="both"/>
        <w:rPr>
          <w:rFonts w:ascii="Arial" w:hAnsi="Arial" w:cs="Arial"/>
          <w:noProof/>
          <w:sz w:val="22"/>
          <w:szCs w:val="22"/>
        </w:rPr>
      </w:pPr>
      <w:r w:rsidRPr="00FE1270">
        <w:rPr>
          <w:rFonts w:ascii="Arial" w:hAnsi="Arial" w:cs="Arial"/>
          <w:noProof/>
          <w:sz w:val="22"/>
          <w:szCs w:val="22"/>
        </w:rPr>
        <w:t>U</w:t>
      </w:r>
      <w:r w:rsidR="0044522C" w:rsidRPr="00FE1270">
        <w:rPr>
          <w:rFonts w:ascii="Arial" w:hAnsi="Arial" w:cs="Arial"/>
          <w:noProof/>
          <w:sz w:val="22"/>
          <w:szCs w:val="22"/>
        </w:rPr>
        <w:t xml:space="preserve">sporedbom </w:t>
      </w:r>
      <w:r w:rsidR="00A03937" w:rsidRPr="00FE1270">
        <w:rPr>
          <w:rFonts w:ascii="Arial" w:hAnsi="Arial" w:cs="Arial"/>
          <w:noProof/>
          <w:sz w:val="22"/>
          <w:szCs w:val="22"/>
        </w:rPr>
        <w:t>stanja ob</w:t>
      </w:r>
      <w:r w:rsidRPr="00FE1270">
        <w:rPr>
          <w:rFonts w:ascii="Arial" w:hAnsi="Arial" w:cs="Arial"/>
          <w:noProof/>
          <w:sz w:val="22"/>
          <w:szCs w:val="22"/>
        </w:rPr>
        <w:t>veza u obrascu Bilanca</w:t>
      </w:r>
      <w:r w:rsidR="00060BED" w:rsidRPr="00FE1270">
        <w:rPr>
          <w:rFonts w:ascii="Arial" w:hAnsi="Arial" w:cs="Arial"/>
          <w:noProof/>
          <w:sz w:val="22"/>
          <w:szCs w:val="22"/>
        </w:rPr>
        <w:t xml:space="preserve"> (</w:t>
      </w:r>
      <w:r w:rsidR="005709F6" w:rsidRPr="00FE1270">
        <w:rPr>
          <w:rFonts w:ascii="Arial" w:hAnsi="Arial" w:cs="Arial"/>
          <w:noProof/>
          <w:sz w:val="22"/>
          <w:szCs w:val="22"/>
        </w:rPr>
        <w:t>70.081.382,12</w:t>
      </w:r>
      <w:r w:rsidR="00BA4873" w:rsidRPr="00FE1270">
        <w:rPr>
          <w:rFonts w:ascii="Arial" w:hAnsi="Arial" w:cs="Arial"/>
          <w:noProof/>
          <w:sz w:val="22"/>
          <w:szCs w:val="22"/>
        </w:rPr>
        <w:t xml:space="preserve"> eura </w:t>
      </w:r>
      <w:r w:rsidR="00060BED" w:rsidRPr="00FE1270">
        <w:rPr>
          <w:rFonts w:ascii="Arial" w:hAnsi="Arial" w:cs="Arial"/>
          <w:noProof/>
          <w:sz w:val="22"/>
          <w:szCs w:val="22"/>
        </w:rPr>
        <w:t>)</w:t>
      </w:r>
      <w:r w:rsidRPr="00FE1270">
        <w:rPr>
          <w:rFonts w:ascii="Arial" w:hAnsi="Arial" w:cs="Arial"/>
          <w:noProof/>
          <w:sz w:val="22"/>
          <w:szCs w:val="22"/>
        </w:rPr>
        <w:t xml:space="preserve"> i </w:t>
      </w:r>
      <w:r w:rsidR="0044522C" w:rsidRPr="00FE1270">
        <w:rPr>
          <w:rFonts w:ascii="Arial" w:hAnsi="Arial" w:cs="Arial"/>
          <w:noProof/>
          <w:sz w:val="22"/>
          <w:szCs w:val="22"/>
        </w:rPr>
        <w:t xml:space="preserve">u </w:t>
      </w:r>
      <w:r w:rsidRPr="00FE1270">
        <w:rPr>
          <w:rFonts w:ascii="Arial" w:hAnsi="Arial" w:cs="Arial"/>
          <w:noProof/>
          <w:sz w:val="22"/>
          <w:szCs w:val="22"/>
        </w:rPr>
        <w:t>obrascu Obveze</w:t>
      </w:r>
      <w:r w:rsidR="00060BED" w:rsidRPr="00FE1270">
        <w:rPr>
          <w:rFonts w:ascii="Arial" w:hAnsi="Arial" w:cs="Arial"/>
          <w:noProof/>
          <w:sz w:val="22"/>
          <w:szCs w:val="22"/>
        </w:rPr>
        <w:t xml:space="preserve"> (</w:t>
      </w:r>
      <w:r w:rsidR="005709F6" w:rsidRPr="00FE1270">
        <w:rPr>
          <w:rFonts w:ascii="Arial" w:hAnsi="Arial" w:cs="Arial"/>
          <w:noProof/>
          <w:sz w:val="22"/>
          <w:szCs w:val="22"/>
        </w:rPr>
        <w:t>70.014.776,38</w:t>
      </w:r>
      <w:r w:rsidR="00300821" w:rsidRPr="00FE1270">
        <w:rPr>
          <w:rFonts w:ascii="Arial" w:hAnsi="Arial" w:cs="Arial"/>
          <w:noProof/>
          <w:sz w:val="22"/>
          <w:szCs w:val="22"/>
        </w:rPr>
        <w:t xml:space="preserve"> eura</w:t>
      </w:r>
      <w:r w:rsidR="00060BED" w:rsidRPr="00FE1270">
        <w:rPr>
          <w:rFonts w:ascii="Arial" w:hAnsi="Arial" w:cs="Arial"/>
          <w:noProof/>
          <w:sz w:val="22"/>
          <w:szCs w:val="22"/>
        </w:rPr>
        <w:t>)</w:t>
      </w:r>
      <w:r w:rsidRPr="00FE1270">
        <w:rPr>
          <w:rFonts w:ascii="Arial" w:hAnsi="Arial" w:cs="Arial"/>
          <w:noProof/>
          <w:sz w:val="22"/>
          <w:szCs w:val="22"/>
        </w:rPr>
        <w:t xml:space="preserve"> </w:t>
      </w:r>
      <w:r w:rsidR="00D621C5" w:rsidRPr="00FE1270">
        <w:rPr>
          <w:rFonts w:ascii="Arial" w:hAnsi="Arial" w:cs="Arial"/>
          <w:noProof/>
          <w:sz w:val="22"/>
          <w:szCs w:val="22"/>
        </w:rPr>
        <w:t xml:space="preserve">vidljiva je </w:t>
      </w:r>
      <w:r w:rsidRPr="00FE1270">
        <w:rPr>
          <w:rFonts w:ascii="Arial" w:hAnsi="Arial" w:cs="Arial"/>
          <w:noProof/>
          <w:sz w:val="22"/>
          <w:szCs w:val="22"/>
        </w:rPr>
        <w:t xml:space="preserve">razlika </w:t>
      </w:r>
      <w:r w:rsidR="00D621C5" w:rsidRPr="00FE1270">
        <w:rPr>
          <w:rFonts w:ascii="Arial" w:hAnsi="Arial" w:cs="Arial"/>
          <w:noProof/>
          <w:sz w:val="22"/>
          <w:szCs w:val="22"/>
        </w:rPr>
        <w:t xml:space="preserve">od </w:t>
      </w:r>
      <w:r w:rsidR="008355B0" w:rsidRPr="00FE1270">
        <w:rPr>
          <w:rFonts w:ascii="Arial" w:hAnsi="Arial" w:cs="Arial"/>
          <w:noProof/>
          <w:sz w:val="22"/>
          <w:szCs w:val="22"/>
        </w:rPr>
        <w:t xml:space="preserve">66.605,74 </w:t>
      </w:r>
      <w:r w:rsidR="00EC37E5" w:rsidRPr="00FE1270">
        <w:rPr>
          <w:rFonts w:ascii="Arial" w:hAnsi="Arial" w:cs="Arial"/>
          <w:noProof/>
          <w:sz w:val="22"/>
          <w:szCs w:val="22"/>
        </w:rPr>
        <w:t>eura</w:t>
      </w:r>
      <w:r w:rsidR="00137103" w:rsidRPr="00FE1270">
        <w:rPr>
          <w:rFonts w:ascii="Arial" w:hAnsi="Arial" w:cs="Arial"/>
          <w:noProof/>
          <w:sz w:val="22"/>
          <w:szCs w:val="22"/>
        </w:rPr>
        <w:t xml:space="preserve"> (Grad </w:t>
      </w:r>
      <w:r w:rsidR="008355B0" w:rsidRPr="00FE1270">
        <w:rPr>
          <w:rFonts w:ascii="Arial" w:hAnsi="Arial" w:cs="Arial"/>
          <w:noProof/>
          <w:sz w:val="22"/>
          <w:szCs w:val="22"/>
        </w:rPr>
        <w:t>64.391,94</w:t>
      </w:r>
      <w:r w:rsidR="003E6891" w:rsidRPr="00FE1270">
        <w:rPr>
          <w:rFonts w:ascii="Arial" w:hAnsi="Arial" w:cs="Arial"/>
          <w:noProof/>
          <w:sz w:val="22"/>
          <w:szCs w:val="22"/>
        </w:rPr>
        <w:t xml:space="preserve"> eura</w:t>
      </w:r>
      <w:r w:rsidR="00DC28D2" w:rsidRPr="00FE1270">
        <w:rPr>
          <w:rFonts w:ascii="Arial" w:hAnsi="Arial" w:cs="Arial"/>
          <w:noProof/>
          <w:sz w:val="22"/>
          <w:szCs w:val="22"/>
        </w:rPr>
        <w:t xml:space="preserve"> i ustanove kulture </w:t>
      </w:r>
      <w:r w:rsidR="008355B0" w:rsidRPr="00FE1270">
        <w:rPr>
          <w:rFonts w:ascii="Arial" w:hAnsi="Arial" w:cs="Arial"/>
          <w:noProof/>
          <w:sz w:val="22"/>
          <w:szCs w:val="22"/>
        </w:rPr>
        <w:t>2.213,80</w:t>
      </w:r>
      <w:r w:rsidR="00EC37E5" w:rsidRPr="00FE1270">
        <w:rPr>
          <w:rFonts w:ascii="Arial" w:hAnsi="Arial" w:cs="Arial"/>
          <w:noProof/>
          <w:sz w:val="22"/>
          <w:szCs w:val="22"/>
        </w:rPr>
        <w:t xml:space="preserve"> eura</w:t>
      </w:r>
      <w:r w:rsidR="00DC28D2" w:rsidRPr="00FE1270">
        <w:rPr>
          <w:rFonts w:ascii="Arial" w:hAnsi="Arial" w:cs="Arial"/>
          <w:noProof/>
          <w:sz w:val="22"/>
          <w:szCs w:val="22"/>
        </w:rPr>
        <w:t>)</w:t>
      </w:r>
      <w:r w:rsidR="003F492E" w:rsidRPr="00FE1270">
        <w:rPr>
          <w:rFonts w:ascii="Arial" w:hAnsi="Arial" w:cs="Arial"/>
          <w:noProof/>
          <w:sz w:val="22"/>
          <w:szCs w:val="22"/>
        </w:rPr>
        <w:t xml:space="preserve"> za iznos stanja na računu 29 </w:t>
      </w:r>
      <w:r w:rsidR="00060BED" w:rsidRPr="00FE1270">
        <w:rPr>
          <w:rFonts w:ascii="Arial" w:hAnsi="Arial" w:cs="Arial"/>
          <w:noProof/>
          <w:sz w:val="22"/>
          <w:szCs w:val="22"/>
        </w:rPr>
        <w:t>–</w:t>
      </w:r>
      <w:r w:rsidR="000F0959" w:rsidRPr="00FE1270">
        <w:rPr>
          <w:rFonts w:ascii="Arial" w:hAnsi="Arial" w:cs="Arial"/>
          <w:noProof/>
          <w:sz w:val="22"/>
          <w:szCs w:val="22"/>
        </w:rPr>
        <w:t xml:space="preserve"> </w:t>
      </w:r>
      <w:r w:rsidR="00060BED" w:rsidRPr="00FE1270">
        <w:rPr>
          <w:rFonts w:ascii="Arial" w:hAnsi="Arial" w:cs="Arial"/>
          <w:noProof/>
          <w:sz w:val="22"/>
          <w:szCs w:val="22"/>
        </w:rPr>
        <w:t>odgođeno plaćanje rashoda i prihodi budućih razdoblja</w:t>
      </w:r>
      <w:r w:rsidR="00B002B4" w:rsidRPr="00FE1270">
        <w:rPr>
          <w:rFonts w:ascii="Arial" w:hAnsi="Arial" w:cs="Arial"/>
          <w:noProof/>
          <w:sz w:val="22"/>
          <w:szCs w:val="22"/>
        </w:rPr>
        <w:t xml:space="preserve"> </w:t>
      </w:r>
      <w:r w:rsidR="003F492E" w:rsidRPr="00FE1270">
        <w:rPr>
          <w:rFonts w:ascii="Arial" w:hAnsi="Arial" w:cs="Arial"/>
          <w:noProof/>
          <w:sz w:val="22"/>
          <w:szCs w:val="22"/>
        </w:rPr>
        <w:t>koji se, u skladu s propisima iskazuje u obrascu Bilanca</w:t>
      </w:r>
      <w:r w:rsidR="00271789">
        <w:rPr>
          <w:rFonts w:ascii="Arial" w:hAnsi="Arial" w:cs="Arial"/>
          <w:noProof/>
          <w:sz w:val="22"/>
          <w:szCs w:val="22"/>
        </w:rPr>
        <w:t xml:space="preserve"> dok se </w:t>
      </w:r>
      <w:r w:rsidR="003F492E" w:rsidRPr="00FE1270">
        <w:rPr>
          <w:rFonts w:ascii="Arial" w:hAnsi="Arial" w:cs="Arial"/>
          <w:noProof/>
          <w:sz w:val="22"/>
          <w:szCs w:val="22"/>
        </w:rPr>
        <w:t>u obrascu Obveze se ne iskazuje</w:t>
      </w:r>
      <w:r w:rsidR="00B002B4" w:rsidRPr="00FE1270">
        <w:rPr>
          <w:rFonts w:ascii="Arial" w:hAnsi="Arial" w:cs="Arial"/>
          <w:noProof/>
          <w:sz w:val="22"/>
          <w:szCs w:val="22"/>
        </w:rPr>
        <w:t>.</w:t>
      </w:r>
      <w:r w:rsidR="00060BED" w:rsidRPr="00FE1270">
        <w:rPr>
          <w:rFonts w:ascii="Arial" w:hAnsi="Arial" w:cs="Arial"/>
          <w:noProof/>
          <w:sz w:val="22"/>
          <w:szCs w:val="22"/>
        </w:rPr>
        <w:t xml:space="preserve"> </w:t>
      </w:r>
    </w:p>
    <w:p w:rsidR="00B552B6" w:rsidRPr="00FE1270" w:rsidRDefault="00B552B6" w:rsidP="0079130F">
      <w:pPr>
        <w:jc w:val="both"/>
        <w:rPr>
          <w:rFonts w:ascii="Arial" w:hAnsi="Arial" w:cs="Arial"/>
          <w:noProof/>
          <w:sz w:val="22"/>
          <w:szCs w:val="22"/>
        </w:rPr>
      </w:pPr>
    </w:p>
    <w:p w:rsidR="00895CFF" w:rsidRPr="00FE1270" w:rsidRDefault="0030313F" w:rsidP="0079130F">
      <w:pPr>
        <w:jc w:val="both"/>
        <w:rPr>
          <w:rFonts w:ascii="Arial" w:hAnsi="Arial" w:cs="Arial"/>
          <w:noProof/>
          <w:sz w:val="22"/>
          <w:szCs w:val="22"/>
        </w:rPr>
      </w:pPr>
      <w:r w:rsidRPr="00FE1270">
        <w:rPr>
          <w:rFonts w:ascii="Arial" w:hAnsi="Arial" w:cs="Arial"/>
          <w:b/>
          <w:noProof/>
          <w:sz w:val="22"/>
          <w:szCs w:val="22"/>
        </w:rPr>
        <w:t>Stanje o</w:t>
      </w:r>
      <w:r w:rsidR="0079130F" w:rsidRPr="00FE1270">
        <w:rPr>
          <w:rFonts w:ascii="Arial" w:hAnsi="Arial" w:cs="Arial"/>
          <w:b/>
          <w:noProof/>
          <w:sz w:val="22"/>
          <w:szCs w:val="22"/>
        </w:rPr>
        <w:t>bvez</w:t>
      </w:r>
      <w:r w:rsidRPr="00FE1270">
        <w:rPr>
          <w:rFonts w:ascii="Arial" w:hAnsi="Arial" w:cs="Arial"/>
          <w:b/>
          <w:noProof/>
          <w:sz w:val="22"/>
          <w:szCs w:val="22"/>
        </w:rPr>
        <w:t>a kod</w:t>
      </w:r>
      <w:r w:rsidR="0079130F" w:rsidRPr="00FE1270">
        <w:rPr>
          <w:rFonts w:ascii="Arial" w:hAnsi="Arial" w:cs="Arial"/>
          <w:b/>
          <w:noProof/>
          <w:sz w:val="22"/>
          <w:szCs w:val="22"/>
        </w:rPr>
        <w:t xml:space="preserve"> korisnika</w:t>
      </w:r>
      <w:r w:rsidR="0083725C" w:rsidRPr="00FE127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FE1270">
        <w:rPr>
          <w:rFonts w:ascii="Arial" w:hAnsi="Arial" w:cs="Arial"/>
          <w:b/>
          <w:noProof/>
          <w:sz w:val="22"/>
          <w:szCs w:val="22"/>
        </w:rPr>
        <w:t>evidentirano je po sljedećim vrstama rashoda i izdataka</w:t>
      </w:r>
      <w:r w:rsidR="0079130F" w:rsidRPr="00FE1270">
        <w:rPr>
          <w:rFonts w:ascii="Arial" w:hAnsi="Arial" w:cs="Arial"/>
          <w:noProof/>
          <w:sz w:val="22"/>
          <w:szCs w:val="22"/>
        </w:rPr>
        <w:t xml:space="preserve">: obveze za rashode poslovanja </w:t>
      </w:r>
      <w:r w:rsidR="008355B0" w:rsidRPr="00FE1270">
        <w:rPr>
          <w:rFonts w:ascii="Arial" w:hAnsi="Arial" w:cs="Arial"/>
          <w:noProof/>
          <w:sz w:val="22"/>
          <w:szCs w:val="22"/>
        </w:rPr>
        <w:t xml:space="preserve">10.493.164,89 </w:t>
      </w:r>
      <w:r w:rsidR="00EC37E5" w:rsidRPr="00FE1270">
        <w:rPr>
          <w:rFonts w:ascii="Arial" w:hAnsi="Arial" w:cs="Arial"/>
          <w:noProof/>
          <w:sz w:val="22"/>
          <w:szCs w:val="22"/>
        </w:rPr>
        <w:t>eura</w:t>
      </w:r>
      <w:r w:rsidR="0079130F" w:rsidRPr="00FE1270">
        <w:rPr>
          <w:rFonts w:ascii="Arial" w:hAnsi="Arial" w:cs="Arial"/>
          <w:noProof/>
          <w:sz w:val="22"/>
          <w:szCs w:val="22"/>
        </w:rPr>
        <w:t xml:space="preserve"> (</w:t>
      </w:r>
      <w:r w:rsidR="00494B35" w:rsidRPr="00FE1270">
        <w:rPr>
          <w:rFonts w:ascii="Arial" w:hAnsi="Arial" w:cs="Arial"/>
          <w:noProof/>
          <w:sz w:val="22"/>
          <w:szCs w:val="22"/>
        </w:rPr>
        <w:t>23</w:t>
      </w:r>
      <w:r w:rsidR="0079130F" w:rsidRPr="00FE1270">
        <w:rPr>
          <w:rFonts w:ascii="Arial" w:hAnsi="Arial" w:cs="Arial"/>
          <w:noProof/>
          <w:sz w:val="22"/>
          <w:szCs w:val="22"/>
        </w:rPr>
        <w:t xml:space="preserve">), obveze za nabavu nefinancijske imovine </w:t>
      </w:r>
      <w:r w:rsidR="008355B0" w:rsidRPr="00FE1270">
        <w:rPr>
          <w:rFonts w:ascii="Arial" w:hAnsi="Arial" w:cs="Arial"/>
          <w:noProof/>
          <w:sz w:val="22"/>
          <w:szCs w:val="22"/>
        </w:rPr>
        <w:t>152.518,75</w:t>
      </w:r>
      <w:r w:rsidR="00EC37E5" w:rsidRPr="00FE1270">
        <w:rPr>
          <w:rFonts w:ascii="Arial" w:hAnsi="Arial" w:cs="Arial"/>
          <w:noProof/>
          <w:sz w:val="22"/>
          <w:szCs w:val="22"/>
        </w:rPr>
        <w:t xml:space="preserve"> eura</w:t>
      </w:r>
      <w:r w:rsidR="0079130F" w:rsidRPr="00FE1270">
        <w:rPr>
          <w:rFonts w:ascii="Arial" w:hAnsi="Arial" w:cs="Arial"/>
          <w:noProof/>
          <w:sz w:val="22"/>
          <w:szCs w:val="22"/>
        </w:rPr>
        <w:t xml:space="preserve"> (</w:t>
      </w:r>
      <w:r w:rsidR="00494B35" w:rsidRPr="00FE1270">
        <w:rPr>
          <w:rFonts w:ascii="Arial" w:hAnsi="Arial" w:cs="Arial"/>
          <w:noProof/>
          <w:sz w:val="22"/>
          <w:szCs w:val="22"/>
        </w:rPr>
        <w:t>24</w:t>
      </w:r>
      <w:r w:rsidR="00A43F2F" w:rsidRPr="00FE1270">
        <w:rPr>
          <w:rFonts w:ascii="Arial" w:hAnsi="Arial" w:cs="Arial"/>
          <w:noProof/>
          <w:sz w:val="22"/>
          <w:szCs w:val="22"/>
        </w:rPr>
        <w:t>)</w:t>
      </w:r>
      <w:r w:rsidR="000F44A5" w:rsidRPr="00FE1270">
        <w:rPr>
          <w:rFonts w:ascii="Arial" w:hAnsi="Arial" w:cs="Arial"/>
          <w:noProof/>
          <w:sz w:val="22"/>
          <w:szCs w:val="22"/>
        </w:rPr>
        <w:t xml:space="preserve">, obveze za kredite i zajmove </w:t>
      </w:r>
      <w:r w:rsidR="0096727D" w:rsidRPr="00FE1270">
        <w:rPr>
          <w:rFonts w:ascii="Arial" w:hAnsi="Arial" w:cs="Arial"/>
          <w:noProof/>
          <w:sz w:val="22"/>
          <w:szCs w:val="22"/>
        </w:rPr>
        <w:t>5.7</w:t>
      </w:r>
      <w:r w:rsidR="008355B0" w:rsidRPr="00FE1270">
        <w:rPr>
          <w:rFonts w:ascii="Arial" w:hAnsi="Arial" w:cs="Arial"/>
          <w:noProof/>
          <w:sz w:val="22"/>
          <w:szCs w:val="22"/>
        </w:rPr>
        <w:t>91.150,04</w:t>
      </w:r>
      <w:r w:rsidR="00EC37E5" w:rsidRPr="00FE1270">
        <w:rPr>
          <w:rFonts w:ascii="Arial" w:hAnsi="Arial" w:cs="Arial"/>
          <w:noProof/>
          <w:sz w:val="22"/>
          <w:szCs w:val="22"/>
        </w:rPr>
        <w:t xml:space="preserve"> eura</w:t>
      </w:r>
      <w:r w:rsidR="006706FC" w:rsidRPr="00FE1270">
        <w:rPr>
          <w:rFonts w:ascii="Arial" w:hAnsi="Arial" w:cs="Arial"/>
          <w:noProof/>
          <w:sz w:val="22"/>
          <w:szCs w:val="22"/>
        </w:rPr>
        <w:t xml:space="preserve"> (26) </w:t>
      </w:r>
      <w:r w:rsidR="00A4422F">
        <w:rPr>
          <w:rFonts w:ascii="Arial" w:hAnsi="Arial" w:cs="Arial"/>
          <w:noProof/>
          <w:sz w:val="22"/>
          <w:szCs w:val="22"/>
        </w:rPr>
        <w:t>te</w:t>
      </w:r>
      <w:r w:rsidR="0079130F" w:rsidRPr="00FE1270">
        <w:rPr>
          <w:rFonts w:ascii="Arial" w:hAnsi="Arial" w:cs="Arial"/>
          <w:noProof/>
          <w:sz w:val="22"/>
          <w:szCs w:val="22"/>
        </w:rPr>
        <w:t xml:space="preserve"> odgođeno </w:t>
      </w:r>
      <w:r w:rsidR="0084211C" w:rsidRPr="00FE1270">
        <w:rPr>
          <w:rFonts w:ascii="Arial" w:hAnsi="Arial" w:cs="Arial"/>
          <w:noProof/>
          <w:sz w:val="22"/>
          <w:szCs w:val="22"/>
        </w:rPr>
        <w:t xml:space="preserve">priznavanje </w:t>
      </w:r>
      <w:r w:rsidR="0079130F" w:rsidRPr="00FE1270">
        <w:rPr>
          <w:rFonts w:ascii="Arial" w:hAnsi="Arial" w:cs="Arial"/>
          <w:noProof/>
          <w:sz w:val="22"/>
          <w:szCs w:val="22"/>
        </w:rPr>
        <w:t>rashoda i prihod</w:t>
      </w:r>
      <w:r w:rsidR="0084211C" w:rsidRPr="00FE1270">
        <w:rPr>
          <w:rFonts w:ascii="Arial" w:hAnsi="Arial" w:cs="Arial"/>
          <w:noProof/>
          <w:sz w:val="22"/>
          <w:szCs w:val="22"/>
        </w:rPr>
        <w:t>a</w:t>
      </w:r>
      <w:r w:rsidR="0079130F" w:rsidRPr="00FE1270">
        <w:rPr>
          <w:rFonts w:ascii="Arial" w:hAnsi="Arial" w:cs="Arial"/>
          <w:noProof/>
          <w:sz w:val="22"/>
          <w:szCs w:val="22"/>
        </w:rPr>
        <w:t xml:space="preserve"> budućih razdoblja </w:t>
      </w:r>
      <w:r w:rsidR="008355B0" w:rsidRPr="00FE1270">
        <w:rPr>
          <w:rFonts w:ascii="Arial" w:hAnsi="Arial" w:cs="Arial"/>
          <w:noProof/>
          <w:sz w:val="22"/>
          <w:szCs w:val="22"/>
        </w:rPr>
        <w:t>2.213,80</w:t>
      </w:r>
      <w:r w:rsidR="00EC37E5" w:rsidRPr="00FE1270">
        <w:rPr>
          <w:rFonts w:ascii="Arial" w:hAnsi="Arial" w:cs="Arial"/>
          <w:noProof/>
          <w:sz w:val="22"/>
          <w:szCs w:val="22"/>
        </w:rPr>
        <w:t xml:space="preserve"> eura</w:t>
      </w:r>
      <w:r w:rsidR="006706FC" w:rsidRPr="00FE1270">
        <w:rPr>
          <w:rFonts w:ascii="Arial" w:hAnsi="Arial" w:cs="Arial"/>
          <w:noProof/>
          <w:sz w:val="22"/>
          <w:szCs w:val="22"/>
        </w:rPr>
        <w:t xml:space="preserve"> (29)</w:t>
      </w:r>
      <w:r w:rsidR="0079130F" w:rsidRPr="00FE1270">
        <w:rPr>
          <w:rFonts w:ascii="Arial" w:hAnsi="Arial" w:cs="Arial"/>
          <w:noProof/>
          <w:sz w:val="22"/>
          <w:szCs w:val="22"/>
        </w:rPr>
        <w:t>.</w:t>
      </w:r>
    </w:p>
    <w:p w:rsidR="0015682E" w:rsidRPr="00FE1270" w:rsidRDefault="0015682E" w:rsidP="0015682E"/>
    <w:p w:rsidR="0079130F" w:rsidRPr="00FE1270" w:rsidRDefault="0079130F" w:rsidP="0079130F">
      <w:pPr>
        <w:pStyle w:val="Heading4"/>
        <w:rPr>
          <w:rFonts w:cs="Arial"/>
          <w:noProof/>
          <w:szCs w:val="22"/>
        </w:rPr>
      </w:pPr>
      <w:r w:rsidRPr="00FE1270">
        <w:rPr>
          <w:rFonts w:cs="Arial"/>
          <w:noProof/>
          <w:szCs w:val="22"/>
        </w:rPr>
        <w:lastRenderedPageBreak/>
        <w:t xml:space="preserve">Bilješka broj 5 </w:t>
      </w:r>
      <w:r w:rsidR="00E55049" w:rsidRPr="00FE1270">
        <w:rPr>
          <w:rFonts w:cs="Arial"/>
          <w:noProof/>
          <w:szCs w:val="22"/>
        </w:rPr>
        <w:t>–</w:t>
      </w:r>
      <w:r w:rsidRPr="00FE1270">
        <w:rPr>
          <w:rFonts w:cs="Arial"/>
          <w:noProof/>
          <w:szCs w:val="22"/>
        </w:rPr>
        <w:t xml:space="preserve"> </w:t>
      </w:r>
      <w:r w:rsidR="00E55049" w:rsidRPr="00FE1270">
        <w:rPr>
          <w:rFonts w:cs="Arial"/>
          <w:noProof/>
          <w:szCs w:val="22"/>
        </w:rPr>
        <w:t>financijski rezultat</w:t>
      </w:r>
      <w:r w:rsidR="006E4E89" w:rsidRPr="00FE1270">
        <w:rPr>
          <w:rFonts w:cs="Arial"/>
          <w:noProof/>
          <w:szCs w:val="22"/>
        </w:rPr>
        <w:t xml:space="preserve"> (922)</w:t>
      </w:r>
    </w:p>
    <w:p w:rsidR="00CB798A" w:rsidRPr="00FE1270" w:rsidRDefault="007C3355" w:rsidP="00F074B3">
      <w:pPr>
        <w:pStyle w:val="BodyText2"/>
        <w:rPr>
          <w:rFonts w:cs="Arial"/>
          <w:noProof/>
          <w:sz w:val="22"/>
          <w:szCs w:val="22"/>
        </w:rPr>
      </w:pPr>
      <w:r w:rsidRPr="00FE1270">
        <w:rPr>
          <w:rFonts w:cs="Arial"/>
          <w:bCs/>
          <w:noProof/>
          <w:color w:val="000000"/>
          <w:sz w:val="22"/>
          <w:szCs w:val="22"/>
          <w:lang w:eastAsia="hr-HR"/>
        </w:rPr>
        <w:t>K</w:t>
      </w:r>
      <w:r w:rsidR="00475757" w:rsidRPr="00FE1270">
        <w:rPr>
          <w:rFonts w:cs="Arial"/>
          <w:bCs/>
          <w:noProof/>
          <w:color w:val="000000"/>
          <w:sz w:val="22"/>
          <w:szCs w:val="22"/>
          <w:lang w:eastAsia="hr-HR"/>
        </w:rPr>
        <w:t>onsolidi</w:t>
      </w:r>
      <w:r w:rsidR="00EB4B9A" w:rsidRPr="00FE1270">
        <w:rPr>
          <w:rFonts w:cs="Arial"/>
          <w:bCs/>
          <w:noProof/>
          <w:color w:val="000000"/>
          <w:sz w:val="22"/>
          <w:szCs w:val="22"/>
          <w:lang w:eastAsia="hr-HR"/>
        </w:rPr>
        <w:t>rani</w:t>
      </w:r>
      <w:r w:rsidR="00CA52D3" w:rsidRPr="00FE1270">
        <w:rPr>
          <w:rFonts w:cs="Arial"/>
          <w:bCs/>
          <w:noProof/>
          <w:color w:val="000000"/>
          <w:sz w:val="22"/>
          <w:szCs w:val="22"/>
          <w:lang w:eastAsia="hr-HR"/>
        </w:rPr>
        <w:t xml:space="preserve"> višak</w:t>
      </w:r>
      <w:r w:rsidR="00577761" w:rsidRPr="00FE1270">
        <w:rPr>
          <w:rFonts w:cs="Arial"/>
          <w:noProof/>
          <w:sz w:val="22"/>
          <w:szCs w:val="22"/>
        </w:rPr>
        <w:t xml:space="preserve"> prihoda i primitaka </w:t>
      </w:r>
      <w:r w:rsidR="00CA52D3" w:rsidRPr="00FE1270">
        <w:rPr>
          <w:rFonts w:cs="Arial"/>
          <w:noProof/>
          <w:sz w:val="22"/>
          <w:szCs w:val="22"/>
        </w:rPr>
        <w:t xml:space="preserve">raspoloživ </w:t>
      </w:r>
      <w:r w:rsidR="00F4397B" w:rsidRPr="00FE1270">
        <w:rPr>
          <w:rFonts w:cs="Arial"/>
          <w:noProof/>
          <w:sz w:val="22"/>
          <w:szCs w:val="22"/>
        </w:rPr>
        <w:t>u sl</w:t>
      </w:r>
      <w:r w:rsidR="00577761" w:rsidRPr="00FE1270">
        <w:rPr>
          <w:rFonts w:cs="Arial"/>
          <w:noProof/>
          <w:sz w:val="22"/>
          <w:szCs w:val="22"/>
        </w:rPr>
        <w:t>jedećem razdoblju</w:t>
      </w:r>
      <w:r w:rsidR="00AC7A93" w:rsidRPr="00FE1270">
        <w:rPr>
          <w:rFonts w:cs="Arial"/>
          <w:noProof/>
          <w:sz w:val="22"/>
          <w:szCs w:val="22"/>
        </w:rPr>
        <w:t xml:space="preserve"> iznosi</w:t>
      </w:r>
      <w:r w:rsidR="00EB4B9A" w:rsidRPr="00FE1270">
        <w:rPr>
          <w:rFonts w:cs="Arial"/>
          <w:noProof/>
          <w:sz w:val="22"/>
          <w:szCs w:val="22"/>
        </w:rPr>
        <w:t xml:space="preserve"> </w:t>
      </w:r>
      <w:r w:rsidR="007E7029" w:rsidRPr="00FE1270">
        <w:rPr>
          <w:rFonts w:cs="Arial"/>
          <w:noProof/>
          <w:sz w:val="22"/>
          <w:szCs w:val="22"/>
        </w:rPr>
        <w:t>25.259.484,31</w:t>
      </w:r>
      <w:r w:rsidR="00CA52D3" w:rsidRPr="00FE1270">
        <w:rPr>
          <w:rFonts w:cs="Arial"/>
          <w:noProof/>
          <w:sz w:val="22"/>
          <w:szCs w:val="22"/>
        </w:rPr>
        <w:t xml:space="preserve"> eura</w:t>
      </w:r>
      <w:r w:rsidR="00682A4D" w:rsidRPr="00FE1270">
        <w:rPr>
          <w:rFonts w:cs="Arial"/>
          <w:noProof/>
          <w:sz w:val="22"/>
          <w:szCs w:val="22"/>
        </w:rPr>
        <w:t>.</w:t>
      </w:r>
      <w:r w:rsidR="00CA52D3" w:rsidRPr="00FE1270">
        <w:rPr>
          <w:rFonts w:cs="Arial"/>
          <w:noProof/>
          <w:sz w:val="22"/>
          <w:szCs w:val="22"/>
        </w:rPr>
        <w:t xml:space="preserve"> </w:t>
      </w:r>
    </w:p>
    <w:p w:rsidR="00873233" w:rsidRDefault="00873233" w:rsidP="00873233">
      <w:pPr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873233" w:rsidRPr="00873233" w:rsidRDefault="00873233" w:rsidP="00873233">
      <w:pPr>
        <w:rPr>
          <w:rFonts w:ascii="Arial" w:hAnsi="Arial" w:cs="Arial"/>
          <w:bCs/>
          <w:sz w:val="22"/>
          <w:szCs w:val="22"/>
          <w:lang w:eastAsia="hr-HR"/>
        </w:rPr>
      </w:pPr>
      <w:r w:rsidRPr="00F00AA1">
        <w:rPr>
          <w:rFonts w:ascii="Arial" w:hAnsi="Arial" w:cs="Arial"/>
          <w:bCs/>
          <w:sz w:val="22"/>
          <w:szCs w:val="22"/>
        </w:rPr>
        <w:t>Dio navedenog konsolidiranog iznosa viška prihoda i primitaka u iznosu od 20.163.151 eura već je planirano za korištenje u Proračunu Grada Rijeke za 2025. godinu.</w:t>
      </w:r>
      <w:r w:rsidRPr="00873233">
        <w:rPr>
          <w:rFonts w:ascii="Arial" w:hAnsi="Arial" w:cs="Arial"/>
          <w:bCs/>
          <w:sz w:val="22"/>
          <w:szCs w:val="22"/>
        </w:rPr>
        <w:t xml:space="preserve"> </w:t>
      </w:r>
    </w:p>
    <w:p w:rsidR="00F074B3" w:rsidRPr="00873233" w:rsidRDefault="00F074B3" w:rsidP="00F074B3">
      <w:pPr>
        <w:pStyle w:val="BodyText2"/>
        <w:rPr>
          <w:rFonts w:cs="Arial"/>
          <w:noProof/>
          <w:sz w:val="22"/>
          <w:szCs w:val="22"/>
        </w:rPr>
      </w:pPr>
    </w:p>
    <w:p w:rsidR="00F074B3" w:rsidRPr="00FE1270" w:rsidRDefault="00F074B3" w:rsidP="00F074B3">
      <w:pPr>
        <w:pStyle w:val="BodyText2"/>
        <w:rPr>
          <w:rFonts w:cs="Arial"/>
          <w:noProof/>
          <w:sz w:val="22"/>
          <w:szCs w:val="22"/>
        </w:rPr>
      </w:pPr>
      <w:r w:rsidRPr="00FE1270">
        <w:rPr>
          <w:rFonts w:cs="Arial"/>
          <w:noProof/>
          <w:sz w:val="22"/>
          <w:szCs w:val="22"/>
        </w:rPr>
        <w:t xml:space="preserve">Pregled strukture viška/manjka i dospjelih obveza po </w:t>
      </w:r>
      <w:r w:rsidR="007E7029" w:rsidRPr="00FE1270">
        <w:rPr>
          <w:rFonts w:cs="Arial"/>
          <w:noProof/>
          <w:sz w:val="22"/>
          <w:szCs w:val="22"/>
        </w:rPr>
        <w:t>proračunskim korisnicima za 2024</w:t>
      </w:r>
      <w:r w:rsidRPr="00FE1270">
        <w:rPr>
          <w:rFonts w:cs="Arial"/>
          <w:noProof/>
          <w:sz w:val="22"/>
          <w:szCs w:val="22"/>
        </w:rPr>
        <w:t xml:space="preserve">. godinu </w:t>
      </w:r>
      <w:r w:rsidRPr="00FE1270">
        <w:rPr>
          <w:rFonts w:cs="Arial"/>
          <w:bCs/>
          <w:noProof/>
          <w:color w:val="000000"/>
          <w:sz w:val="22"/>
          <w:szCs w:val="22"/>
          <w:lang w:eastAsia="hr-HR"/>
        </w:rPr>
        <w:t xml:space="preserve">iskazan je u Tablici 2. </w:t>
      </w:r>
      <w:r w:rsidR="00FC03F0" w:rsidRPr="00FC03F0">
        <w:rPr>
          <w:rFonts w:cs="Arial"/>
          <w:i/>
          <w:noProof/>
          <w:sz w:val="22"/>
          <w:szCs w:val="22"/>
        </w:rPr>
        <w:t>Pregled viška/manjka, dospjelih obveza i stanja novčanih sredstava po proračunskim korisnicima</w:t>
      </w:r>
      <w:r w:rsidR="00FC03F0">
        <w:rPr>
          <w:rFonts w:cs="Arial"/>
          <w:i/>
          <w:noProof/>
          <w:sz w:val="22"/>
          <w:szCs w:val="22"/>
        </w:rPr>
        <w:t>,</w:t>
      </w:r>
      <w:r w:rsidR="00FC03F0" w:rsidRPr="00FE1270">
        <w:rPr>
          <w:rFonts w:cs="Arial"/>
          <w:noProof/>
        </w:rPr>
        <w:t xml:space="preserve"> </w:t>
      </w:r>
      <w:r w:rsidRPr="00FE1270">
        <w:rPr>
          <w:rFonts w:cs="Arial"/>
          <w:bCs/>
          <w:noProof/>
          <w:color w:val="000000"/>
          <w:sz w:val="22"/>
          <w:szCs w:val="22"/>
          <w:lang w:eastAsia="hr-HR"/>
        </w:rPr>
        <w:t>na kraju ovih Bilješki.</w:t>
      </w:r>
    </w:p>
    <w:p w:rsidR="00F074B3" w:rsidRPr="00FE1270" w:rsidRDefault="00F074B3" w:rsidP="00F074B3">
      <w:pPr>
        <w:pStyle w:val="BodyText2"/>
        <w:rPr>
          <w:rFonts w:cs="Arial"/>
          <w:noProof/>
          <w:sz w:val="22"/>
          <w:szCs w:val="22"/>
        </w:rPr>
      </w:pPr>
    </w:p>
    <w:p w:rsidR="00662AB2" w:rsidRPr="00FE1270" w:rsidRDefault="00662AB2" w:rsidP="00B57D19">
      <w:pPr>
        <w:pStyle w:val="BodyText2"/>
        <w:rPr>
          <w:rFonts w:cs="Arial"/>
          <w:noProof/>
          <w:sz w:val="22"/>
          <w:szCs w:val="22"/>
        </w:rPr>
      </w:pPr>
    </w:p>
    <w:p w:rsidR="001303FB" w:rsidRPr="00FE1270" w:rsidRDefault="001303FB" w:rsidP="00B57D19">
      <w:pPr>
        <w:pStyle w:val="BodyText2"/>
        <w:rPr>
          <w:rFonts w:cs="Arial"/>
          <w:noProof/>
          <w:sz w:val="22"/>
          <w:szCs w:val="22"/>
        </w:rPr>
      </w:pPr>
    </w:p>
    <w:p w:rsidR="001303FB" w:rsidRPr="00FE1270" w:rsidRDefault="001303FB" w:rsidP="00B57D19">
      <w:pPr>
        <w:pStyle w:val="BodyText2"/>
        <w:rPr>
          <w:rFonts w:cs="Arial"/>
          <w:noProof/>
          <w:sz w:val="22"/>
          <w:szCs w:val="22"/>
        </w:rPr>
      </w:pPr>
    </w:p>
    <w:p w:rsidR="001303FB" w:rsidRPr="00FE1270" w:rsidRDefault="001303FB" w:rsidP="00B57D19">
      <w:pPr>
        <w:pStyle w:val="BodyText2"/>
        <w:rPr>
          <w:rFonts w:cs="Arial"/>
          <w:noProof/>
          <w:sz w:val="22"/>
          <w:szCs w:val="22"/>
        </w:rPr>
      </w:pPr>
    </w:p>
    <w:p w:rsidR="00AC7A93" w:rsidRPr="00FE1270" w:rsidRDefault="00AC7A93" w:rsidP="00B57D19">
      <w:pPr>
        <w:pStyle w:val="BodyText2"/>
        <w:rPr>
          <w:rFonts w:cs="Arial"/>
          <w:noProof/>
          <w:sz w:val="22"/>
          <w:szCs w:val="22"/>
        </w:rPr>
      </w:pPr>
    </w:p>
    <w:p w:rsidR="00AC7A93" w:rsidRPr="00FE1270" w:rsidRDefault="00AC7A93" w:rsidP="00B57D19">
      <w:pPr>
        <w:pStyle w:val="BodyText2"/>
        <w:rPr>
          <w:rFonts w:cs="Arial"/>
          <w:noProof/>
          <w:sz w:val="22"/>
          <w:szCs w:val="22"/>
        </w:rPr>
      </w:pPr>
    </w:p>
    <w:p w:rsidR="00AC7A93" w:rsidRDefault="00AC7A93" w:rsidP="00B57D19">
      <w:pPr>
        <w:pStyle w:val="BodyText2"/>
        <w:rPr>
          <w:rFonts w:cs="Arial"/>
          <w:noProof/>
          <w:sz w:val="22"/>
          <w:szCs w:val="22"/>
        </w:rPr>
      </w:pPr>
    </w:p>
    <w:p w:rsidR="00670214" w:rsidRDefault="00670214" w:rsidP="00B57D19">
      <w:pPr>
        <w:pStyle w:val="BodyText2"/>
        <w:rPr>
          <w:rFonts w:cs="Arial"/>
          <w:noProof/>
          <w:sz w:val="22"/>
          <w:szCs w:val="22"/>
        </w:rPr>
      </w:pPr>
    </w:p>
    <w:p w:rsidR="00670214" w:rsidRDefault="00670214" w:rsidP="00B57D19">
      <w:pPr>
        <w:pStyle w:val="BodyText2"/>
        <w:rPr>
          <w:rFonts w:cs="Arial"/>
          <w:noProof/>
          <w:sz w:val="22"/>
          <w:szCs w:val="22"/>
        </w:rPr>
      </w:pPr>
    </w:p>
    <w:p w:rsidR="00670214" w:rsidRDefault="00670214" w:rsidP="00B57D19">
      <w:pPr>
        <w:pStyle w:val="BodyText2"/>
        <w:rPr>
          <w:rFonts w:cs="Arial"/>
          <w:noProof/>
          <w:sz w:val="22"/>
          <w:szCs w:val="22"/>
        </w:rPr>
      </w:pPr>
    </w:p>
    <w:p w:rsidR="00670214" w:rsidRDefault="00670214" w:rsidP="00B57D19">
      <w:pPr>
        <w:pStyle w:val="BodyText2"/>
        <w:rPr>
          <w:rFonts w:cs="Arial"/>
          <w:noProof/>
          <w:sz w:val="22"/>
          <w:szCs w:val="22"/>
        </w:rPr>
      </w:pPr>
    </w:p>
    <w:p w:rsidR="00A06642" w:rsidRDefault="00A06642" w:rsidP="00B57D19">
      <w:pPr>
        <w:pStyle w:val="BodyText2"/>
        <w:rPr>
          <w:rFonts w:cs="Arial"/>
          <w:noProof/>
          <w:sz w:val="22"/>
          <w:szCs w:val="22"/>
        </w:rPr>
      </w:pPr>
    </w:p>
    <w:p w:rsidR="00A06642" w:rsidRDefault="00A06642" w:rsidP="00B57D19">
      <w:pPr>
        <w:pStyle w:val="BodyText2"/>
        <w:rPr>
          <w:rFonts w:cs="Arial"/>
          <w:noProof/>
          <w:sz w:val="22"/>
          <w:szCs w:val="22"/>
        </w:rPr>
      </w:pPr>
    </w:p>
    <w:p w:rsidR="00A06642" w:rsidRDefault="00A06642" w:rsidP="00B57D19">
      <w:pPr>
        <w:pStyle w:val="BodyText2"/>
        <w:rPr>
          <w:rFonts w:cs="Arial"/>
          <w:noProof/>
          <w:sz w:val="22"/>
          <w:szCs w:val="22"/>
        </w:rPr>
      </w:pPr>
    </w:p>
    <w:p w:rsidR="00A06642" w:rsidRDefault="00A06642" w:rsidP="00B57D19">
      <w:pPr>
        <w:pStyle w:val="BodyText2"/>
        <w:rPr>
          <w:rFonts w:cs="Arial"/>
          <w:noProof/>
          <w:sz w:val="22"/>
          <w:szCs w:val="22"/>
        </w:rPr>
      </w:pPr>
    </w:p>
    <w:p w:rsidR="00A06642" w:rsidRDefault="00A06642" w:rsidP="00B57D19">
      <w:pPr>
        <w:pStyle w:val="BodyText2"/>
        <w:rPr>
          <w:rFonts w:cs="Arial"/>
          <w:noProof/>
          <w:sz w:val="22"/>
          <w:szCs w:val="22"/>
        </w:rPr>
      </w:pPr>
    </w:p>
    <w:p w:rsidR="00A06642" w:rsidRDefault="00A06642" w:rsidP="00B57D19">
      <w:pPr>
        <w:pStyle w:val="BodyText2"/>
        <w:rPr>
          <w:rFonts w:cs="Arial"/>
          <w:noProof/>
          <w:sz w:val="22"/>
          <w:szCs w:val="22"/>
        </w:rPr>
      </w:pPr>
    </w:p>
    <w:p w:rsidR="00A06642" w:rsidRDefault="00A06642" w:rsidP="00B57D19">
      <w:pPr>
        <w:pStyle w:val="BodyText2"/>
        <w:rPr>
          <w:rFonts w:cs="Arial"/>
          <w:noProof/>
          <w:sz w:val="22"/>
          <w:szCs w:val="22"/>
        </w:rPr>
      </w:pPr>
    </w:p>
    <w:p w:rsidR="00A06642" w:rsidRDefault="00A06642" w:rsidP="00B57D19">
      <w:pPr>
        <w:pStyle w:val="BodyText2"/>
        <w:rPr>
          <w:rFonts w:cs="Arial"/>
          <w:noProof/>
          <w:sz w:val="22"/>
          <w:szCs w:val="22"/>
        </w:rPr>
      </w:pPr>
    </w:p>
    <w:p w:rsidR="00A06642" w:rsidRDefault="00A06642" w:rsidP="00B57D19">
      <w:pPr>
        <w:pStyle w:val="BodyText2"/>
        <w:rPr>
          <w:rFonts w:cs="Arial"/>
          <w:noProof/>
          <w:sz w:val="22"/>
          <w:szCs w:val="22"/>
        </w:rPr>
      </w:pPr>
    </w:p>
    <w:p w:rsidR="00A06642" w:rsidRDefault="00A06642" w:rsidP="00B57D19">
      <w:pPr>
        <w:pStyle w:val="BodyText2"/>
        <w:rPr>
          <w:rFonts w:cs="Arial"/>
          <w:noProof/>
          <w:sz w:val="22"/>
          <w:szCs w:val="22"/>
        </w:rPr>
      </w:pPr>
    </w:p>
    <w:p w:rsidR="00A06642" w:rsidRDefault="00A06642" w:rsidP="00B57D19">
      <w:pPr>
        <w:pStyle w:val="BodyText2"/>
        <w:rPr>
          <w:rFonts w:cs="Arial"/>
          <w:noProof/>
          <w:sz w:val="22"/>
          <w:szCs w:val="22"/>
        </w:rPr>
      </w:pPr>
    </w:p>
    <w:p w:rsidR="00A06642" w:rsidRDefault="00A06642" w:rsidP="00B57D19">
      <w:pPr>
        <w:pStyle w:val="BodyText2"/>
        <w:rPr>
          <w:rFonts w:cs="Arial"/>
          <w:noProof/>
          <w:sz w:val="22"/>
          <w:szCs w:val="22"/>
        </w:rPr>
      </w:pPr>
    </w:p>
    <w:p w:rsidR="00A06642" w:rsidRDefault="00A06642" w:rsidP="00B57D19">
      <w:pPr>
        <w:pStyle w:val="BodyText2"/>
        <w:rPr>
          <w:rFonts w:cs="Arial"/>
          <w:noProof/>
          <w:sz w:val="22"/>
          <w:szCs w:val="22"/>
        </w:rPr>
      </w:pPr>
    </w:p>
    <w:p w:rsidR="00A06642" w:rsidRDefault="00A06642" w:rsidP="00B57D19">
      <w:pPr>
        <w:pStyle w:val="BodyText2"/>
        <w:rPr>
          <w:rFonts w:cs="Arial"/>
          <w:noProof/>
          <w:sz w:val="22"/>
          <w:szCs w:val="22"/>
        </w:rPr>
      </w:pPr>
    </w:p>
    <w:p w:rsidR="00670214" w:rsidRPr="00FE1270" w:rsidRDefault="00670214" w:rsidP="00B57D19">
      <w:pPr>
        <w:pStyle w:val="BodyText2"/>
        <w:rPr>
          <w:rFonts w:cs="Arial"/>
          <w:noProof/>
          <w:sz w:val="22"/>
          <w:szCs w:val="22"/>
        </w:rPr>
      </w:pPr>
    </w:p>
    <w:p w:rsidR="00AC7A93" w:rsidRDefault="00AC7A93" w:rsidP="00B57D19">
      <w:pPr>
        <w:pStyle w:val="BodyText2"/>
        <w:rPr>
          <w:rFonts w:cs="Arial"/>
          <w:noProof/>
          <w:color w:val="244061" w:themeColor="accent1" w:themeShade="80"/>
          <w:sz w:val="22"/>
          <w:szCs w:val="22"/>
        </w:rPr>
      </w:pPr>
    </w:p>
    <w:p w:rsidR="00A06642" w:rsidRDefault="00A06642" w:rsidP="00B57D19">
      <w:pPr>
        <w:pStyle w:val="BodyText2"/>
        <w:rPr>
          <w:rFonts w:cs="Arial"/>
          <w:noProof/>
          <w:color w:val="244061" w:themeColor="accent1" w:themeShade="80"/>
          <w:sz w:val="22"/>
          <w:szCs w:val="22"/>
        </w:rPr>
      </w:pPr>
    </w:p>
    <w:p w:rsidR="00A06642" w:rsidRDefault="00A06642" w:rsidP="00B57D19">
      <w:pPr>
        <w:pStyle w:val="BodyText2"/>
        <w:rPr>
          <w:rFonts w:cs="Arial"/>
          <w:noProof/>
          <w:color w:val="244061" w:themeColor="accent1" w:themeShade="80"/>
          <w:sz w:val="22"/>
          <w:szCs w:val="22"/>
        </w:rPr>
      </w:pPr>
    </w:p>
    <w:p w:rsidR="00A06642" w:rsidRDefault="00A06642" w:rsidP="00B57D19">
      <w:pPr>
        <w:pStyle w:val="BodyText2"/>
        <w:rPr>
          <w:rFonts w:cs="Arial"/>
          <w:noProof/>
          <w:color w:val="244061" w:themeColor="accent1" w:themeShade="80"/>
          <w:sz w:val="22"/>
          <w:szCs w:val="22"/>
        </w:rPr>
      </w:pPr>
    </w:p>
    <w:p w:rsidR="00A06642" w:rsidRDefault="00A06642" w:rsidP="00B57D19">
      <w:pPr>
        <w:pStyle w:val="BodyText2"/>
        <w:rPr>
          <w:rFonts w:cs="Arial"/>
          <w:noProof/>
          <w:color w:val="244061" w:themeColor="accent1" w:themeShade="80"/>
          <w:sz w:val="22"/>
          <w:szCs w:val="22"/>
        </w:rPr>
      </w:pPr>
    </w:p>
    <w:p w:rsidR="00A06642" w:rsidRDefault="00A06642" w:rsidP="00B57D19">
      <w:pPr>
        <w:pStyle w:val="BodyText2"/>
        <w:rPr>
          <w:rFonts w:cs="Arial"/>
          <w:noProof/>
          <w:color w:val="244061" w:themeColor="accent1" w:themeShade="80"/>
          <w:sz w:val="22"/>
          <w:szCs w:val="22"/>
        </w:rPr>
      </w:pPr>
    </w:p>
    <w:p w:rsidR="00A06642" w:rsidRDefault="00A06642" w:rsidP="00B57D19">
      <w:pPr>
        <w:pStyle w:val="BodyText2"/>
        <w:rPr>
          <w:rFonts w:cs="Arial"/>
          <w:noProof/>
          <w:color w:val="244061" w:themeColor="accent1" w:themeShade="80"/>
          <w:sz w:val="22"/>
          <w:szCs w:val="22"/>
        </w:rPr>
      </w:pPr>
    </w:p>
    <w:p w:rsidR="00A06642" w:rsidRDefault="00A06642" w:rsidP="00B57D19">
      <w:pPr>
        <w:pStyle w:val="BodyText2"/>
        <w:rPr>
          <w:rFonts w:cs="Arial"/>
          <w:noProof/>
          <w:color w:val="244061" w:themeColor="accent1" w:themeShade="80"/>
          <w:sz w:val="22"/>
          <w:szCs w:val="22"/>
        </w:rPr>
      </w:pPr>
    </w:p>
    <w:p w:rsidR="00A06642" w:rsidRDefault="00A06642" w:rsidP="00B57D19">
      <w:pPr>
        <w:pStyle w:val="BodyText2"/>
        <w:rPr>
          <w:rFonts w:cs="Arial"/>
          <w:noProof/>
          <w:color w:val="244061" w:themeColor="accent1" w:themeShade="80"/>
          <w:sz w:val="22"/>
          <w:szCs w:val="22"/>
        </w:rPr>
      </w:pPr>
    </w:p>
    <w:p w:rsidR="00A06642" w:rsidRDefault="00A06642" w:rsidP="00B57D19">
      <w:pPr>
        <w:pStyle w:val="BodyText2"/>
        <w:rPr>
          <w:rFonts w:cs="Arial"/>
          <w:noProof/>
          <w:color w:val="244061" w:themeColor="accent1" w:themeShade="80"/>
          <w:sz w:val="22"/>
          <w:szCs w:val="22"/>
        </w:rPr>
      </w:pPr>
    </w:p>
    <w:p w:rsidR="00A06642" w:rsidRDefault="00A06642" w:rsidP="00B57D19">
      <w:pPr>
        <w:pStyle w:val="BodyText2"/>
        <w:rPr>
          <w:rFonts w:cs="Arial"/>
          <w:noProof/>
          <w:color w:val="244061" w:themeColor="accent1" w:themeShade="80"/>
          <w:sz w:val="22"/>
          <w:szCs w:val="22"/>
        </w:rPr>
      </w:pPr>
    </w:p>
    <w:p w:rsidR="00A06642" w:rsidRDefault="00A06642" w:rsidP="00B57D19">
      <w:pPr>
        <w:pStyle w:val="BodyText2"/>
        <w:rPr>
          <w:rFonts w:cs="Arial"/>
          <w:noProof/>
          <w:color w:val="244061" w:themeColor="accent1" w:themeShade="80"/>
          <w:sz w:val="22"/>
          <w:szCs w:val="22"/>
        </w:rPr>
      </w:pPr>
    </w:p>
    <w:p w:rsidR="00A06642" w:rsidRDefault="00A06642" w:rsidP="00B57D19">
      <w:pPr>
        <w:pStyle w:val="BodyText2"/>
        <w:rPr>
          <w:rFonts w:cs="Arial"/>
          <w:noProof/>
          <w:color w:val="244061" w:themeColor="accent1" w:themeShade="80"/>
          <w:sz w:val="22"/>
          <w:szCs w:val="22"/>
        </w:rPr>
      </w:pPr>
    </w:p>
    <w:p w:rsidR="00A06642" w:rsidRDefault="00A06642" w:rsidP="00B57D19">
      <w:pPr>
        <w:pStyle w:val="BodyText2"/>
        <w:rPr>
          <w:rFonts w:cs="Arial"/>
          <w:noProof/>
          <w:color w:val="244061" w:themeColor="accent1" w:themeShade="80"/>
          <w:sz w:val="22"/>
          <w:szCs w:val="22"/>
        </w:rPr>
      </w:pPr>
    </w:p>
    <w:p w:rsidR="00A06642" w:rsidRDefault="00A06642" w:rsidP="00B57D19">
      <w:pPr>
        <w:pStyle w:val="BodyText2"/>
        <w:rPr>
          <w:rFonts w:cs="Arial"/>
          <w:noProof/>
          <w:color w:val="244061" w:themeColor="accent1" w:themeShade="80"/>
          <w:sz w:val="22"/>
          <w:szCs w:val="22"/>
        </w:rPr>
      </w:pPr>
    </w:p>
    <w:p w:rsidR="00A06642" w:rsidRDefault="00A06642" w:rsidP="00B57D19">
      <w:pPr>
        <w:pStyle w:val="BodyText2"/>
        <w:rPr>
          <w:rFonts w:cs="Arial"/>
          <w:noProof/>
          <w:color w:val="244061" w:themeColor="accent1" w:themeShade="80"/>
          <w:sz w:val="22"/>
          <w:szCs w:val="22"/>
        </w:rPr>
      </w:pPr>
    </w:p>
    <w:p w:rsidR="00A06642" w:rsidRDefault="00A06642" w:rsidP="00B57D19">
      <w:pPr>
        <w:pStyle w:val="BodyText2"/>
        <w:rPr>
          <w:rFonts w:cs="Arial"/>
          <w:noProof/>
          <w:color w:val="244061" w:themeColor="accent1" w:themeShade="80"/>
          <w:sz w:val="22"/>
          <w:szCs w:val="22"/>
        </w:rPr>
      </w:pPr>
    </w:p>
    <w:p w:rsidR="00A06642" w:rsidRDefault="00A06642" w:rsidP="00B57D19">
      <w:pPr>
        <w:pStyle w:val="BodyText2"/>
        <w:rPr>
          <w:rFonts w:cs="Arial"/>
          <w:noProof/>
          <w:color w:val="244061" w:themeColor="accent1" w:themeShade="80"/>
          <w:sz w:val="22"/>
          <w:szCs w:val="22"/>
        </w:rPr>
      </w:pPr>
    </w:p>
    <w:p w:rsidR="00A06642" w:rsidRDefault="00A06642" w:rsidP="00B57D19">
      <w:pPr>
        <w:pStyle w:val="BodyText2"/>
        <w:rPr>
          <w:rFonts w:cs="Arial"/>
          <w:noProof/>
          <w:color w:val="244061" w:themeColor="accent1" w:themeShade="80"/>
          <w:sz w:val="22"/>
          <w:szCs w:val="22"/>
        </w:rPr>
      </w:pPr>
    </w:p>
    <w:p w:rsidR="00A06642" w:rsidRDefault="00A06642" w:rsidP="00B57D19">
      <w:pPr>
        <w:pStyle w:val="BodyText2"/>
        <w:rPr>
          <w:rFonts w:cs="Arial"/>
          <w:noProof/>
          <w:color w:val="244061" w:themeColor="accent1" w:themeShade="80"/>
          <w:sz w:val="22"/>
          <w:szCs w:val="22"/>
        </w:rPr>
      </w:pPr>
    </w:p>
    <w:p w:rsidR="00A06642" w:rsidRDefault="00A06642" w:rsidP="00B57D19">
      <w:pPr>
        <w:pStyle w:val="BodyText2"/>
        <w:rPr>
          <w:rFonts w:cs="Arial"/>
          <w:noProof/>
          <w:color w:val="244061" w:themeColor="accent1" w:themeShade="80"/>
          <w:sz w:val="22"/>
          <w:szCs w:val="22"/>
        </w:rPr>
      </w:pPr>
    </w:p>
    <w:p w:rsidR="00A06642" w:rsidRPr="00FE1270" w:rsidRDefault="00A06642" w:rsidP="00B57D19">
      <w:pPr>
        <w:pStyle w:val="BodyText2"/>
        <w:rPr>
          <w:rFonts w:cs="Arial"/>
          <w:noProof/>
          <w:color w:val="244061" w:themeColor="accent1" w:themeShade="80"/>
          <w:sz w:val="22"/>
          <w:szCs w:val="22"/>
        </w:rPr>
      </w:pPr>
    </w:p>
    <w:p w:rsidR="004046B5" w:rsidRPr="00FE1270" w:rsidRDefault="003D5246" w:rsidP="003D5246">
      <w:pPr>
        <w:pStyle w:val="Heading1"/>
        <w:numPr>
          <w:ilvl w:val="0"/>
          <w:numId w:val="15"/>
        </w:numPr>
        <w:rPr>
          <w:rFonts w:cs="Arial"/>
          <w:noProof/>
          <w:color w:val="244061" w:themeColor="accent1" w:themeShade="80"/>
          <w:sz w:val="28"/>
          <w:szCs w:val="28"/>
        </w:rPr>
      </w:pPr>
      <w:r w:rsidRPr="00FE1270">
        <w:rPr>
          <w:rFonts w:cs="Arial"/>
          <w:noProof/>
          <w:color w:val="244061" w:themeColor="accent1" w:themeShade="80"/>
          <w:sz w:val="28"/>
          <w:szCs w:val="28"/>
        </w:rPr>
        <w:lastRenderedPageBreak/>
        <w:t xml:space="preserve">Izvještaj o prihodima i rashodima, primicima i izdacima </w:t>
      </w:r>
    </w:p>
    <w:p w:rsidR="003D5246" w:rsidRPr="00FE1270" w:rsidRDefault="003D5246" w:rsidP="004046B5">
      <w:pPr>
        <w:pStyle w:val="Heading1"/>
        <w:ind w:left="360"/>
        <w:rPr>
          <w:rFonts w:cs="Arial"/>
          <w:noProof/>
          <w:color w:val="244061" w:themeColor="accent1" w:themeShade="80"/>
          <w:sz w:val="28"/>
          <w:szCs w:val="28"/>
        </w:rPr>
      </w:pPr>
      <w:r w:rsidRPr="00FE1270">
        <w:rPr>
          <w:rFonts w:cs="Arial"/>
          <w:noProof/>
          <w:color w:val="244061" w:themeColor="accent1" w:themeShade="80"/>
          <w:sz w:val="28"/>
          <w:szCs w:val="28"/>
        </w:rPr>
        <w:t>(Obrazac: PR-RAS)</w:t>
      </w:r>
    </w:p>
    <w:p w:rsidR="00347534" w:rsidRPr="00FE1270" w:rsidRDefault="00347534" w:rsidP="00C96E6E">
      <w:pPr>
        <w:pStyle w:val="Heading4"/>
        <w:rPr>
          <w:rFonts w:cs="Arial"/>
          <w:noProof/>
          <w:color w:val="244061" w:themeColor="accent1" w:themeShade="80"/>
          <w:szCs w:val="22"/>
        </w:rPr>
      </w:pPr>
    </w:p>
    <w:p w:rsidR="00347534" w:rsidRPr="00FE1270" w:rsidRDefault="00347534" w:rsidP="00C96E6E">
      <w:pPr>
        <w:pStyle w:val="Heading4"/>
        <w:rPr>
          <w:rFonts w:cs="Arial"/>
          <w:noProof/>
          <w:szCs w:val="22"/>
        </w:rPr>
      </w:pPr>
    </w:p>
    <w:p w:rsidR="00C96E6E" w:rsidRPr="00FE1270" w:rsidRDefault="00EA1772" w:rsidP="00C96E6E">
      <w:pPr>
        <w:pStyle w:val="Heading4"/>
        <w:rPr>
          <w:rFonts w:cs="Arial"/>
          <w:noProof/>
          <w:szCs w:val="22"/>
        </w:rPr>
      </w:pPr>
      <w:r w:rsidRPr="00FE1270">
        <w:rPr>
          <w:rFonts w:cs="Arial"/>
          <w:noProof/>
          <w:szCs w:val="22"/>
        </w:rPr>
        <w:t>Bilješka broj 6</w:t>
      </w:r>
      <w:r w:rsidR="00C96E6E" w:rsidRPr="00FE1270">
        <w:rPr>
          <w:rFonts w:cs="Arial"/>
          <w:noProof/>
          <w:szCs w:val="22"/>
        </w:rPr>
        <w:t xml:space="preserve"> - prihodi poslovanja (</w:t>
      </w:r>
      <w:r w:rsidR="006C0BB8" w:rsidRPr="00FE1270">
        <w:rPr>
          <w:rFonts w:cs="Arial"/>
          <w:noProof/>
          <w:szCs w:val="22"/>
        </w:rPr>
        <w:t>6</w:t>
      </w:r>
      <w:r w:rsidR="00C96E6E" w:rsidRPr="00FE1270">
        <w:rPr>
          <w:rFonts w:cs="Arial"/>
          <w:noProof/>
          <w:szCs w:val="22"/>
        </w:rPr>
        <w:t>)</w:t>
      </w:r>
    </w:p>
    <w:p w:rsidR="009A2B44" w:rsidRPr="00FE1270" w:rsidRDefault="00434564" w:rsidP="009A2B44">
      <w:pPr>
        <w:pStyle w:val="BodyText2"/>
        <w:rPr>
          <w:rFonts w:cs="Arial"/>
          <w:noProof/>
          <w:sz w:val="22"/>
          <w:szCs w:val="22"/>
        </w:rPr>
      </w:pPr>
      <w:r w:rsidRPr="00FE1270">
        <w:rPr>
          <w:rFonts w:cs="Arial"/>
          <w:noProof/>
          <w:sz w:val="22"/>
          <w:szCs w:val="22"/>
        </w:rPr>
        <w:t xml:space="preserve">U ovom </w:t>
      </w:r>
      <w:r w:rsidR="009977EB" w:rsidRPr="00FE1270">
        <w:rPr>
          <w:rFonts w:cs="Arial"/>
          <w:noProof/>
          <w:sz w:val="22"/>
          <w:szCs w:val="22"/>
        </w:rPr>
        <w:t xml:space="preserve">su </w:t>
      </w:r>
      <w:r w:rsidRPr="00FE1270">
        <w:rPr>
          <w:rFonts w:cs="Arial"/>
          <w:noProof/>
          <w:sz w:val="22"/>
          <w:szCs w:val="22"/>
        </w:rPr>
        <w:t>konsolidiranom izvještaju, zbog propisane eliminacije</w:t>
      </w:r>
      <w:r w:rsidR="003A69D0">
        <w:rPr>
          <w:rFonts w:cs="Arial"/>
          <w:noProof/>
          <w:sz w:val="22"/>
          <w:szCs w:val="22"/>
        </w:rPr>
        <w:t xml:space="preserve"> unutargrupnih transakcija</w:t>
      </w:r>
      <w:r w:rsidRPr="00FE1270">
        <w:rPr>
          <w:rFonts w:cs="Arial"/>
          <w:noProof/>
          <w:sz w:val="22"/>
          <w:szCs w:val="22"/>
        </w:rPr>
        <w:t>, p</w:t>
      </w:r>
      <w:r w:rsidR="0061005B" w:rsidRPr="00FE1270">
        <w:rPr>
          <w:rFonts w:cs="Arial"/>
          <w:noProof/>
          <w:sz w:val="22"/>
          <w:szCs w:val="22"/>
        </w:rPr>
        <w:t xml:space="preserve">rihodi korisnika umanjeni </w:t>
      </w:r>
      <w:r w:rsidR="009A2B44" w:rsidRPr="00FE1270">
        <w:rPr>
          <w:rFonts w:cs="Arial"/>
          <w:noProof/>
          <w:sz w:val="22"/>
          <w:szCs w:val="22"/>
        </w:rPr>
        <w:t xml:space="preserve">za primljena </w:t>
      </w:r>
      <w:r w:rsidRPr="00FE1270">
        <w:rPr>
          <w:rFonts w:cs="Arial"/>
          <w:noProof/>
          <w:sz w:val="22"/>
          <w:szCs w:val="22"/>
        </w:rPr>
        <w:t xml:space="preserve">proračunska </w:t>
      </w:r>
      <w:r w:rsidR="009A2B44" w:rsidRPr="00FE1270">
        <w:rPr>
          <w:rFonts w:cs="Arial"/>
          <w:noProof/>
          <w:sz w:val="22"/>
          <w:szCs w:val="22"/>
        </w:rPr>
        <w:t>sredstva z</w:t>
      </w:r>
      <w:r w:rsidR="00A23DF5" w:rsidRPr="00FE1270">
        <w:rPr>
          <w:rFonts w:cs="Arial"/>
          <w:noProof/>
          <w:sz w:val="22"/>
          <w:szCs w:val="22"/>
        </w:rPr>
        <w:t xml:space="preserve">a </w:t>
      </w:r>
      <w:r w:rsidR="0061005B" w:rsidRPr="00FE1270">
        <w:rPr>
          <w:rFonts w:cs="Arial"/>
          <w:noProof/>
          <w:sz w:val="22"/>
          <w:szCs w:val="22"/>
        </w:rPr>
        <w:t xml:space="preserve">financiranje </w:t>
      </w:r>
      <w:r w:rsidR="00A23DF5" w:rsidRPr="00FE1270">
        <w:rPr>
          <w:rFonts w:cs="Arial"/>
          <w:noProof/>
          <w:sz w:val="22"/>
          <w:szCs w:val="22"/>
        </w:rPr>
        <w:t>redovn</w:t>
      </w:r>
      <w:r w:rsidR="0061005B" w:rsidRPr="00FE1270">
        <w:rPr>
          <w:rFonts w:cs="Arial"/>
          <w:noProof/>
          <w:sz w:val="22"/>
          <w:szCs w:val="22"/>
        </w:rPr>
        <w:t>e</w:t>
      </w:r>
      <w:r w:rsidR="00A23DF5" w:rsidRPr="00FE1270">
        <w:rPr>
          <w:rFonts w:cs="Arial"/>
          <w:noProof/>
          <w:sz w:val="22"/>
          <w:szCs w:val="22"/>
        </w:rPr>
        <w:t xml:space="preserve"> </w:t>
      </w:r>
      <w:r w:rsidR="0061005B" w:rsidRPr="00FE1270">
        <w:rPr>
          <w:rFonts w:cs="Arial"/>
          <w:noProof/>
          <w:sz w:val="22"/>
          <w:szCs w:val="22"/>
        </w:rPr>
        <w:t>djelatnosti</w:t>
      </w:r>
      <w:r w:rsidR="00A23DF5" w:rsidRPr="00FE1270">
        <w:rPr>
          <w:rFonts w:cs="Arial"/>
          <w:noProof/>
          <w:sz w:val="22"/>
          <w:szCs w:val="22"/>
        </w:rPr>
        <w:t xml:space="preserve"> (račun 671</w:t>
      </w:r>
      <w:r w:rsidR="00F81171" w:rsidRPr="00FE1270">
        <w:rPr>
          <w:rFonts w:cs="Arial"/>
          <w:noProof/>
          <w:sz w:val="22"/>
          <w:szCs w:val="22"/>
        </w:rPr>
        <w:t xml:space="preserve"> </w:t>
      </w:r>
      <w:r w:rsidR="00A840F3" w:rsidRPr="00FE1270">
        <w:rPr>
          <w:rFonts w:cs="Arial"/>
          <w:noProof/>
          <w:sz w:val="22"/>
          <w:szCs w:val="22"/>
        </w:rPr>
        <w:t>=</w:t>
      </w:r>
      <w:r w:rsidR="00A27A9A" w:rsidRPr="00FE1270">
        <w:rPr>
          <w:rFonts w:cs="Arial"/>
          <w:noProof/>
          <w:sz w:val="22"/>
          <w:szCs w:val="22"/>
        </w:rPr>
        <w:t>39.806.940,56</w:t>
      </w:r>
      <w:r w:rsidR="009C2C34" w:rsidRPr="00FE1270">
        <w:rPr>
          <w:rFonts w:cs="Arial"/>
          <w:noProof/>
          <w:sz w:val="22"/>
          <w:szCs w:val="22"/>
        </w:rPr>
        <w:t xml:space="preserve"> eura</w:t>
      </w:r>
      <w:r w:rsidR="003A69D0">
        <w:rPr>
          <w:rFonts w:cs="Arial"/>
          <w:noProof/>
          <w:sz w:val="22"/>
          <w:szCs w:val="22"/>
        </w:rPr>
        <w:t>)</w:t>
      </w:r>
      <w:r w:rsidR="009A2B44" w:rsidRPr="00FE1270">
        <w:rPr>
          <w:rFonts w:cs="Arial"/>
          <w:noProof/>
          <w:sz w:val="22"/>
          <w:szCs w:val="22"/>
        </w:rPr>
        <w:t xml:space="preserve"> i za prijenose između proračunskih korisnika istog proračuna (račun 639</w:t>
      </w:r>
      <w:r w:rsidR="0079154C" w:rsidRPr="00FE1270">
        <w:rPr>
          <w:rFonts w:cs="Arial"/>
          <w:noProof/>
          <w:sz w:val="22"/>
          <w:szCs w:val="22"/>
        </w:rPr>
        <w:t xml:space="preserve"> </w:t>
      </w:r>
      <w:r w:rsidR="00A840F3" w:rsidRPr="00FE1270">
        <w:rPr>
          <w:rFonts w:cs="Arial"/>
          <w:noProof/>
          <w:sz w:val="22"/>
          <w:szCs w:val="22"/>
        </w:rPr>
        <w:t>=</w:t>
      </w:r>
      <w:r w:rsidR="00A27A9A" w:rsidRPr="00FE1270">
        <w:rPr>
          <w:rFonts w:cs="Arial"/>
          <w:noProof/>
          <w:sz w:val="22"/>
          <w:szCs w:val="22"/>
        </w:rPr>
        <w:t>26.553,86</w:t>
      </w:r>
      <w:r w:rsidR="009C2C34" w:rsidRPr="00FE1270">
        <w:rPr>
          <w:rFonts w:cs="Arial"/>
          <w:noProof/>
          <w:sz w:val="22"/>
          <w:szCs w:val="22"/>
        </w:rPr>
        <w:t xml:space="preserve"> eura</w:t>
      </w:r>
      <w:r w:rsidR="009A2B44" w:rsidRPr="00FE1270">
        <w:rPr>
          <w:rFonts w:cs="Arial"/>
          <w:noProof/>
          <w:sz w:val="22"/>
          <w:szCs w:val="22"/>
        </w:rPr>
        <w:t>).</w:t>
      </w:r>
      <w:r w:rsidR="009A2B44" w:rsidRPr="00FE1270">
        <w:rPr>
          <w:rFonts w:cs="Arial"/>
          <w:noProof/>
          <w:color w:val="FF0000"/>
          <w:sz w:val="22"/>
          <w:szCs w:val="22"/>
        </w:rPr>
        <w:t xml:space="preserve"> </w:t>
      </w:r>
    </w:p>
    <w:p w:rsidR="00C96E6E" w:rsidRPr="00687220" w:rsidRDefault="00DE32E1" w:rsidP="00E73AF6">
      <w:pPr>
        <w:pStyle w:val="BodyText2"/>
        <w:rPr>
          <w:rFonts w:cs="Arial"/>
          <w:noProof/>
          <w:sz w:val="22"/>
          <w:szCs w:val="22"/>
        </w:rPr>
      </w:pPr>
      <w:r>
        <w:rPr>
          <w:rFonts w:cs="Arial"/>
          <w:noProof/>
          <w:sz w:val="22"/>
          <w:szCs w:val="22"/>
        </w:rPr>
        <w:t>Konsolidirani p</w:t>
      </w:r>
      <w:r w:rsidR="00C96E6E" w:rsidRPr="00FE1270">
        <w:rPr>
          <w:rFonts w:cs="Arial"/>
          <w:noProof/>
          <w:sz w:val="22"/>
          <w:szCs w:val="22"/>
        </w:rPr>
        <w:t xml:space="preserve">rihodi poslovanja </w:t>
      </w:r>
      <w:r w:rsidR="004B16A8" w:rsidRPr="00FE1270">
        <w:rPr>
          <w:rFonts w:cs="Arial"/>
          <w:noProof/>
          <w:sz w:val="22"/>
          <w:szCs w:val="22"/>
        </w:rPr>
        <w:t xml:space="preserve">ukupno su </w:t>
      </w:r>
      <w:r w:rsidR="00C96E6E" w:rsidRPr="00FE1270">
        <w:rPr>
          <w:rFonts w:cs="Arial"/>
          <w:noProof/>
          <w:sz w:val="22"/>
          <w:szCs w:val="22"/>
        </w:rPr>
        <w:t xml:space="preserve">ostvareni u iznosu </w:t>
      </w:r>
      <w:r w:rsidR="004B16A8" w:rsidRPr="00FE1270">
        <w:rPr>
          <w:rFonts w:cs="Arial"/>
          <w:noProof/>
          <w:sz w:val="22"/>
          <w:szCs w:val="22"/>
        </w:rPr>
        <w:t xml:space="preserve">od </w:t>
      </w:r>
      <w:r w:rsidR="00A27A9A" w:rsidRPr="00FE1270">
        <w:rPr>
          <w:rFonts w:cs="Arial"/>
          <w:noProof/>
          <w:sz w:val="22"/>
          <w:szCs w:val="22"/>
        </w:rPr>
        <w:t>185.984.881,02</w:t>
      </w:r>
      <w:r w:rsidR="00562B6F" w:rsidRPr="00FE1270">
        <w:rPr>
          <w:rFonts w:cs="Arial"/>
          <w:noProof/>
          <w:sz w:val="22"/>
          <w:szCs w:val="22"/>
        </w:rPr>
        <w:t xml:space="preserve"> eura</w:t>
      </w:r>
      <w:r w:rsidR="00C96E6E" w:rsidRPr="00FE1270">
        <w:rPr>
          <w:rFonts w:cs="Arial"/>
          <w:noProof/>
          <w:sz w:val="22"/>
          <w:szCs w:val="22"/>
        </w:rPr>
        <w:t xml:space="preserve">, </w:t>
      </w:r>
      <w:r w:rsidR="0030313F" w:rsidRPr="00FE1270">
        <w:rPr>
          <w:rFonts w:cs="Arial"/>
          <w:noProof/>
          <w:sz w:val="22"/>
          <w:szCs w:val="22"/>
        </w:rPr>
        <w:t>u koj</w:t>
      </w:r>
      <w:r w:rsidR="00017851" w:rsidRPr="00FE1270">
        <w:rPr>
          <w:rFonts w:cs="Arial"/>
          <w:noProof/>
          <w:sz w:val="22"/>
          <w:szCs w:val="22"/>
        </w:rPr>
        <w:t>em ostvarenju</w:t>
      </w:r>
      <w:r w:rsidR="0030313F" w:rsidRPr="00FE1270">
        <w:rPr>
          <w:rFonts w:cs="Arial"/>
          <w:noProof/>
          <w:sz w:val="22"/>
          <w:szCs w:val="22"/>
        </w:rPr>
        <w:t xml:space="preserve"> </w:t>
      </w:r>
      <w:r w:rsidR="00C96E6E" w:rsidRPr="00FE1270">
        <w:rPr>
          <w:rFonts w:cs="Arial"/>
          <w:noProof/>
          <w:sz w:val="22"/>
          <w:szCs w:val="22"/>
        </w:rPr>
        <w:t xml:space="preserve">Grad participira sa </w:t>
      </w:r>
      <w:r w:rsidR="00042A6B" w:rsidRPr="00FE1270">
        <w:rPr>
          <w:rFonts w:cs="Arial"/>
          <w:noProof/>
          <w:sz w:val="22"/>
          <w:szCs w:val="22"/>
        </w:rPr>
        <w:t>137.754.229,42</w:t>
      </w:r>
      <w:r w:rsidR="00E404A5" w:rsidRPr="00FE1270">
        <w:rPr>
          <w:rFonts w:cs="Arial"/>
          <w:noProof/>
          <w:sz w:val="22"/>
          <w:szCs w:val="22"/>
        </w:rPr>
        <w:t xml:space="preserve"> eura</w:t>
      </w:r>
      <w:r w:rsidR="00697CCA" w:rsidRPr="00FE1270">
        <w:rPr>
          <w:rFonts w:cs="Arial"/>
          <w:noProof/>
          <w:sz w:val="22"/>
          <w:szCs w:val="22"/>
        </w:rPr>
        <w:t xml:space="preserve"> </w:t>
      </w:r>
      <w:r w:rsidR="00BB0B23" w:rsidRPr="00FE1270">
        <w:rPr>
          <w:rFonts w:cs="Arial"/>
          <w:noProof/>
          <w:sz w:val="22"/>
          <w:szCs w:val="22"/>
        </w:rPr>
        <w:t>ili 74,1</w:t>
      </w:r>
      <w:r w:rsidR="00C96E6E" w:rsidRPr="00FE1270">
        <w:rPr>
          <w:rFonts w:cs="Arial"/>
          <w:noProof/>
          <w:sz w:val="22"/>
          <w:szCs w:val="22"/>
        </w:rPr>
        <w:t xml:space="preserve">% dok prihodi proračunskih korisnika </w:t>
      </w:r>
      <w:r w:rsidR="00F84CBA" w:rsidRPr="00FE1270">
        <w:rPr>
          <w:rFonts w:cs="Arial"/>
          <w:noProof/>
          <w:sz w:val="22"/>
          <w:szCs w:val="22"/>
        </w:rPr>
        <w:t>ukupno</w:t>
      </w:r>
      <w:r w:rsidR="00E52F49" w:rsidRPr="00FE1270">
        <w:rPr>
          <w:rFonts w:cs="Arial"/>
          <w:noProof/>
          <w:sz w:val="22"/>
          <w:szCs w:val="22"/>
        </w:rPr>
        <w:t xml:space="preserve"> </w:t>
      </w:r>
      <w:r w:rsidR="00C96E6E" w:rsidRPr="00FE1270">
        <w:rPr>
          <w:rFonts w:cs="Arial"/>
          <w:noProof/>
          <w:sz w:val="22"/>
          <w:szCs w:val="22"/>
        </w:rPr>
        <w:t xml:space="preserve">iznose </w:t>
      </w:r>
      <w:r w:rsidR="00042A6B" w:rsidRPr="00FE1270">
        <w:rPr>
          <w:rFonts w:cs="Arial"/>
          <w:noProof/>
          <w:sz w:val="22"/>
          <w:szCs w:val="22"/>
        </w:rPr>
        <w:t>48.230.651,60</w:t>
      </w:r>
      <w:r w:rsidR="00562B6F" w:rsidRPr="00FE1270">
        <w:rPr>
          <w:rFonts w:cs="Arial"/>
          <w:noProof/>
          <w:sz w:val="22"/>
          <w:szCs w:val="22"/>
        </w:rPr>
        <w:t xml:space="preserve"> eur</w:t>
      </w:r>
      <w:r w:rsidR="0030313F" w:rsidRPr="00FE1270">
        <w:rPr>
          <w:rFonts w:cs="Arial"/>
          <w:noProof/>
          <w:sz w:val="22"/>
          <w:szCs w:val="22"/>
        </w:rPr>
        <w:t>a</w:t>
      </w:r>
      <w:r w:rsidR="00BC5500" w:rsidRPr="00FE1270">
        <w:rPr>
          <w:rFonts w:cs="Arial"/>
          <w:noProof/>
          <w:sz w:val="22"/>
          <w:szCs w:val="22"/>
        </w:rPr>
        <w:t xml:space="preserve"> ili </w:t>
      </w:r>
      <w:r w:rsidR="000F6D7E" w:rsidRPr="00FE1270">
        <w:rPr>
          <w:rFonts w:cs="Arial"/>
          <w:noProof/>
          <w:sz w:val="22"/>
          <w:szCs w:val="22"/>
        </w:rPr>
        <w:t>25,9</w:t>
      </w:r>
      <w:r w:rsidR="00C96E6E" w:rsidRPr="00FE1270">
        <w:rPr>
          <w:rFonts w:cs="Arial"/>
          <w:noProof/>
          <w:sz w:val="22"/>
          <w:szCs w:val="22"/>
        </w:rPr>
        <w:t xml:space="preserve">%. </w:t>
      </w:r>
      <w:r>
        <w:rPr>
          <w:rFonts w:cs="Arial"/>
          <w:noProof/>
          <w:sz w:val="22"/>
          <w:szCs w:val="22"/>
        </w:rPr>
        <w:t>Ovi prihodi su, u</w:t>
      </w:r>
      <w:r w:rsidR="00C96E6E" w:rsidRPr="00FE1270">
        <w:rPr>
          <w:rFonts w:cs="Arial"/>
          <w:noProof/>
          <w:sz w:val="22"/>
          <w:szCs w:val="22"/>
        </w:rPr>
        <w:t xml:space="preserve"> odnosu na ostvare</w:t>
      </w:r>
      <w:r w:rsidR="008435D0" w:rsidRPr="00FE1270">
        <w:rPr>
          <w:rFonts w:cs="Arial"/>
          <w:noProof/>
          <w:sz w:val="22"/>
          <w:szCs w:val="22"/>
        </w:rPr>
        <w:t>nje prethodne godine</w:t>
      </w:r>
      <w:r>
        <w:rPr>
          <w:rFonts w:cs="Arial"/>
          <w:noProof/>
          <w:sz w:val="22"/>
          <w:szCs w:val="22"/>
        </w:rPr>
        <w:t>, 13,3%</w:t>
      </w:r>
      <w:r w:rsidR="008435D0" w:rsidRPr="00FE1270">
        <w:rPr>
          <w:rFonts w:cs="Arial"/>
          <w:noProof/>
          <w:sz w:val="22"/>
          <w:szCs w:val="22"/>
        </w:rPr>
        <w:t xml:space="preserve"> </w:t>
      </w:r>
      <w:r w:rsidR="00041211" w:rsidRPr="00FE1270">
        <w:rPr>
          <w:rFonts w:cs="Arial"/>
          <w:noProof/>
          <w:sz w:val="22"/>
          <w:szCs w:val="22"/>
        </w:rPr>
        <w:t xml:space="preserve">više </w:t>
      </w:r>
      <w:r w:rsidR="00697CCA" w:rsidRPr="00FE1270">
        <w:rPr>
          <w:rFonts w:cs="Arial"/>
          <w:noProof/>
          <w:sz w:val="22"/>
          <w:szCs w:val="22"/>
        </w:rPr>
        <w:t>ostvareni</w:t>
      </w:r>
      <w:r>
        <w:rPr>
          <w:rFonts w:cs="Arial"/>
          <w:noProof/>
          <w:sz w:val="22"/>
          <w:szCs w:val="22"/>
        </w:rPr>
        <w:t>.</w:t>
      </w:r>
      <w:r w:rsidR="000F6D7E" w:rsidRPr="00FE1270">
        <w:rPr>
          <w:rFonts w:cs="Arial"/>
          <w:noProof/>
          <w:sz w:val="22"/>
          <w:szCs w:val="22"/>
        </w:rPr>
        <w:t xml:space="preserve"> </w:t>
      </w:r>
      <w:r w:rsidR="006F0352" w:rsidRPr="00FE1270">
        <w:rPr>
          <w:rFonts w:cs="Arial"/>
          <w:noProof/>
          <w:sz w:val="22"/>
          <w:szCs w:val="22"/>
        </w:rPr>
        <w:t>U</w:t>
      </w:r>
      <w:r w:rsidR="000F6D7E" w:rsidRPr="00FE1270">
        <w:rPr>
          <w:rFonts w:cs="Arial"/>
          <w:noProof/>
          <w:sz w:val="22"/>
          <w:szCs w:val="22"/>
        </w:rPr>
        <w:t xml:space="preserve"> Gradu</w:t>
      </w:r>
      <w:r w:rsidR="006F0352" w:rsidRPr="00FE1270">
        <w:rPr>
          <w:rFonts w:cs="Arial"/>
          <w:noProof/>
          <w:sz w:val="22"/>
          <w:szCs w:val="22"/>
        </w:rPr>
        <w:t xml:space="preserve"> se bilježi povećanje na </w:t>
      </w:r>
      <w:r w:rsidR="000F6D7E" w:rsidRPr="00FE1270">
        <w:rPr>
          <w:rFonts w:cs="Arial"/>
          <w:noProof/>
          <w:sz w:val="22"/>
          <w:szCs w:val="22"/>
        </w:rPr>
        <w:t xml:space="preserve">prihodima od poreza (61), </w:t>
      </w:r>
      <w:r>
        <w:rPr>
          <w:rFonts w:cs="Arial"/>
          <w:noProof/>
          <w:sz w:val="22"/>
          <w:szCs w:val="22"/>
        </w:rPr>
        <w:t xml:space="preserve">prihodima od </w:t>
      </w:r>
      <w:r w:rsidR="000F6D7E" w:rsidRPr="00FE1270">
        <w:rPr>
          <w:rFonts w:cs="Arial"/>
          <w:noProof/>
          <w:sz w:val="22"/>
          <w:szCs w:val="22"/>
        </w:rPr>
        <w:t xml:space="preserve">pomoći </w:t>
      </w:r>
      <w:r w:rsidR="003A16E7" w:rsidRPr="00FE1270">
        <w:rPr>
          <w:rFonts w:cs="Arial"/>
          <w:noProof/>
          <w:sz w:val="22"/>
          <w:szCs w:val="22"/>
        </w:rPr>
        <w:t xml:space="preserve">proračunu iz drugih </w:t>
      </w:r>
      <w:r w:rsidR="003A16E7" w:rsidRPr="00576657">
        <w:rPr>
          <w:rFonts w:cs="Arial"/>
          <w:noProof/>
          <w:sz w:val="22"/>
          <w:szCs w:val="22"/>
        </w:rPr>
        <w:t>proračuna</w:t>
      </w:r>
      <w:r w:rsidR="006F0352" w:rsidRPr="00576657">
        <w:rPr>
          <w:rFonts w:cs="Arial"/>
          <w:noProof/>
          <w:sz w:val="22"/>
          <w:szCs w:val="22"/>
        </w:rPr>
        <w:t xml:space="preserve"> i</w:t>
      </w:r>
      <w:r w:rsidR="003A16E7" w:rsidRPr="00576657">
        <w:rPr>
          <w:rFonts w:cs="Arial"/>
          <w:noProof/>
          <w:sz w:val="22"/>
          <w:szCs w:val="22"/>
        </w:rPr>
        <w:t xml:space="preserve"> izvanproračunski</w:t>
      </w:r>
      <w:r w:rsidR="006F0352" w:rsidRPr="00576657">
        <w:rPr>
          <w:rFonts w:cs="Arial"/>
          <w:noProof/>
          <w:sz w:val="22"/>
          <w:szCs w:val="22"/>
        </w:rPr>
        <w:t>m</w:t>
      </w:r>
      <w:r w:rsidR="003A16E7" w:rsidRPr="00576657">
        <w:rPr>
          <w:rFonts w:cs="Arial"/>
          <w:noProof/>
          <w:sz w:val="22"/>
          <w:szCs w:val="22"/>
        </w:rPr>
        <w:t xml:space="preserve"> korisnicima </w:t>
      </w:r>
      <w:r w:rsidR="000C1AF8" w:rsidRPr="00576657">
        <w:rPr>
          <w:rFonts w:cs="Arial"/>
          <w:noProof/>
          <w:sz w:val="22"/>
          <w:szCs w:val="22"/>
        </w:rPr>
        <w:t>(633</w:t>
      </w:r>
      <w:r w:rsidR="006F0352" w:rsidRPr="00576657">
        <w:rPr>
          <w:rFonts w:cs="Arial"/>
          <w:noProof/>
          <w:sz w:val="22"/>
          <w:szCs w:val="22"/>
        </w:rPr>
        <w:t>)</w:t>
      </w:r>
      <w:r w:rsidR="003A16E7" w:rsidRPr="00576657">
        <w:rPr>
          <w:rFonts w:cs="Arial"/>
          <w:noProof/>
          <w:sz w:val="22"/>
          <w:szCs w:val="22"/>
        </w:rPr>
        <w:t xml:space="preserve"> i </w:t>
      </w:r>
      <w:r w:rsidR="006F0352" w:rsidRPr="00576657">
        <w:rPr>
          <w:rFonts w:cs="Arial"/>
          <w:noProof/>
          <w:sz w:val="22"/>
          <w:szCs w:val="22"/>
        </w:rPr>
        <w:t>prihod</w:t>
      </w:r>
      <w:r w:rsidR="00B6256E" w:rsidRPr="00576657">
        <w:rPr>
          <w:rFonts w:cs="Arial"/>
          <w:noProof/>
          <w:sz w:val="22"/>
          <w:szCs w:val="22"/>
        </w:rPr>
        <w:t xml:space="preserve">ima od kazni, upravnih mjera i </w:t>
      </w:r>
      <w:r w:rsidR="006F0352" w:rsidRPr="00576657">
        <w:rPr>
          <w:rFonts w:cs="Arial"/>
          <w:noProof/>
          <w:sz w:val="22"/>
          <w:szCs w:val="22"/>
        </w:rPr>
        <w:t>ostalim prihodima</w:t>
      </w:r>
      <w:r w:rsidR="00DD094C" w:rsidRPr="00576657">
        <w:rPr>
          <w:rFonts w:cs="Arial"/>
          <w:noProof/>
          <w:sz w:val="22"/>
          <w:szCs w:val="22"/>
        </w:rPr>
        <w:t xml:space="preserve"> (68)</w:t>
      </w:r>
      <w:r w:rsidR="00C46B05" w:rsidRPr="00576657">
        <w:rPr>
          <w:rFonts w:cs="Arial"/>
          <w:noProof/>
          <w:sz w:val="22"/>
          <w:szCs w:val="22"/>
        </w:rPr>
        <w:t xml:space="preserve">, dok </w:t>
      </w:r>
      <w:r w:rsidR="006F0352" w:rsidRPr="00576657">
        <w:rPr>
          <w:rFonts w:cs="Arial"/>
          <w:noProof/>
          <w:sz w:val="22"/>
          <w:szCs w:val="22"/>
        </w:rPr>
        <w:t xml:space="preserve">kod korisnika najveće povećanje </w:t>
      </w:r>
      <w:r w:rsidR="00C46B05" w:rsidRPr="00576657">
        <w:rPr>
          <w:rFonts w:cs="Arial"/>
          <w:noProof/>
          <w:sz w:val="22"/>
          <w:szCs w:val="22"/>
        </w:rPr>
        <w:t>nastaje u</w:t>
      </w:r>
      <w:r w:rsidR="006F0352" w:rsidRPr="00576657">
        <w:rPr>
          <w:rFonts w:cs="Arial"/>
          <w:noProof/>
          <w:sz w:val="22"/>
          <w:szCs w:val="22"/>
        </w:rPr>
        <w:t xml:space="preserve"> </w:t>
      </w:r>
      <w:r w:rsidR="00B6256E" w:rsidRPr="00576657">
        <w:rPr>
          <w:rFonts w:cs="Arial"/>
          <w:noProof/>
          <w:sz w:val="22"/>
          <w:szCs w:val="22"/>
        </w:rPr>
        <w:t xml:space="preserve">okviru </w:t>
      </w:r>
      <w:r w:rsidR="006F0352" w:rsidRPr="00576657">
        <w:rPr>
          <w:rFonts w:cs="Arial"/>
          <w:noProof/>
          <w:sz w:val="22"/>
          <w:szCs w:val="22"/>
        </w:rPr>
        <w:t>prihoda od pomoći iz proračuna koji im nije nadležan</w:t>
      </w:r>
      <w:r w:rsidR="00DE0B23" w:rsidRPr="00576657">
        <w:rPr>
          <w:rFonts w:cs="Arial"/>
          <w:noProof/>
          <w:sz w:val="22"/>
          <w:szCs w:val="22"/>
        </w:rPr>
        <w:t xml:space="preserve"> (636)</w:t>
      </w:r>
      <w:r w:rsidR="000C1AF8" w:rsidRPr="00576657">
        <w:rPr>
          <w:rFonts w:cs="Arial"/>
          <w:noProof/>
          <w:sz w:val="22"/>
          <w:szCs w:val="22"/>
        </w:rPr>
        <w:t xml:space="preserve"> 23,4%</w:t>
      </w:r>
      <w:r w:rsidR="007E155C" w:rsidRPr="00576657">
        <w:rPr>
          <w:rFonts w:cs="Arial"/>
          <w:noProof/>
          <w:sz w:val="22"/>
          <w:szCs w:val="22"/>
        </w:rPr>
        <w:t xml:space="preserve"> i to kod u ustanova odgoja, obrazovanja i mladih</w:t>
      </w:r>
      <w:r w:rsidR="00DD094C" w:rsidRPr="00576657">
        <w:rPr>
          <w:rFonts w:cs="Arial"/>
          <w:noProof/>
          <w:sz w:val="22"/>
          <w:szCs w:val="22"/>
        </w:rPr>
        <w:t xml:space="preserve"> </w:t>
      </w:r>
      <w:r w:rsidR="007E155C" w:rsidRPr="00576657">
        <w:rPr>
          <w:rFonts w:cs="Arial"/>
          <w:noProof/>
          <w:sz w:val="22"/>
          <w:szCs w:val="22"/>
        </w:rPr>
        <w:t xml:space="preserve">i </w:t>
      </w:r>
      <w:r w:rsidR="00DD094C" w:rsidRPr="00576657">
        <w:rPr>
          <w:rFonts w:cs="Arial"/>
          <w:noProof/>
          <w:sz w:val="22"/>
          <w:szCs w:val="22"/>
        </w:rPr>
        <w:t xml:space="preserve">kod </w:t>
      </w:r>
      <w:r w:rsidR="007E155C" w:rsidRPr="00576657">
        <w:rPr>
          <w:rFonts w:cs="Arial"/>
          <w:noProof/>
          <w:sz w:val="22"/>
          <w:szCs w:val="22"/>
        </w:rPr>
        <w:t>ustanova</w:t>
      </w:r>
      <w:r w:rsidR="00DD094C" w:rsidRPr="00576657">
        <w:rPr>
          <w:rFonts w:cs="Arial"/>
          <w:noProof/>
          <w:sz w:val="22"/>
          <w:szCs w:val="22"/>
        </w:rPr>
        <w:t xml:space="preserve"> kulture.</w:t>
      </w:r>
      <w:r w:rsidR="00687220" w:rsidRPr="00576657">
        <w:t xml:space="preserve"> </w:t>
      </w:r>
      <w:r w:rsidR="00687220" w:rsidRPr="00576657">
        <w:rPr>
          <w:sz w:val="22"/>
          <w:szCs w:val="22"/>
        </w:rPr>
        <w:t xml:space="preserve">Najveći dio sredstava </w:t>
      </w:r>
      <w:r w:rsidR="00413F9B" w:rsidRPr="00576657">
        <w:rPr>
          <w:sz w:val="22"/>
          <w:szCs w:val="22"/>
        </w:rPr>
        <w:t>su ostvarile osnovne škole</w:t>
      </w:r>
      <w:r w:rsidR="00687220" w:rsidRPr="00576657">
        <w:rPr>
          <w:sz w:val="22"/>
          <w:szCs w:val="22"/>
        </w:rPr>
        <w:t xml:space="preserve"> za razne namjene: za rashode za zaposlene, za prehranu učenika i drugo.</w:t>
      </w:r>
    </w:p>
    <w:p w:rsidR="00347E4F" w:rsidRPr="00687220" w:rsidRDefault="00FC1EC3" w:rsidP="002B1D3F">
      <w:pPr>
        <w:pStyle w:val="BodyText2"/>
        <w:rPr>
          <w:rFonts w:cs="Arial"/>
          <w:noProof/>
          <w:sz w:val="22"/>
          <w:szCs w:val="22"/>
        </w:rPr>
      </w:pPr>
      <w:r w:rsidRPr="00687220">
        <w:rPr>
          <w:rFonts w:cs="Arial"/>
          <w:noProof/>
          <w:sz w:val="22"/>
          <w:szCs w:val="22"/>
        </w:rPr>
        <w:t xml:space="preserve">  </w:t>
      </w:r>
    </w:p>
    <w:p w:rsidR="00566694" w:rsidRPr="00FE1270" w:rsidRDefault="00566694">
      <w:pPr>
        <w:pStyle w:val="Heading4"/>
        <w:rPr>
          <w:rFonts w:cs="Arial"/>
          <w:noProof/>
          <w:szCs w:val="22"/>
        </w:rPr>
      </w:pPr>
      <w:r w:rsidRPr="00FE1270">
        <w:rPr>
          <w:rFonts w:cs="Arial"/>
          <w:noProof/>
          <w:szCs w:val="22"/>
        </w:rPr>
        <w:t xml:space="preserve">Bilješka broj </w:t>
      </w:r>
      <w:r w:rsidR="00EA1772" w:rsidRPr="00FE1270">
        <w:rPr>
          <w:rFonts w:cs="Arial"/>
          <w:noProof/>
          <w:szCs w:val="22"/>
        </w:rPr>
        <w:t>7</w:t>
      </w:r>
      <w:r w:rsidR="004A55B3" w:rsidRPr="00FE1270">
        <w:rPr>
          <w:rFonts w:cs="Arial"/>
          <w:noProof/>
          <w:szCs w:val="22"/>
        </w:rPr>
        <w:t xml:space="preserve">- </w:t>
      </w:r>
      <w:r w:rsidRPr="00FE1270">
        <w:rPr>
          <w:rFonts w:cs="Arial"/>
          <w:noProof/>
          <w:szCs w:val="22"/>
        </w:rPr>
        <w:t>rashodi poslovanja (</w:t>
      </w:r>
      <w:r w:rsidR="006C0BB8" w:rsidRPr="00FE1270">
        <w:rPr>
          <w:rFonts w:cs="Arial"/>
          <w:noProof/>
          <w:szCs w:val="22"/>
        </w:rPr>
        <w:t>3</w:t>
      </w:r>
      <w:r w:rsidRPr="00FE1270">
        <w:rPr>
          <w:rFonts w:cs="Arial"/>
          <w:noProof/>
          <w:szCs w:val="22"/>
        </w:rPr>
        <w:t>)</w:t>
      </w:r>
    </w:p>
    <w:p w:rsidR="005D15E8" w:rsidRPr="00FE1270" w:rsidRDefault="000957DF" w:rsidP="00D939CF">
      <w:pPr>
        <w:pStyle w:val="BodyText2"/>
        <w:rPr>
          <w:rFonts w:cs="Arial"/>
          <w:noProof/>
          <w:sz w:val="22"/>
          <w:szCs w:val="22"/>
        </w:rPr>
      </w:pPr>
      <w:r w:rsidRPr="00FE1270">
        <w:rPr>
          <w:rFonts w:cs="Arial"/>
          <w:noProof/>
          <w:sz w:val="22"/>
          <w:szCs w:val="22"/>
        </w:rPr>
        <w:t>R</w:t>
      </w:r>
      <w:r w:rsidR="00566694" w:rsidRPr="00FE1270">
        <w:rPr>
          <w:rFonts w:cs="Arial"/>
          <w:noProof/>
          <w:sz w:val="22"/>
          <w:szCs w:val="22"/>
        </w:rPr>
        <w:t xml:space="preserve">ashodi poslovanja </w:t>
      </w:r>
      <w:r w:rsidR="00825FCA" w:rsidRPr="00FE1270">
        <w:rPr>
          <w:rFonts w:cs="Arial"/>
          <w:noProof/>
          <w:sz w:val="22"/>
          <w:szCs w:val="22"/>
        </w:rPr>
        <w:t xml:space="preserve">konsolidirane grupe </w:t>
      </w:r>
      <w:r w:rsidR="00566694" w:rsidRPr="00FE1270">
        <w:rPr>
          <w:rFonts w:cs="Arial"/>
          <w:noProof/>
          <w:sz w:val="22"/>
          <w:szCs w:val="22"/>
        </w:rPr>
        <w:t>ostvareni</w:t>
      </w:r>
      <w:r w:rsidR="00FD273F" w:rsidRPr="00FE1270">
        <w:rPr>
          <w:rFonts w:cs="Arial"/>
          <w:noProof/>
          <w:sz w:val="22"/>
          <w:szCs w:val="22"/>
        </w:rPr>
        <w:t xml:space="preserve"> su</w:t>
      </w:r>
      <w:r w:rsidR="00566694" w:rsidRPr="00FE1270">
        <w:rPr>
          <w:rFonts w:cs="Arial"/>
          <w:noProof/>
          <w:sz w:val="22"/>
          <w:szCs w:val="22"/>
        </w:rPr>
        <w:t xml:space="preserve"> u iznosu </w:t>
      </w:r>
      <w:r w:rsidR="00042A6B" w:rsidRPr="00FE1270">
        <w:rPr>
          <w:rFonts w:cs="Arial"/>
          <w:noProof/>
          <w:sz w:val="22"/>
          <w:szCs w:val="22"/>
        </w:rPr>
        <w:t>163.669.394,55</w:t>
      </w:r>
      <w:r w:rsidR="00562B6F" w:rsidRPr="00FE1270">
        <w:rPr>
          <w:rFonts w:cs="Arial"/>
          <w:noProof/>
          <w:sz w:val="22"/>
          <w:szCs w:val="22"/>
        </w:rPr>
        <w:t xml:space="preserve"> eura</w:t>
      </w:r>
      <w:r w:rsidR="00566694" w:rsidRPr="00FE1270">
        <w:rPr>
          <w:rFonts w:cs="Arial"/>
          <w:noProof/>
          <w:sz w:val="22"/>
          <w:szCs w:val="22"/>
        </w:rPr>
        <w:t xml:space="preserve">. </w:t>
      </w:r>
      <w:r w:rsidR="00D939CF" w:rsidRPr="00FE1270">
        <w:rPr>
          <w:rFonts w:cs="Arial"/>
          <w:noProof/>
          <w:sz w:val="22"/>
          <w:szCs w:val="22"/>
        </w:rPr>
        <w:t xml:space="preserve">Grad </w:t>
      </w:r>
      <w:r w:rsidR="009977EB" w:rsidRPr="00FE1270">
        <w:rPr>
          <w:rFonts w:cs="Arial"/>
          <w:noProof/>
          <w:sz w:val="22"/>
          <w:szCs w:val="22"/>
        </w:rPr>
        <w:t>je</w:t>
      </w:r>
      <w:r w:rsidR="00D939CF" w:rsidRPr="00FE1270">
        <w:rPr>
          <w:rFonts w:cs="Arial"/>
          <w:noProof/>
          <w:sz w:val="22"/>
          <w:szCs w:val="22"/>
        </w:rPr>
        <w:t xml:space="preserve"> ostvario</w:t>
      </w:r>
      <w:r w:rsidR="0001097E" w:rsidRPr="00FE1270">
        <w:rPr>
          <w:rFonts w:cs="Arial"/>
          <w:noProof/>
          <w:sz w:val="22"/>
          <w:szCs w:val="22"/>
        </w:rPr>
        <w:t xml:space="preserve"> </w:t>
      </w:r>
      <w:r w:rsidR="00121AD4" w:rsidRPr="00FE1270">
        <w:rPr>
          <w:rFonts w:cs="Arial"/>
          <w:noProof/>
          <w:sz w:val="22"/>
          <w:szCs w:val="22"/>
        </w:rPr>
        <w:t>74.</w:t>
      </w:r>
      <w:r w:rsidR="00910765" w:rsidRPr="00FE1270">
        <w:rPr>
          <w:rFonts w:cs="Arial"/>
          <w:noProof/>
          <w:sz w:val="22"/>
          <w:szCs w:val="22"/>
        </w:rPr>
        <w:t>559.781,27</w:t>
      </w:r>
      <w:r w:rsidR="00341128" w:rsidRPr="00FE1270">
        <w:rPr>
          <w:rFonts w:cs="Arial"/>
          <w:noProof/>
          <w:sz w:val="22"/>
          <w:szCs w:val="22"/>
        </w:rPr>
        <w:t xml:space="preserve"> eura</w:t>
      </w:r>
      <w:r w:rsidR="00D939CF" w:rsidRPr="00FE1270">
        <w:rPr>
          <w:rFonts w:cs="Arial"/>
          <w:noProof/>
          <w:sz w:val="22"/>
          <w:szCs w:val="22"/>
        </w:rPr>
        <w:t xml:space="preserve"> ili </w:t>
      </w:r>
      <w:r w:rsidR="00121AD4" w:rsidRPr="00FE1270">
        <w:rPr>
          <w:rFonts w:cs="Arial"/>
          <w:noProof/>
          <w:sz w:val="22"/>
          <w:szCs w:val="22"/>
        </w:rPr>
        <w:t>45,</w:t>
      </w:r>
      <w:r w:rsidR="00910765" w:rsidRPr="00FE1270">
        <w:rPr>
          <w:rFonts w:cs="Arial"/>
          <w:noProof/>
          <w:sz w:val="22"/>
          <w:szCs w:val="22"/>
        </w:rPr>
        <w:t>6</w:t>
      </w:r>
      <w:r w:rsidR="00D939CF" w:rsidRPr="00FE1270">
        <w:rPr>
          <w:rFonts w:cs="Arial"/>
          <w:noProof/>
          <w:sz w:val="22"/>
          <w:szCs w:val="22"/>
        </w:rPr>
        <w:t>%</w:t>
      </w:r>
      <w:r w:rsidR="006B4CBC" w:rsidRPr="00FE1270">
        <w:rPr>
          <w:rFonts w:cs="Arial"/>
          <w:noProof/>
          <w:sz w:val="22"/>
          <w:szCs w:val="22"/>
        </w:rPr>
        <w:t xml:space="preserve"> ukupnih rashoda</w:t>
      </w:r>
      <w:r w:rsidR="00D939CF" w:rsidRPr="00FE1270">
        <w:rPr>
          <w:rFonts w:cs="Arial"/>
          <w:noProof/>
          <w:sz w:val="22"/>
          <w:szCs w:val="22"/>
        </w:rPr>
        <w:t>, a proračunski korisnic</w:t>
      </w:r>
      <w:r w:rsidR="0001097E" w:rsidRPr="00FE1270">
        <w:rPr>
          <w:rFonts w:cs="Arial"/>
          <w:noProof/>
          <w:sz w:val="22"/>
          <w:szCs w:val="22"/>
        </w:rPr>
        <w:t>i</w:t>
      </w:r>
      <w:r w:rsidR="00D939CF" w:rsidRPr="00FE1270">
        <w:rPr>
          <w:rFonts w:cs="Arial"/>
          <w:noProof/>
          <w:sz w:val="22"/>
          <w:szCs w:val="22"/>
        </w:rPr>
        <w:t xml:space="preserve"> </w:t>
      </w:r>
      <w:r w:rsidR="004A32C7" w:rsidRPr="00FE1270">
        <w:rPr>
          <w:rFonts w:cs="Arial"/>
          <w:noProof/>
          <w:sz w:val="22"/>
          <w:szCs w:val="22"/>
        </w:rPr>
        <w:t>89.</w:t>
      </w:r>
      <w:r w:rsidR="00910765" w:rsidRPr="00FE1270">
        <w:rPr>
          <w:rFonts w:cs="Arial"/>
          <w:noProof/>
          <w:sz w:val="22"/>
          <w:szCs w:val="22"/>
        </w:rPr>
        <w:t>109.613,28</w:t>
      </w:r>
      <w:r w:rsidR="00341128" w:rsidRPr="00FE1270">
        <w:rPr>
          <w:rFonts w:cs="Arial"/>
          <w:noProof/>
          <w:sz w:val="22"/>
          <w:szCs w:val="22"/>
        </w:rPr>
        <w:t xml:space="preserve"> eura</w:t>
      </w:r>
      <w:r w:rsidR="00D939CF" w:rsidRPr="00FE1270">
        <w:rPr>
          <w:rFonts w:cs="Arial"/>
          <w:noProof/>
          <w:sz w:val="22"/>
          <w:szCs w:val="22"/>
        </w:rPr>
        <w:t xml:space="preserve"> ili </w:t>
      </w:r>
      <w:r w:rsidR="00121AD4" w:rsidRPr="00FE1270">
        <w:rPr>
          <w:rFonts w:cs="Arial"/>
          <w:noProof/>
          <w:sz w:val="22"/>
          <w:szCs w:val="22"/>
        </w:rPr>
        <w:t>54,</w:t>
      </w:r>
      <w:r w:rsidR="00910765" w:rsidRPr="00FE1270">
        <w:rPr>
          <w:rFonts w:cs="Arial"/>
          <w:noProof/>
          <w:sz w:val="22"/>
          <w:szCs w:val="22"/>
        </w:rPr>
        <w:t>4</w:t>
      </w:r>
      <w:r w:rsidR="00D939CF" w:rsidRPr="00FE1270">
        <w:rPr>
          <w:rFonts w:cs="Arial"/>
          <w:noProof/>
          <w:sz w:val="22"/>
          <w:szCs w:val="22"/>
        </w:rPr>
        <w:t>%.</w:t>
      </w:r>
      <w:r w:rsidR="00820E72" w:rsidRPr="00FE1270">
        <w:rPr>
          <w:rFonts w:cs="Arial"/>
          <w:noProof/>
          <w:sz w:val="22"/>
          <w:szCs w:val="22"/>
        </w:rPr>
        <w:t xml:space="preserve"> </w:t>
      </w:r>
      <w:r w:rsidR="00707480" w:rsidRPr="00FE1270">
        <w:rPr>
          <w:rFonts w:cs="Arial"/>
          <w:noProof/>
          <w:sz w:val="22"/>
          <w:szCs w:val="22"/>
        </w:rPr>
        <w:t>Ovdje treba napomenuti da su</w:t>
      </w:r>
      <w:r w:rsidR="0004184F" w:rsidRPr="00FE1270">
        <w:rPr>
          <w:rFonts w:cs="Arial"/>
          <w:noProof/>
          <w:sz w:val="22"/>
          <w:szCs w:val="22"/>
        </w:rPr>
        <w:t>, zbog propisane eliminacije</w:t>
      </w:r>
      <w:r w:rsidR="00DE32E1">
        <w:rPr>
          <w:rFonts w:cs="Arial"/>
          <w:noProof/>
          <w:sz w:val="22"/>
          <w:szCs w:val="22"/>
        </w:rPr>
        <w:t xml:space="preserve"> unutargrupnih transakcija</w:t>
      </w:r>
      <w:r w:rsidR="0004184F" w:rsidRPr="00FE1270">
        <w:rPr>
          <w:rFonts w:cs="Arial"/>
          <w:noProof/>
          <w:sz w:val="22"/>
          <w:szCs w:val="22"/>
        </w:rPr>
        <w:t xml:space="preserve">, </w:t>
      </w:r>
      <w:r w:rsidR="00707480" w:rsidRPr="00FE1270">
        <w:rPr>
          <w:rFonts w:cs="Arial"/>
          <w:noProof/>
          <w:sz w:val="22"/>
          <w:szCs w:val="22"/>
        </w:rPr>
        <w:t>ukupni rashodi umanjeni za izvršene prijenose proračunskim korisnicima (račun 367</w:t>
      </w:r>
      <w:r w:rsidR="00993615" w:rsidRPr="00FE1270">
        <w:rPr>
          <w:rFonts w:cs="Arial"/>
          <w:noProof/>
          <w:sz w:val="22"/>
          <w:szCs w:val="22"/>
        </w:rPr>
        <w:t xml:space="preserve"> </w:t>
      </w:r>
      <w:r w:rsidR="00707480" w:rsidRPr="00FE1270">
        <w:rPr>
          <w:rFonts w:cs="Arial"/>
          <w:noProof/>
          <w:sz w:val="22"/>
          <w:szCs w:val="22"/>
        </w:rPr>
        <w:t>=</w:t>
      </w:r>
      <w:r w:rsidR="0012656A" w:rsidRPr="00FE1270">
        <w:rPr>
          <w:rFonts w:cs="Arial"/>
          <w:noProof/>
          <w:sz w:val="22"/>
          <w:szCs w:val="22"/>
        </w:rPr>
        <w:t>39.806.940,56</w:t>
      </w:r>
      <w:r w:rsidR="00341128" w:rsidRPr="00FE1270">
        <w:rPr>
          <w:rFonts w:cs="Arial"/>
          <w:noProof/>
          <w:sz w:val="22"/>
          <w:szCs w:val="22"/>
        </w:rPr>
        <w:t xml:space="preserve"> eura</w:t>
      </w:r>
      <w:r w:rsidR="00DE32E1">
        <w:rPr>
          <w:rFonts w:cs="Arial"/>
          <w:noProof/>
          <w:sz w:val="22"/>
          <w:szCs w:val="22"/>
        </w:rPr>
        <w:t>)</w:t>
      </w:r>
      <w:r w:rsidR="00707480" w:rsidRPr="00FE1270">
        <w:rPr>
          <w:rFonts w:cs="Arial"/>
          <w:noProof/>
          <w:sz w:val="22"/>
          <w:szCs w:val="22"/>
        </w:rPr>
        <w:t xml:space="preserve"> i za prijenose između proračunskih korisnika istog proračuna (račun 369 =</w:t>
      </w:r>
      <w:r w:rsidR="0012656A" w:rsidRPr="00FE1270">
        <w:rPr>
          <w:rFonts w:cs="Arial"/>
          <w:noProof/>
          <w:sz w:val="22"/>
          <w:szCs w:val="22"/>
        </w:rPr>
        <w:t>26.553,86</w:t>
      </w:r>
      <w:r w:rsidR="00690C9B" w:rsidRPr="00FE1270">
        <w:rPr>
          <w:rFonts w:cs="Arial"/>
          <w:noProof/>
          <w:sz w:val="22"/>
          <w:szCs w:val="22"/>
        </w:rPr>
        <w:t xml:space="preserve"> eura</w:t>
      </w:r>
      <w:r w:rsidR="00707480" w:rsidRPr="00FE1270">
        <w:rPr>
          <w:rFonts w:cs="Arial"/>
          <w:noProof/>
          <w:sz w:val="22"/>
          <w:szCs w:val="22"/>
        </w:rPr>
        <w:t>).</w:t>
      </w:r>
    </w:p>
    <w:p w:rsidR="00E705BA" w:rsidRPr="00FE1270" w:rsidRDefault="00707480" w:rsidP="00E705BA">
      <w:pPr>
        <w:pStyle w:val="BodyText2"/>
        <w:rPr>
          <w:rFonts w:cs="Arial"/>
          <w:noProof/>
          <w:sz w:val="22"/>
          <w:szCs w:val="22"/>
        </w:rPr>
      </w:pPr>
      <w:r w:rsidRPr="00FE1270">
        <w:rPr>
          <w:rFonts w:cs="Arial"/>
          <w:noProof/>
          <w:sz w:val="22"/>
          <w:szCs w:val="22"/>
        </w:rPr>
        <w:t xml:space="preserve">U odnosu na ukupno ostvarenje prethodne godine ovi rashodi su više ostvareni za </w:t>
      </w:r>
      <w:r w:rsidR="0012656A" w:rsidRPr="00FE1270">
        <w:rPr>
          <w:rFonts w:cs="Arial"/>
          <w:noProof/>
          <w:sz w:val="22"/>
          <w:szCs w:val="22"/>
        </w:rPr>
        <w:t>25,5</w:t>
      </w:r>
      <w:r w:rsidRPr="00FE1270">
        <w:rPr>
          <w:rFonts w:cs="Arial"/>
          <w:noProof/>
          <w:sz w:val="22"/>
          <w:szCs w:val="22"/>
        </w:rPr>
        <w:t>%.</w:t>
      </w:r>
      <w:r w:rsidR="00444DA8" w:rsidRPr="00FE1270">
        <w:rPr>
          <w:rFonts w:cs="Arial"/>
          <w:noProof/>
          <w:sz w:val="22"/>
          <w:szCs w:val="22"/>
        </w:rPr>
        <w:t xml:space="preserve"> </w:t>
      </w:r>
      <w:r w:rsidR="006858CE" w:rsidRPr="00FE1270">
        <w:rPr>
          <w:rFonts w:cs="Arial"/>
          <w:noProof/>
          <w:sz w:val="22"/>
          <w:szCs w:val="22"/>
        </w:rPr>
        <w:t>Do povećanja dolazi kod rashoda za zaposlene</w:t>
      </w:r>
      <w:r w:rsidR="00E705BA" w:rsidRPr="00FE1270">
        <w:rPr>
          <w:rFonts w:cs="Arial"/>
          <w:noProof/>
          <w:sz w:val="22"/>
          <w:szCs w:val="22"/>
        </w:rPr>
        <w:t>, materijalnih rashoda (najveće povećanje kod tekućeg i investicijskog održavanja, intelektualnih i osobnih usluga, računalnih i ostalih usluga) i naknada građanima i kućanstvima.</w:t>
      </w:r>
    </w:p>
    <w:p w:rsidR="007701E8" w:rsidRPr="00FE1270" w:rsidRDefault="007701E8" w:rsidP="00E705BA">
      <w:pPr>
        <w:pStyle w:val="BodyText2"/>
        <w:rPr>
          <w:rFonts w:cs="Arial"/>
          <w:noProof/>
          <w:sz w:val="22"/>
          <w:szCs w:val="22"/>
        </w:rPr>
      </w:pPr>
    </w:p>
    <w:p w:rsidR="0002301E" w:rsidRPr="00FE1270" w:rsidRDefault="00E705BA" w:rsidP="00E705BA">
      <w:pPr>
        <w:pStyle w:val="BodyText2"/>
        <w:rPr>
          <w:rFonts w:cs="Arial"/>
          <w:noProof/>
          <w:sz w:val="22"/>
          <w:szCs w:val="22"/>
        </w:rPr>
      </w:pPr>
      <w:r w:rsidRPr="00FE1270">
        <w:rPr>
          <w:rFonts w:cs="Arial"/>
          <w:b/>
          <w:noProof/>
          <w:sz w:val="22"/>
          <w:szCs w:val="22"/>
        </w:rPr>
        <w:t>Rashodi za zaposlene</w:t>
      </w:r>
      <w:r w:rsidR="00C323EA" w:rsidRPr="00FE1270">
        <w:rPr>
          <w:rFonts w:cs="Arial"/>
          <w:b/>
          <w:noProof/>
          <w:sz w:val="22"/>
          <w:szCs w:val="22"/>
        </w:rPr>
        <w:t xml:space="preserve"> </w:t>
      </w:r>
      <w:r w:rsidR="0014166C">
        <w:rPr>
          <w:rFonts w:cs="Arial"/>
          <w:b/>
          <w:noProof/>
          <w:sz w:val="22"/>
          <w:szCs w:val="22"/>
        </w:rPr>
        <w:t xml:space="preserve">(31) </w:t>
      </w:r>
      <w:r w:rsidR="00C323EA" w:rsidRPr="00FE1270">
        <w:rPr>
          <w:rFonts w:cs="Arial"/>
          <w:noProof/>
          <w:sz w:val="22"/>
          <w:szCs w:val="22"/>
        </w:rPr>
        <w:t>povećanje u odnosu na prethodnu godinu</w:t>
      </w:r>
      <w:r w:rsidR="0085631B" w:rsidRPr="00FE1270">
        <w:rPr>
          <w:rFonts w:cs="Arial"/>
          <w:noProof/>
          <w:sz w:val="22"/>
          <w:szCs w:val="22"/>
        </w:rPr>
        <w:t xml:space="preserve"> je</w:t>
      </w:r>
      <w:r w:rsidR="0085631B" w:rsidRPr="00FE1270">
        <w:rPr>
          <w:rFonts w:cs="Arial"/>
          <w:b/>
          <w:noProof/>
          <w:sz w:val="22"/>
          <w:szCs w:val="22"/>
        </w:rPr>
        <w:t xml:space="preserve"> </w:t>
      </w:r>
      <w:r w:rsidR="00C323EA" w:rsidRPr="00FE1270">
        <w:rPr>
          <w:rFonts w:cs="Arial"/>
          <w:noProof/>
          <w:sz w:val="22"/>
          <w:szCs w:val="22"/>
        </w:rPr>
        <w:t xml:space="preserve">32,4% ili apsolutno </w:t>
      </w:r>
      <w:r w:rsidR="0085631B" w:rsidRPr="00FE1270">
        <w:rPr>
          <w:rFonts w:cs="Arial"/>
          <w:noProof/>
          <w:sz w:val="22"/>
          <w:szCs w:val="22"/>
        </w:rPr>
        <w:t>iskazano</w:t>
      </w:r>
      <w:r w:rsidR="000774EE">
        <w:rPr>
          <w:rFonts w:cs="Arial"/>
          <w:noProof/>
          <w:sz w:val="22"/>
          <w:szCs w:val="22"/>
        </w:rPr>
        <w:t>,</w:t>
      </w:r>
      <w:r w:rsidR="0085631B" w:rsidRPr="00FE1270">
        <w:rPr>
          <w:rFonts w:cs="Arial"/>
          <w:noProof/>
          <w:sz w:val="22"/>
          <w:szCs w:val="22"/>
        </w:rPr>
        <w:t xml:space="preserve"> </w:t>
      </w:r>
      <w:r w:rsidR="00C323EA" w:rsidRPr="00FE1270">
        <w:rPr>
          <w:rFonts w:cs="Arial"/>
          <w:noProof/>
          <w:sz w:val="22"/>
          <w:szCs w:val="22"/>
        </w:rPr>
        <w:t>20.902.901,12 eura.</w:t>
      </w:r>
    </w:p>
    <w:p w:rsidR="00513482" w:rsidRPr="00FE1270" w:rsidRDefault="00513482" w:rsidP="00E705BA">
      <w:pPr>
        <w:pStyle w:val="BodyText2"/>
        <w:rPr>
          <w:rFonts w:cs="Arial"/>
          <w:b/>
          <w:noProof/>
          <w:sz w:val="22"/>
          <w:szCs w:val="22"/>
        </w:rPr>
      </w:pPr>
    </w:p>
    <w:p w:rsidR="00BA4B4C" w:rsidRPr="00BA4B4C" w:rsidRDefault="0004184F" w:rsidP="00BA4B4C">
      <w:pPr>
        <w:tabs>
          <w:tab w:val="left" w:pos="708"/>
          <w:tab w:val="center" w:pos="4153"/>
          <w:tab w:val="right" w:pos="8306"/>
        </w:tabs>
        <w:jc w:val="both"/>
        <w:rPr>
          <w:rFonts w:ascii="Arial" w:hAnsi="Arial" w:cs="Arial"/>
          <w:sz w:val="22"/>
          <w:szCs w:val="22"/>
        </w:rPr>
      </w:pPr>
      <w:r w:rsidRPr="00BA4B4C">
        <w:rPr>
          <w:rFonts w:ascii="Arial" w:hAnsi="Arial" w:cs="Arial"/>
          <w:b/>
          <w:i/>
          <w:noProof/>
          <w:sz w:val="22"/>
          <w:szCs w:val="22"/>
        </w:rPr>
        <w:t xml:space="preserve">U </w:t>
      </w:r>
      <w:r w:rsidR="0002301E" w:rsidRPr="00BA4B4C">
        <w:rPr>
          <w:rFonts w:ascii="Arial" w:hAnsi="Arial" w:cs="Arial"/>
          <w:b/>
          <w:i/>
          <w:noProof/>
          <w:sz w:val="22"/>
          <w:szCs w:val="22"/>
        </w:rPr>
        <w:t>Grad</w:t>
      </w:r>
      <w:r w:rsidRPr="00BA4B4C">
        <w:rPr>
          <w:rFonts w:ascii="Arial" w:hAnsi="Arial" w:cs="Arial"/>
          <w:b/>
          <w:i/>
          <w:noProof/>
          <w:sz w:val="22"/>
          <w:szCs w:val="22"/>
        </w:rPr>
        <w:t xml:space="preserve">u </w:t>
      </w:r>
      <w:r w:rsidRPr="00BA4B4C">
        <w:rPr>
          <w:rFonts w:ascii="Arial" w:hAnsi="Arial" w:cs="Arial"/>
          <w:noProof/>
          <w:sz w:val="22"/>
          <w:szCs w:val="22"/>
        </w:rPr>
        <w:t>se</w:t>
      </w:r>
      <w:r w:rsidR="00E705BA" w:rsidRPr="00BA4B4C">
        <w:rPr>
          <w:rFonts w:ascii="Arial" w:hAnsi="Arial" w:cs="Arial"/>
          <w:noProof/>
          <w:sz w:val="22"/>
          <w:szCs w:val="22"/>
        </w:rPr>
        <w:t xml:space="preserve"> biljež</w:t>
      </w:r>
      <w:r w:rsidR="0002301E" w:rsidRPr="00BA4B4C">
        <w:rPr>
          <w:rFonts w:ascii="Arial" w:hAnsi="Arial" w:cs="Arial"/>
          <w:noProof/>
          <w:sz w:val="22"/>
          <w:szCs w:val="22"/>
        </w:rPr>
        <w:t>i</w:t>
      </w:r>
      <w:r w:rsidR="00E705BA" w:rsidRPr="00BA4B4C">
        <w:rPr>
          <w:rFonts w:ascii="Arial" w:hAnsi="Arial" w:cs="Arial"/>
          <w:noProof/>
          <w:sz w:val="22"/>
          <w:szCs w:val="22"/>
        </w:rPr>
        <w:t xml:space="preserve"> po</w:t>
      </w:r>
      <w:r w:rsidR="00BA4B4C" w:rsidRPr="00BA4B4C">
        <w:rPr>
          <w:rFonts w:ascii="Arial" w:hAnsi="Arial" w:cs="Arial"/>
          <w:noProof/>
          <w:sz w:val="22"/>
          <w:szCs w:val="22"/>
        </w:rPr>
        <w:t xml:space="preserve">rast u izvršenju ove skupine </w:t>
      </w:r>
      <w:r w:rsidR="0002301E" w:rsidRPr="00BA4B4C">
        <w:rPr>
          <w:rFonts w:ascii="Arial" w:hAnsi="Arial" w:cs="Arial"/>
          <w:noProof/>
          <w:sz w:val="22"/>
          <w:szCs w:val="22"/>
        </w:rPr>
        <w:t>rashoda za zaposlene</w:t>
      </w:r>
      <w:r w:rsidR="00E705BA" w:rsidRPr="00BA4B4C">
        <w:rPr>
          <w:rFonts w:ascii="Arial" w:hAnsi="Arial" w:cs="Arial"/>
          <w:noProof/>
          <w:sz w:val="22"/>
          <w:szCs w:val="22"/>
        </w:rPr>
        <w:t xml:space="preserve"> zbog povećanja osnovice za obračun plać</w:t>
      </w:r>
      <w:r w:rsidR="00BA4B4C" w:rsidRPr="00BA4B4C">
        <w:rPr>
          <w:rFonts w:ascii="Arial" w:hAnsi="Arial" w:cs="Arial"/>
          <w:noProof/>
          <w:sz w:val="22"/>
          <w:szCs w:val="22"/>
        </w:rPr>
        <w:t>e</w:t>
      </w:r>
      <w:r w:rsidR="00E705BA" w:rsidRPr="00BA4B4C">
        <w:rPr>
          <w:rFonts w:ascii="Arial" w:hAnsi="Arial" w:cs="Arial"/>
          <w:noProof/>
          <w:sz w:val="22"/>
          <w:szCs w:val="22"/>
        </w:rPr>
        <w:t xml:space="preserve"> i ostalih materijalnih prava službenika temeljem </w:t>
      </w:r>
      <w:r w:rsidR="004261DE" w:rsidRPr="00BA4B4C">
        <w:rPr>
          <w:rFonts w:ascii="Arial" w:hAnsi="Arial" w:cs="Arial"/>
          <w:noProof/>
          <w:sz w:val="22"/>
          <w:szCs w:val="22"/>
        </w:rPr>
        <w:t>D</w:t>
      </w:r>
      <w:r w:rsidR="00E705BA" w:rsidRPr="00BA4B4C">
        <w:rPr>
          <w:rFonts w:ascii="Arial" w:hAnsi="Arial" w:cs="Arial"/>
          <w:noProof/>
          <w:sz w:val="22"/>
          <w:szCs w:val="22"/>
        </w:rPr>
        <w:t xml:space="preserve">odatka II. Kolektivnog ugovora za službenike i namještenike u upravnim tijelima Grada </w:t>
      </w:r>
      <w:r w:rsidR="00BA4B4C" w:rsidRPr="00BA4B4C">
        <w:rPr>
          <w:rFonts w:ascii="Arial" w:hAnsi="Arial" w:cs="Arial"/>
          <w:noProof/>
          <w:sz w:val="22"/>
          <w:szCs w:val="22"/>
        </w:rPr>
        <w:t xml:space="preserve">Rijeke od 20. ožujka 2024. godine. </w:t>
      </w:r>
      <w:r w:rsidR="00BA4B4C" w:rsidRPr="00BA4B4C">
        <w:rPr>
          <w:rFonts w:ascii="Arial" w:hAnsi="Arial" w:cs="Arial"/>
          <w:sz w:val="22"/>
          <w:szCs w:val="22"/>
        </w:rPr>
        <w:t xml:space="preserve">Osim navedenog, </w:t>
      </w:r>
      <w:r w:rsidR="00235327" w:rsidRPr="00BA4B4C">
        <w:rPr>
          <w:rFonts w:ascii="Arial" w:hAnsi="Arial" w:cs="Arial"/>
          <w:sz w:val="22"/>
          <w:szCs w:val="22"/>
        </w:rPr>
        <w:t xml:space="preserve">zbog ukidanja računa 193 Kontinuirani rashodi budućih razdoblja </w:t>
      </w:r>
      <w:r w:rsidR="000364B9">
        <w:rPr>
          <w:rFonts w:ascii="Arial" w:hAnsi="Arial" w:cs="Arial"/>
          <w:sz w:val="22"/>
          <w:szCs w:val="22"/>
        </w:rPr>
        <w:t xml:space="preserve">temeljem novog </w:t>
      </w:r>
      <w:r w:rsidR="00235327" w:rsidRPr="00BA4B4C">
        <w:rPr>
          <w:rFonts w:ascii="Arial" w:hAnsi="Arial" w:cs="Arial"/>
          <w:sz w:val="22"/>
          <w:szCs w:val="22"/>
        </w:rPr>
        <w:t>Pravilnik</w:t>
      </w:r>
      <w:r w:rsidR="000364B9">
        <w:rPr>
          <w:rFonts w:ascii="Arial" w:hAnsi="Arial" w:cs="Arial"/>
          <w:sz w:val="22"/>
          <w:szCs w:val="22"/>
        </w:rPr>
        <w:t>a</w:t>
      </w:r>
      <w:r w:rsidR="00235327" w:rsidRPr="00BA4B4C">
        <w:rPr>
          <w:rFonts w:ascii="Arial" w:hAnsi="Arial" w:cs="Arial"/>
          <w:sz w:val="22"/>
          <w:szCs w:val="22"/>
        </w:rPr>
        <w:t xml:space="preserve"> o proračunskom računovodstvu i računskom planu,</w:t>
      </w:r>
      <w:r w:rsidR="00235327">
        <w:rPr>
          <w:rFonts w:ascii="Arial" w:hAnsi="Arial" w:cs="Arial"/>
          <w:sz w:val="22"/>
          <w:szCs w:val="22"/>
        </w:rPr>
        <w:t xml:space="preserve"> </w:t>
      </w:r>
      <w:r w:rsidR="000364B9">
        <w:rPr>
          <w:rFonts w:ascii="Arial" w:hAnsi="Arial" w:cs="Arial"/>
          <w:sz w:val="22"/>
          <w:szCs w:val="22"/>
        </w:rPr>
        <w:t xml:space="preserve">u izvještajnoj godini </w:t>
      </w:r>
      <w:r w:rsidR="00BA4B4C" w:rsidRPr="00BA4B4C">
        <w:rPr>
          <w:rFonts w:ascii="Arial" w:hAnsi="Arial" w:cs="Arial"/>
          <w:sz w:val="22"/>
          <w:szCs w:val="22"/>
        </w:rPr>
        <w:t>evidentira</w:t>
      </w:r>
      <w:r w:rsidR="00235327">
        <w:rPr>
          <w:rFonts w:ascii="Arial" w:hAnsi="Arial" w:cs="Arial"/>
          <w:sz w:val="22"/>
          <w:szCs w:val="22"/>
        </w:rPr>
        <w:t xml:space="preserve"> se dodatni </w:t>
      </w:r>
      <w:r w:rsidR="00BA4B4C" w:rsidRPr="00BA4B4C">
        <w:rPr>
          <w:rFonts w:ascii="Arial" w:hAnsi="Arial" w:cs="Arial"/>
          <w:sz w:val="22"/>
          <w:szCs w:val="22"/>
        </w:rPr>
        <w:t>rashod za plaće za prosinac 2024.</w:t>
      </w:r>
      <w:r w:rsidR="000364B9">
        <w:rPr>
          <w:rFonts w:ascii="Arial" w:hAnsi="Arial" w:cs="Arial"/>
          <w:sz w:val="22"/>
          <w:szCs w:val="22"/>
        </w:rPr>
        <w:t>,</w:t>
      </w:r>
      <w:r w:rsidR="00235327">
        <w:rPr>
          <w:rFonts w:ascii="Arial" w:hAnsi="Arial" w:cs="Arial"/>
          <w:sz w:val="22"/>
          <w:szCs w:val="22"/>
        </w:rPr>
        <w:t xml:space="preserve"> što</w:t>
      </w:r>
      <w:r w:rsidR="00BA4B4C" w:rsidRPr="00BA4B4C">
        <w:rPr>
          <w:rFonts w:ascii="Arial" w:hAnsi="Arial" w:cs="Arial"/>
          <w:sz w:val="22"/>
          <w:szCs w:val="22"/>
        </w:rPr>
        <w:t xml:space="preserve"> također doprinosi povećanju izvršenja </w:t>
      </w:r>
      <w:r w:rsidR="00235327">
        <w:rPr>
          <w:rFonts w:ascii="Arial" w:hAnsi="Arial" w:cs="Arial"/>
          <w:sz w:val="22"/>
          <w:szCs w:val="22"/>
        </w:rPr>
        <w:t xml:space="preserve">ove </w:t>
      </w:r>
      <w:r w:rsidR="00BA4B4C" w:rsidRPr="00BA4B4C">
        <w:rPr>
          <w:rFonts w:ascii="Arial" w:hAnsi="Arial" w:cs="Arial"/>
          <w:sz w:val="22"/>
          <w:szCs w:val="22"/>
        </w:rPr>
        <w:t>stavke rashoda</w:t>
      </w:r>
      <w:r w:rsidR="00235327">
        <w:rPr>
          <w:rFonts w:ascii="Arial" w:hAnsi="Arial" w:cs="Arial"/>
          <w:sz w:val="22"/>
          <w:szCs w:val="22"/>
        </w:rPr>
        <w:t>.</w:t>
      </w:r>
      <w:r w:rsidR="00BA4B4C" w:rsidRPr="00BA4B4C">
        <w:rPr>
          <w:rFonts w:ascii="Arial" w:hAnsi="Arial" w:cs="Arial"/>
          <w:sz w:val="22"/>
          <w:szCs w:val="22"/>
        </w:rPr>
        <w:t xml:space="preserve">   </w:t>
      </w:r>
    </w:p>
    <w:p w:rsidR="004261DE" w:rsidRPr="00FE1270" w:rsidRDefault="004261DE" w:rsidP="007701E8">
      <w:pPr>
        <w:pStyle w:val="BodyText2"/>
        <w:rPr>
          <w:rFonts w:cs="Arial"/>
          <w:b/>
          <w:i/>
          <w:noProof/>
          <w:sz w:val="22"/>
          <w:szCs w:val="22"/>
        </w:rPr>
      </w:pPr>
    </w:p>
    <w:p w:rsidR="007701E8" w:rsidRPr="00FE1270" w:rsidRDefault="007701E8" w:rsidP="007701E8">
      <w:pPr>
        <w:pStyle w:val="BodyText2"/>
        <w:rPr>
          <w:rFonts w:cs="Arial"/>
          <w:noProof/>
          <w:sz w:val="22"/>
          <w:szCs w:val="22"/>
        </w:rPr>
      </w:pPr>
      <w:r w:rsidRPr="00FE1270">
        <w:rPr>
          <w:rFonts w:cs="Arial"/>
          <w:b/>
          <w:i/>
          <w:noProof/>
          <w:sz w:val="22"/>
          <w:szCs w:val="22"/>
        </w:rPr>
        <w:t>Osnovne škole</w:t>
      </w:r>
      <w:r w:rsidRPr="00FE1270">
        <w:rPr>
          <w:rFonts w:cs="Arial"/>
          <w:b/>
          <w:noProof/>
          <w:sz w:val="22"/>
          <w:szCs w:val="22"/>
        </w:rPr>
        <w:t>:</w:t>
      </w:r>
      <w:r w:rsidRPr="00FE1270">
        <w:rPr>
          <w:rFonts w:cs="Arial"/>
          <w:noProof/>
          <w:sz w:val="22"/>
          <w:szCs w:val="22"/>
        </w:rPr>
        <w:t xml:space="preserve"> Nakon što je na snagu od siječnja 2024. godine stupio novi Zakon o plaćama, Vlada je donijela i novu Uredbu o nazivima radnih mjesta, uvjetima za raspored i koeficijentima za obračun plaće u javnim službama („Narodne novine“ broj 22/24) kojom su utvrđeni novi koeficijenti za obračun plaće. Uredba je stupila na snagu s 1.3.2024. godine te su novi koeficijenti primijenjeni na plaći za ožujak, isplata u travnju 2024. godine. Što se tiče osnovice za izračun plaće od 1.4.2023. osnovica za izračun plaće za državne službenike i namještenike iznosila je 902,08 eura bruto te je ista povećana za 5% od 1.10.2023. godine (na plaći za 10/23. isplata u 11/2023.) te je tada iznosila 947,18 eura. Povećanje osnovice od 1.10.2023. imalo je utjecaja na povećanje rashoda za zaposlene u 2024. godini. </w:t>
      </w:r>
    </w:p>
    <w:p w:rsidR="007701E8" w:rsidRPr="00FE1270" w:rsidRDefault="007701E8" w:rsidP="007701E8">
      <w:pPr>
        <w:pStyle w:val="BodyText2"/>
        <w:rPr>
          <w:rFonts w:cs="Arial"/>
          <w:noProof/>
          <w:sz w:val="22"/>
          <w:szCs w:val="22"/>
        </w:rPr>
      </w:pPr>
      <w:r w:rsidRPr="00FE1270">
        <w:rPr>
          <w:rFonts w:cs="Arial"/>
          <w:noProof/>
          <w:sz w:val="22"/>
          <w:szCs w:val="22"/>
        </w:rPr>
        <w:t xml:space="preserve">U 2024. godini ugovorena je u osnovnim školama i veća božićnica u iznosu od 300,00 eura (prije 232,00 eura), zatim dar za djecu u iznosu od 100,00 eura, uskrsnica 100,00 eura (novougovoreno pravo), regres za godišnji odmor u iznosu od 300,00 eura (prije 232,00 eura).  </w:t>
      </w:r>
    </w:p>
    <w:p w:rsidR="007701E8" w:rsidRPr="00FE1270" w:rsidRDefault="007701E8" w:rsidP="007701E8">
      <w:pPr>
        <w:pStyle w:val="BodyText2"/>
        <w:rPr>
          <w:rFonts w:cs="Arial"/>
          <w:noProof/>
          <w:sz w:val="22"/>
          <w:szCs w:val="22"/>
        </w:rPr>
      </w:pPr>
    </w:p>
    <w:p w:rsidR="00E705BA" w:rsidRPr="00FE1270" w:rsidRDefault="007701E8" w:rsidP="007701E8">
      <w:pPr>
        <w:pStyle w:val="BodyText2"/>
        <w:rPr>
          <w:rFonts w:cs="Arial"/>
          <w:noProof/>
          <w:sz w:val="22"/>
          <w:szCs w:val="22"/>
        </w:rPr>
      </w:pPr>
      <w:r w:rsidRPr="00FE1270">
        <w:rPr>
          <w:rFonts w:cs="Arial"/>
          <w:b/>
          <w:i/>
          <w:noProof/>
          <w:sz w:val="22"/>
          <w:szCs w:val="22"/>
        </w:rPr>
        <w:t>Dječji vrtići</w:t>
      </w:r>
      <w:r w:rsidRPr="00FE1270">
        <w:rPr>
          <w:rFonts w:cs="Arial"/>
          <w:b/>
          <w:noProof/>
          <w:sz w:val="22"/>
          <w:szCs w:val="22"/>
        </w:rPr>
        <w:t>:</w:t>
      </w:r>
      <w:r w:rsidRPr="00FE1270">
        <w:rPr>
          <w:rFonts w:cs="Arial"/>
          <w:noProof/>
          <w:sz w:val="22"/>
          <w:szCs w:val="22"/>
        </w:rPr>
        <w:t xml:space="preserve"> </w:t>
      </w:r>
      <w:r w:rsidR="004261DE" w:rsidRPr="00FE1270">
        <w:rPr>
          <w:rFonts w:cs="Arial"/>
          <w:noProof/>
          <w:sz w:val="22"/>
          <w:szCs w:val="22"/>
        </w:rPr>
        <w:t xml:space="preserve">Grad Rijeka je </w:t>
      </w:r>
      <w:r w:rsidRPr="00FE1270">
        <w:rPr>
          <w:rFonts w:cs="Arial"/>
          <w:noProof/>
          <w:sz w:val="22"/>
          <w:szCs w:val="22"/>
        </w:rPr>
        <w:t xml:space="preserve">27. ožujka 2024. godine sa Sindikatom obrazovanja, medija i kulture Hrvatske i Sindikatom Istre, Kvarnera i Dalmacije sklopio </w:t>
      </w:r>
      <w:r w:rsidR="004261DE" w:rsidRPr="00FE1270">
        <w:rPr>
          <w:rFonts w:cs="Arial"/>
          <w:noProof/>
          <w:sz w:val="22"/>
          <w:szCs w:val="22"/>
        </w:rPr>
        <w:t>D</w:t>
      </w:r>
      <w:r w:rsidRPr="00FE1270">
        <w:rPr>
          <w:rFonts w:cs="Arial"/>
          <w:noProof/>
          <w:sz w:val="22"/>
          <w:szCs w:val="22"/>
        </w:rPr>
        <w:t xml:space="preserve">odatak I. </w:t>
      </w:r>
      <w:r w:rsidR="004261DE" w:rsidRPr="00FE1270">
        <w:rPr>
          <w:rFonts w:cs="Arial"/>
          <w:noProof/>
          <w:sz w:val="22"/>
          <w:szCs w:val="22"/>
        </w:rPr>
        <w:t>K</w:t>
      </w:r>
      <w:r w:rsidRPr="00FE1270">
        <w:rPr>
          <w:rFonts w:cs="Arial"/>
          <w:noProof/>
          <w:sz w:val="22"/>
          <w:szCs w:val="22"/>
        </w:rPr>
        <w:t xml:space="preserve">olektivnom ugovoru za zaposlene u Dječjem vrtiću Rijeka, Dječjem vrtiću Sušak i Dječjem vrtiću More. Tada je utvrđena osnovica za obračun plaće u iznosu od 947,18 eura s primjenom na plaći za ožujak 2024. koja se isplatila u travnju 2024. godine (prethodno je osnovica iznosila 902,08 eura koja je bila u primjeni od plaće za mjesec  lipanj 2023., a isplaćena u srpnju 2023.). Također je utvrđeno i pravo „osnovnu plaću radnika raspoređenih na radna </w:t>
      </w:r>
      <w:r w:rsidRPr="00FE1270">
        <w:rPr>
          <w:rFonts w:cs="Arial"/>
          <w:noProof/>
          <w:sz w:val="22"/>
          <w:szCs w:val="22"/>
        </w:rPr>
        <w:lastRenderedPageBreak/>
        <w:t>mjesta s koeficijentom složenosti poslova sukladno članku 44. Ugovora u rasponu od 0,670 i 1,195, čini umnožak koeficijenata složenosti poslova na koje je radnik raspoređen i osnovice za obračun plaće, uvećan za 0,5% za svaku navršenu godinu radnog staža, za prosvjetni dodatak od 13,725% i za privremeni bruto dodatak u iznosu 163,62 eura mjesečno“.  Nadalje je 13. studenog</w:t>
      </w:r>
      <w:r w:rsidR="0002301E" w:rsidRPr="00FE1270">
        <w:rPr>
          <w:rFonts w:cs="Arial"/>
          <w:noProof/>
          <w:sz w:val="22"/>
          <w:szCs w:val="22"/>
        </w:rPr>
        <w:t>a 2024. godine sklopljen novi Kolektivni ugovor</w:t>
      </w:r>
      <w:r w:rsidRPr="00FE1270">
        <w:rPr>
          <w:rFonts w:cs="Arial"/>
          <w:noProof/>
          <w:sz w:val="22"/>
          <w:szCs w:val="22"/>
        </w:rPr>
        <w:t xml:space="preserve"> za zaposlene u DV Rijeka, DV Sušak i DV More kojim je došlo do usklađivanja materijalnih prava zaposlenika dječjih vrtića, kojima je Grad Rijeka osnivač, s materijalnim pravim zaposlenika osnovnih škola. Kod primjene Uredbe o nazivima radnih mjesta uvjetima za raspored i koeficijentima za obračun plaće u javnim službama, Grad je napravio dodatni iskorak te je, na traženje sindikata, prihvaćeno izjednačavanje koeficijenata za odgojitelje i zdravstvene voditeljice, za višu i visoku stručnu spremu, odnosno primjenjuje se isključivo koeficijent za visoku stručnu spremu (ukinuto prethodno pravo s povećanjem za pojedina radna mjesta od 163,62 eura bruto).  Kako,  sukladno spomenutoj Uredbi, radnici na pomoćno-tehničkim poslovima imaju najniže koeficijente, Grad je pokazao socijalnu  osviještenost te je ovim radnicima, mahom kuhinjskom osoblju i spremačicama,  priznao veće koeficijente čime je ponovno učinjen iskorak i postignut nadstandard u odnosu na Uredbu.</w:t>
      </w:r>
    </w:p>
    <w:p w:rsidR="00B468F8" w:rsidRPr="00FE1270" w:rsidRDefault="00B468F8" w:rsidP="007701E8">
      <w:pPr>
        <w:pStyle w:val="BodyText2"/>
        <w:rPr>
          <w:rFonts w:cs="Arial"/>
          <w:noProof/>
          <w:sz w:val="22"/>
          <w:szCs w:val="22"/>
        </w:rPr>
      </w:pPr>
    </w:p>
    <w:p w:rsidR="00B468F8" w:rsidRPr="00FE1270" w:rsidRDefault="00B468F8" w:rsidP="007701E8">
      <w:pPr>
        <w:pStyle w:val="BodyText2"/>
        <w:rPr>
          <w:rFonts w:cs="Arial"/>
          <w:noProof/>
          <w:sz w:val="22"/>
          <w:szCs w:val="22"/>
        </w:rPr>
      </w:pPr>
      <w:r w:rsidRPr="00FE1270">
        <w:rPr>
          <w:rFonts w:cs="Arial"/>
          <w:b/>
          <w:i/>
          <w:noProof/>
          <w:sz w:val="22"/>
          <w:szCs w:val="22"/>
        </w:rPr>
        <w:t>Ustanove kulture</w:t>
      </w:r>
      <w:r w:rsidRPr="00FE1270">
        <w:rPr>
          <w:rFonts w:cs="Arial"/>
          <w:noProof/>
          <w:sz w:val="22"/>
          <w:szCs w:val="22"/>
        </w:rPr>
        <w:t xml:space="preserve"> bilježe rast rashoda za zaposlene </w:t>
      </w:r>
      <w:r w:rsidR="00EF548D" w:rsidRPr="00FE1270">
        <w:rPr>
          <w:rFonts w:cs="Arial"/>
          <w:noProof/>
          <w:sz w:val="22"/>
          <w:szCs w:val="22"/>
        </w:rPr>
        <w:t xml:space="preserve">zbog povećanja osnovice za obračun plaća i ostalih materijalnih prava zaposlenika </w:t>
      </w:r>
      <w:r w:rsidR="00EF548D">
        <w:rPr>
          <w:rFonts w:cs="Arial"/>
          <w:noProof/>
          <w:sz w:val="22"/>
          <w:szCs w:val="22"/>
        </w:rPr>
        <w:t xml:space="preserve">kao i </w:t>
      </w:r>
      <w:r w:rsidRPr="00FE1270">
        <w:rPr>
          <w:rFonts w:cs="Arial"/>
          <w:noProof/>
          <w:sz w:val="22"/>
          <w:szCs w:val="22"/>
        </w:rPr>
        <w:t xml:space="preserve">evidentiranja </w:t>
      </w:r>
      <w:r w:rsidR="004261DE" w:rsidRPr="00FE1270">
        <w:rPr>
          <w:rFonts w:cs="Arial"/>
          <w:noProof/>
          <w:sz w:val="22"/>
          <w:szCs w:val="22"/>
        </w:rPr>
        <w:t xml:space="preserve">dodatnog </w:t>
      </w:r>
      <w:r w:rsidRPr="00FE1270">
        <w:rPr>
          <w:rFonts w:cs="Arial"/>
          <w:noProof/>
          <w:sz w:val="22"/>
          <w:szCs w:val="22"/>
        </w:rPr>
        <w:t>rashoda plaće za prosinac</w:t>
      </w:r>
      <w:r w:rsidR="009C17DE" w:rsidRPr="00FE1270">
        <w:rPr>
          <w:rFonts w:cs="Arial"/>
          <w:noProof/>
          <w:sz w:val="22"/>
          <w:szCs w:val="22"/>
        </w:rPr>
        <w:t xml:space="preserve"> 2024. godine</w:t>
      </w:r>
      <w:r w:rsidRPr="00FE1270">
        <w:rPr>
          <w:rFonts w:cs="Arial"/>
          <w:noProof/>
          <w:sz w:val="22"/>
          <w:szCs w:val="22"/>
        </w:rPr>
        <w:t xml:space="preserve"> </w:t>
      </w:r>
      <w:r w:rsidR="00EF548D">
        <w:rPr>
          <w:rFonts w:cs="Arial"/>
          <w:noProof/>
          <w:sz w:val="22"/>
          <w:szCs w:val="22"/>
        </w:rPr>
        <w:t>uslijed spomenutog ukidanja skupine računa 193 – kontinuirani rashodi.</w:t>
      </w:r>
    </w:p>
    <w:p w:rsidR="00E705BA" w:rsidRPr="00FE1270" w:rsidRDefault="00E705BA" w:rsidP="00E705BA">
      <w:pPr>
        <w:pStyle w:val="BodyText2"/>
        <w:rPr>
          <w:rFonts w:cs="Arial"/>
          <w:noProof/>
          <w:sz w:val="22"/>
          <w:szCs w:val="22"/>
        </w:rPr>
      </w:pPr>
    </w:p>
    <w:p w:rsidR="009C17DE" w:rsidRPr="00FE1270" w:rsidRDefault="009C17DE" w:rsidP="009C17DE">
      <w:pPr>
        <w:pStyle w:val="BodyText2"/>
        <w:rPr>
          <w:rFonts w:cs="Arial"/>
          <w:noProof/>
          <w:sz w:val="22"/>
          <w:szCs w:val="22"/>
        </w:rPr>
      </w:pPr>
      <w:r w:rsidRPr="00FE1270">
        <w:rPr>
          <w:rFonts w:cs="Arial"/>
          <w:b/>
          <w:i/>
          <w:noProof/>
          <w:sz w:val="22"/>
          <w:szCs w:val="22"/>
        </w:rPr>
        <w:t>Centar za pružanje usluga u zajednici Tić</w:t>
      </w:r>
      <w:r w:rsidRPr="00FE1270">
        <w:rPr>
          <w:rFonts w:cs="Arial"/>
          <w:noProof/>
          <w:sz w:val="22"/>
          <w:szCs w:val="22"/>
        </w:rPr>
        <w:t xml:space="preserve"> Rashodi za zaposlene (31) s osnove plaća i pripadajućih doprinosa, te drugih potpora, naknada i nagrada bilježe porast za 67,8% u odnosu na prethodnu godinu i iznose 265.973,30 eura.</w:t>
      </w:r>
    </w:p>
    <w:p w:rsidR="009C17DE" w:rsidRPr="00FE1270" w:rsidRDefault="009C17DE" w:rsidP="009C17DE">
      <w:pPr>
        <w:pStyle w:val="BodyText2"/>
        <w:rPr>
          <w:rFonts w:cs="Arial"/>
          <w:noProof/>
          <w:sz w:val="22"/>
          <w:szCs w:val="22"/>
        </w:rPr>
      </w:pPr>
      <w:r w:rsidRPr="00FE1270">
        <w:rPr>
          <w:rFonts w:cs="Arial"/>
          <w:noProof/>
          <w:sz w:val="22"/>
          <w:szCs w:val="22"/>
        </w:rPr>
        <w:t xml:space="preserve">Najveće povećanje od 177,7% unutar podskupine bilježi se na plaćama za posebne uvjete rada što uključuje dodatak za neposredan stručni rad s djecom, dodatak za </w:t>
      </w:r>
      <w:r w:rsidR="001E5EF1">
        <w:rPr>
          <w:rFonts w:cs="Arial"/>
          <w:noProof/>
          <w:sz w:val="22"/>
          <w:szCs w:val="22"/>
        </w:rPr>
        <w:t>r</w:t>
      </w:r>
      <w:r w:rsidRPr="00FE1270">
        <w:rPr>
          <w:rFonts w:cs="Arial"/>
          <w:noProof/>
          <w:sz w:val="22"/>
          <w:szCs w:val="22"/>
        </w:rPr>
        <w:t xml:space="preserve">avnatelja, dodatak za računovodstvene, administrativne poslove sukladno tada važećem članku 78. Pravilnika o radu Centra Tić Rijeka, a prije usklade sa Uredbom o nazivima radnih mjesta, uvjetima za raspored i koeficijentima za obračun plaće u javnim službama.  </w:t>
      </w:r>
    </w:p>
    <w:p w:rsidR="00B468F8" w:rsidRPr="00FE1270" w:rsidRDefault="009C17DE" w:rsidP="009C17DE">
      <w:pPr>
        <w:pStyle w:val="BodyText2"/>
        <w:rPr>
          <w:rFonts w:cs="Arial"/>
          <w:noProof/>
          <w:sz w:val="22"/>
          <w:szCs w:val="22"/>
        </w:rPr>
      </w:pPr>
      <w:r w:rsidRPr="00FE1270">
        <w:rPr>
          <w:rFonts w:cs="Arial"/>
          <w:noProof/>
          <w:sz w:val="22"/>
          <w:szCs w:val="22"/>
        </w:rPr>
        <w:t>Povećanje od 72,3% je zabilježeno na ostalim rashodima za zaposlene, a uključuje otpremninu radi odlaska u mirovinu, ostvareni regres, božićnicu, te dar djeci. Rast od 51,1% bilježi se na rashodima za doprinose na plaće. Važno je spomenuti da je knjižen i 13</w:t>
      </w:r>
      <w:r w:rsidR="00F82097" w:rsidRPr="00FE1270">
        <w:rPr>
          <w:rFonts w:cs="Arial"/>
          <w:noProof/>
          <w:sz w:val="22"/>
          <w:szCs w:val="22"/>
        </w:rPr>
        <w:t>.</w:t>
      </w:r>
      <w:r w:rsidRPr="00FE1270">
        <w:rPr>
          <w:rFonts w:cs="Arial"/>
          <w:noProof/>
          <w:sz w:val="22"/>
          <w:szCs w:val="22"/>
        </w:rPr>
        <w:t xml:space="preserve"> rashod </w:t>
      </w:r>
      <w:r w:rsidR="001E5EF1">
        <w:rPr>
          <w:rFonts w:cs="Arial"/>
          <w:noProof/>
          <w:sz w:val="22"/>
          <w:szCs w:val="22"/>
        </w:rPr>
        <w:t xml:space="preserve">u godini </w:t>
      </w:r>
      <w:r w:rsidRPr="00FE1270">
        <w:rPr>
          <w:rFonts w:cs="Arial"/>
          <w:noProof/>
          <w:sz w:val="22"/>
          <w:szCs w:val="22"/>
        </w:rPr>
        <w:t>s osnove plaće za prosinac 2024. godine temeljem druge izmjene i dopune Financijskog plana za 2024. godinu</w:t>
      </w:r>
      <w:r w:rsidR="00F82097" w:rsidRPr="00FE1270">
        <w:rPr>
          <w:rFonts w:cs="Arial"/>
          <w:noProof/>
          <w:sz w:val="22"/>
          <w:szCs w:val="22"/>
        </w:rPr>
        <w:t>, a zbog ukidanja računa podskupine 193 – kontinuirani rashodi.</w:t>
      </w:r>
    </w:p>
    <w:p w:rsidR="00E705BA" w:rsidRPr="00FE1270" w:rsidRDefault="00E705BA" w:rsidP="00E705BA">
      <w:pPr>
        <w:pStyle w:val="BodyText2"/>
        <w:rPr>
          <w:rFonts w:cs="Arial"/>
          <w:noProof/>
          <w:sz w:val="22"/>
          <w:szCs w:val="22"/>
        </w:rPr>
      </w:pPr>
    </w:p>
    <w:p w:rsidR="00E705BA" w:rsidRPr="00FE1270" w:rsidRDefault="002D0600" w:rsidP="00E705BA">
      <w:pPr>
        <w:pStyle w:val="BodyText2"/>
        <w:rPr>
          <w:rFonts w:cs="Arial"/>
          <w:noProof/>
          <w:sz w:val="22"/>
          <w:szCs w:val="22"/>
        </w:rPr>
      </w:pPr>
      <w:r w:rsidRPr="00FE1270">
        <w:rPr>
          <w:rFonts w:cs="Arial"/>
          <w:b/>
          <w:i/>
          <w:noProof/>
          <w:sz w:val="22"/>
          <w:szCs w:val="22"/>
        </w:rPr>
        <w:t>JVP</w:t>
      </w:r>
      <w:r w:rsidR="00F82097" w:rsidRPr="00FE1270">
        <w:rPr>
          <w:rFonts w:cs="Arial"/>
          <w:b/>
          <w:i/>
          <w:noProof/>
          <w:sz w:val="22"/>
          <w:szCs w:val="22"/>
        </w:rPr>
        <w:t xml:space="preserve"> - </w:t>
      </w:r>
      <w:r w:rsidRPr="00FE1270">
        <w:rPr>
          <w:rFonts w:cs="Arial"/>
          <w:noProof/>
          <w:sz w:val="22"/>
          <w:szCs w:val="22"/>
        </w:rPr>
        <w:t>Rashodi za zaposlene (31) s osnove plaća i pripadajućih doprinosa, te drugih potpora, naknada i nagrada utrošen</w:t>
      </w:r>
      <w:r w:rsidR="00F82097" w:rsidRPr="00FE1270">
        <w:rPr>
          <w:rFonts w:cs="Arial"/>
          <w:noProof/>
          <w:sz w:val="22"/>
          <w:szCs w:val="22"/>
        </w:rPr>
        <w:t>i</w:t>
      </w:r>
      <w:r w:rsidRPr="00FE1270">
        <w:rPr>
          <w:rFonts w:cs="Arial"/>
          <w:noProof/>
          <w:sz w:val="22"/>
          <w:szCs w:val="22"/>
        </w:rPr>
        <w:t xml:space="preserve"> su više za 36,3% u odnosu na prethodnu godinu. </w:t>
      </w:r>
      <w:r w:rsidR="001E5EF1">
        <w:rPr>
          <w:rFonts w:cs="Arial"/>
          <w:noProof/>
          <w:sz w:val="22"/>
          <w:szCs w:val="22"/>
        </w:rPr>
        <w:t xml:space="preserve">Do </w:t>
      </w:r>
      <w:r w:rsidR="001E5EF1" w:rsidRPr="00FE1270">
        <w:rPr>
          <w:rFonts w:cs="Arial"/>
          <w:noProof/>
          <w:sz w:val="22"/>
          <w:szCs w:val="22"/>
        </w:rPr>
        <w:t>povećanj</w:t>
      </w:r>
      <w:r w:rsidR="001E5EF1">
        <w:rPr>
          <w:rFonts w:cs="Arial"/>
          <w:noProof/>
          <w:sz w:val="22"/>
          <w:szCs w:val="22"/>
        </w:rPr>
        <w:t>a</w:t>
      </w:r>
      <w:r w:rsidR="001E5EF1" w:rsidRPr="00FE1270">
        <w:rPr>
          <w:rFonts w:cs="Arial"/>
          <w:noProof/>
          <w:sz w:val="22"/>
          <w:szCs w:val="22"/>
        </w:rPr>
        <w:t xml:space="preserve"> </w:t>
      </w:r>
      <w:r w:rsidR="001E5EF1">
        <w:rPr>
          <w:rFonts w:cs="Arial"/>
          <w:noProof/>
          <w:sz w:val="22"/>
          <w:szCs w:val="22"/>
        </w:rPr>
        <w:t>na ovoj stavci rashoda dolazi</w:t>
      </w:r>
      <w:r w:rsidR="001E5EF1" w:rsidRPr="00FE1270">
        <w:rPr>
          <w:rFonts w:cs="Arial"/>
          <w:noProof/>
          <w:sz w:val="22"/>
          <w:szCs w:val="22"/>
        </w:rPr>
        <w:t xml:space="preserve"> </w:t>
      </w:r>
      <w:r w:rsidR="001E5EF1">
        <w:rPr>
          <w:rFonts w:cs="Arial"/>
          <w:noProof/>
          <w:sz w:val="22"/>
          <w:szCs w:val="22"/>
        </w:rPr>
        <w:t xml:space="preserve">zbog primjene </w:t>
      </w:r>
      <w:r w:rsidRPr="00FE1270">
        <w:rPr>
          <w:rFonts w:cs="Arial"/>
          <w:noProof/>
          <w:sz w:val="22"/>
          <w:szCs w:val="22"/>
        </w:rPr>
        <w:t xml:space="preserve">Uredbe o visini dodataka na osnovni koeficijent za radna mjesta profesionalnih vatrogasaca i </w:t>
      </w:r>
      <w:r w:rsidR="001E5EF1">
        <w:rPr>
          <w:rFonts w:cs="Arial"/>
          <w:noProof/>
          <w:sz w:val="22"/>
          <w:szCs w:val="22"/>
        </w:rPr>
        <w:t xml:space="preserve">primjene </w:t>
      </w:r>
      <w:r w:rsidRPr="00FE1270">
        <w:rPr>
          <w:rFonts w:cs="Arial"/>
          <w:noProof/>
          <w:sz w:val="22"/>
          <w:szCs w:val="22"/>
        </w:rPr>
        <w:t>novo</w:t>
      </w:r>
      <w:r w:rsidR="00F82097" w:rsidRPr="00FE1270">
        <w:rPr>
          <w:rFonts w:cs="Arial"/>
          <w:noProof/>
          <w:sz w:val="22"/>
          <w:szCs w:val="22"/>
        </w:rPr>
        <w:t>g</w:t>
      </w:r>
      <w:r w:rsidRPr="00FE1270">
        <w:rPr>
          <w:rFonts w:cs="Arial"/>
          <w:noProof/>
          <w:sz w:val="22"/>
          <w:szCs w:val="22"/>
        </w:rPr>
        <w:t xml:space="preserve"> Pravilnik</w:t>
      </w:r>
      <w:r w:rsidR="00F82097" w:rsidRPr="00FE1270">
        <w:rPr>
          <w:rFonts w:cs="Arial"/>
          <w:noProof/>
          <w:sz w:val="22"/>
          <w:szCs w:val="22"/>
        </w:rPr>
        <w:t>a</w:t>
      </w:r>
      <w:r w:rsidRPr="00FE1270">
        <w:rPr>
          <w:rFonts w:cs="Arial"/>
          <w:noProof/>
          <w:sz w:val="22"/>
          <w:szCs w:val="22"/>
        </w:rPr>
        <w:t xml:space="preserve"> </w:t>
      </w:r>
      <w:r w:rsidR="00F82097" w:rsidRPr="00FE1270">
        <w:rPr>
          <w:rFonts w:cs="Arial"/>
          <w:noProof/>
          <w:sz w:val="22"/>
          <w:szCs w:val="22"/>
        </w:rPr>
        <w:t xml:space="preserve">o proračunskom računovodstvu i računskom planu kojim se ukida </w:t>
      </w:r>
      <w:r w:rsidRPr="00FE1270">
        <w:rPr>
          <w:rFonts w:cs="Arial"/>
          <w:noProof/>
          <w:sz w:val="22"/>
          <w:szCs w:val="22"/>
        </w:rPr>
        <w:t>evidentiranj</w:t>
      </w:r>
      <w:r w:rsidR="00F82097" w:rsidRPr="00FE1270">
        <w:rPr>
          <w:rFonts w:cs="Arial"/>
          <w:noProof/>
          <w:sz w:val="22"/>
          <w:szCs w:val="22"/>
        </w:rPr>
        <w:t>e</w:t>
      </w:r>
      <w:r w:rsidRPr="00FE1270">
        <w:rPr>
          <w:rFonts w:cs="Arial"/>
          <w:noProof/>
          <w:sz w:val="22"/>
          <w:szCs w:val="22"/>
        </w:rPr>
        <w:t xml:space="preserve"> kontinuiranih rashoda</w:t>
      </w:r>
      <w:r w:rsidR="001E5EF1">
        <w:rPr>
          <w:rFonts w:cs="Arial"/>
          <w:noProof/>
          <w:sz w:val="22"/>
          <w:szCs w:val="22"/>
        </w:rPr>
        <w:t xml:space="preserve"> zbog čega je trošak </w:t>
      </w:r>
      <w:r w:rsidRPr="00FE1270">
        <w:rPr>
          <w:rFonts w:cs="Arial"/>
          <w:noProof/>
          <w:sz w:val="22"/>
          <w:szCs w:val="22"/>
        </w:rPr>
        <w:t>plać</w:t>
      </w:r>
      <w:r w:rsidR="001E5EF1">
        <w:rPr>
          <w:rFonts w:cs="Arial"/>
          <w:noProof/>
          <w:sz w:val="22"/>
          <w:szCs w:val="22"/>
        </w:rPr>
        <w:t>e</w:t>
      </w:r>
      <w:r w:rsidRPr="00FE1270">
        <w:rPr>
          <w:rFonts w:cs="Arial"/>
          <w:noProof/>
          <w:sz w:val="22"/>
          <w:szCs w:val="22"/>
        </w:rPr>
        <w:t xml:space="preserve"> za prosinac </w:t>
      </w:r>
      <w:r w:rsidR="001E5EF1">
        <w:rPr>
          <w:rFonts w:cs="Arial"/>
          <w:noProof/>
          <w:sz w:val="22"/>
          <w:szCs w:val="22"/>
        </w:rPr>
        <w:t>evidentiran</w:t>
      </w:r>
      <w:r w:rsidRPr="00FE1270">
        <w:rPr>
          <w:rFonts w:cs="Arial"/>
          <w:noProof/>
          <w:sz w:val="22"/>
          <w:szCs w:val="22"/>
        </w:rPr>
        <w:t xml:space="preserve"> u tekuću 2024. godinu. Unutar </w:t>
      </w:r>
      <w:r w:rsidR="00F82097" w:rsidRPr="00FE1270">
        <w:rPr>
          <w:rFonts w:cs="Arial"/>
          <w:noProof/>
          <w:sz w:val="22"/>
          <w:szCs w:val="22"/>
        </w:rPr>
        <w:t xml:space="preserve">iste </w:t>
      </w:r>
      <w:r w:rsidRPr="00FE1270">
        <w:rPr>
          <w:rFonts w:cs="Arial"/>
          <w:noProof/>
          <w:sz w:val="22"/>
          <w:szCs w:val="22"/>
        </w:rPr>
        <w:t>skupine evidentirane su jubilarne nagrade i otpremnine te druge naknade.</w:t>
      </w:r>
    </w:p>
    <w:p w:rsidR="00E705BA" w:rsidRPr="00FE1270" w:rsidRDefault="00E705BA" w:rsidP="00E705BA">
      <w:pPr>
        <w:pStyle w:val="BodyText2"/>
        <w:rPr>
          <w:rFonts w:cs="Arial"/>
          <w:noProof/>
          <w:sz w:val="22"/>
          <w:szCs w:val="22"/>
        </w:rPr>
      </w:pPr>
    </w:p>
    <w:p w:rsidR="00E705BA" w:rsidRPr="00FE1270" w:rsidRDefault="00544EC6" w:rsidP="00E705BA">
      <w:pPr>
        <w:pStyle w:val="BodyText2"/>
        <w:rPr>
          <w:rFonts w:cs="Arial"/>
          <w:noProof/>
          <w:sz w:val="22"/>
          <w:szCs w:val="22"/>
        </w:rPr>
      </w:pPr>
      <w:r w:rsidRPr="00FE1270">
        <w:rPr>
          <w:rFonts w:cs="Arial"/>
          <w:b/>
          <w:i/>
          <w:noProof/>
          <w:sz w:val="22"/>
          <w:szCs w:val="22"/>
        </w:rPr>
        <w:t>Psihijatrijska bolnica Lopača</w:t>
      </w:r>
      <w:r w:rsidR="001A457E" w:rsidRPr="00FE1270">
        <w:rPr>
          <w:rFonts w:cs="Arial"/>
          <w:noProof/>
          <w:sz w:val="22"/>
          <w:szCs w:val="22"/>
        </w:rPr>
        <w:t>-</w:t>
      </w:r>
      <w:r w:rsidR="00227DBE" w:rsidRPr="00FE1270">
        <w:rPr>
          <w:rFonts w:cs="Arial"/>
          <w:noProof/>
          <w:sz w:val="22"/>
          <w:szCs w:val="22"/>
        </w:rPr>
        <w:t xml:space="preserve"> do povećanja rashoda za zaposlene dolazi </w:t>
      </w:r>
      <w:r w:rsidRPr="00FE1270">
        <w:rPr>
          <w:rFonts w:cs="Arial"/>
          <w:noProof/>
          <w:sz w:val="22"/>
          <w:szCs w:val="22"/>
        </w:rPr>
        <w:t>budući je Bolnici priznat status javne službe te je od 1.</w:t>
      </w:r>
      <w:r w:rsidR="005850B2" w:rsidRPr="00FE1270">
        <w:rPr>
          <w:rFonts w:cs="Arial"/>
          <w:noProof/>
          <w:sz w:val="22"/>
          <w:szCs w:val="22"/>
        </w:rPr>
        <w:t xml:space="preserve"> travnja </w:t>
      </w:r>
      <w:r w:rsidRPr="00FE1270">
        <w:rPr>
          <w:rFonts w:cs="Arial"/>
          <w:noProof/>
          <w:sz w:val="22"/>
          <w:szCs w:val="22"/>
        </w:rPr>
        <w:t>2024.</w:t>
      </w:r>
      <w:r w:rsidR="005850B2" w:rsidRPr="00FE1270">
        <w:rPr>
          <w:rFonts w:cs="Arial"/>
          <w:noProof/>
          <w:sz w:val="22"/>
          <w:szCs w:val="22"/>
        </w:rPr>
        <w:t xml:space="preserve"> </w:t>
      </w:r>
      <w:r w:rsidRPr="00FE1270">
        <w:rPr>
          <w:rFonts w:cs="Arial"/>
          <w:noProof/>
          <w:sz w:val="22"/>
          <w:szCs w:val="22"/>
        </w:rPr>
        <w:t>g</w:t>
      </w:r>
      <w:r w:rsidR="005850B2" w:rsidRPr="00FE1270">
        <w:rPr>
          <w:rFonts w:cs="Arial"/>
          <w:noProof/>
          <w:sz w:val="22"/>
          <w:szCs w:val="22"/>
        </w:rPr>
        <w:t>odine</w:t>
      </w:r>
      <w:r w:rsidRPr="00FE1270">
        <w:rPr>
          <w:rFonts w:cs="Arial"/>
          <w:noProof/>
          <w:sz w:val="22"/>
          <w:szCs w:val="22"/>
        </w:rPr>
        <w:t xml:space="preserve"> u primjeni obračun plaća sukladno Uredbi o nazivima radnih mjesta,</w:t>
      </w:r>
      <w:r w:rsidR="005850B2" w:rsidRPr="00FE1270">
        <w:rPr>
          <w:rFonts w:cs="Arial"/>
          <w:noProof/>
          <w:sz w:val="22"/>
          <w:szCs w:val="22"/>
        </w:rPr>
        <w:t xml:space="preserve"> </w:t>
      </w:r>
      <w:r w:rsidRPr="00FE1270">
        <w:rPr>
          <w:rFonts w:cs="Arial"/>
          <w:noProof/>
          <w:sz w:val="22"/>
          <w:szCs w:val="22"/>
        </w:rPr>
        <w:t xml:space="preserve">uvjetima za raspored i koeficijentima za obračun plaće u javnim službama i Dodatku temeljnom </w:t>
      </w:r>
      <w:r w:rsidR="005850B2" w:rsidRPr="00FE1270">
        <w:rPr>
          <w:rFonts w:cs="Arial"/>
          <w:noProof/>
          <w:sz w:val="22"/>
          <w:szCs w:val="22"/>
        </w:rPr>
        <w:t>K</w:t>
      </w:r>
      <w:r w:rsidRPr="00FE1270">
        <w:rPr>
          <w:rFonts w:cs="Arial"/>
          <w:noProof/>
          <w:sz w:val="22"/>
          <w:szCs w:val="22"/>
        </w:rPr>
        <w:t>olektivnom ugovoru za službenike i zaposlenike u javnim službama.</w:t>
      </w:r>
    </w:p>
    <w:p w:rsidR="001A457E" w:rsidRPr="00FE1270" w:rsidRDefault="001A457E" w:rsidP="00D939CF">
      <w:pPr>
        <w:pStyle w:val="BodyText2"/>
        <w:rPr>
          <w:rFonts w:cs="Arial"/>
          <w:noProof/>
          <w:sz w:val="22"/>
          <w:szCs w:val="22"/>
        </w:rPr>
      </w:pPr>
    </w:p>
    <w:p w:rsidR="007B59C6" w:rsidRPr="00FE1270" w:rsidRDefault="00ED7293">
      <w:pPr>
        <w:pStyle w:val="Footer"/>
        <w:tabs>
          <w:tab w:val="clear" w:pos="4153"/>
          <w:tab w:val="clear" w:pos="8306"/>
        </w:tabs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Proračunski k</w:t>
      </w:r>
      <w:r w:rsidR="00566694" w:rsidRPr="00FE1270">
        <w:rPr>
          <w:rFonts w:ascii="Arial" w:hAnsi="Arial" w:cs="Arial"/>
          <w:noProof/>
          <w:sz w:val="22"/>
          <w:szCs w:val="22"/>
        </w:rPr>
        <w:t xml:space="preserve">orisnici su prihode ostvarene od pomoći, </w:t>
      </w:r>
      <w:r w:rsidR="00690C9B" w:rsidRPr="00FE1270">
        <w:rPr>
          <w:rFonts w:ascii="Arial" w:hAnsi="Arial" w:cs="Arial"/>
          <w:noProof/>
          <w:sz w:val="22"/>
          <w:szCs w:val="22"/>
        </w:rPr>
        <w:t xml:space="preserve">prihode od imovine, </w:t>
      </w:r>
      <w:r>
        <w:rPr>
          <w:rFonts w:ascii="Arial" w:hAnsi="Arial" w:cs="Arial"/>
          <w:noProof/>
          <w:sz w:val="22"/>
          <w:szCs w:val="22"/>
        </w:rPr>
        <w:t xml:space="preserve">prihode </w:t>
      </w:r>
      <w:r w:rsidR="00566694" w:rsidRPr="00FE1270">
        <w:rPr>
          <w:rFonts w:ascii="Arial" w:hAnsi="Arial" w:cs="Arial"/>
          <w:noProof/>
          <w:sz w:val="22"/>
          <w:szCs w:val="22"/>
        </w:rPr>
        <w:t xml:space="preserve">po posebnim propisima i od vlastite djelatnosti utrošili </w:t>
      </w:r>
      <w:r>
        <w:rPr>
          <w:rFonts w:ascii="Arial" w:hAnsi="Arial" w:cs="Arial"/>
          <w:noProof/>
          <w:sz w:val="22"/>
          <w:szCs w:val="22"/>
        </w:rPr>
        <w:t>na</w:t>
      </w:r>
      <w:r w:rsidR="00566694" w:rsidRPr="00FE1270">
        <w:rPr>
          <w:rFonts w:ascii="Arial" w:hAnsi="Arial" w:cs="Arial"/>
          <w:noProof/>
          <w:sz w:val="22"/>
          <w:szCs w:val="22"/>
        </w:rPr>
        <w:t xml:space="preserve">: rashode za zaposlene </w:t>
      </w:r>
      <w:r w:rsidR="006858CE" w:rsidRPr="00FE1270">
        <w:rPr>
          <w:rFonts w:ascii="Arial" w:hAnsi="Arial" w:cs="Arial"/>
          <w:noProof/>
          <w:sz w:val="22"/>
          <w:szCs w:val="22"/>
        </w:rPr>
        <w:t>71.591.219,59</w:t>
      </w:r>
      <w:r w:rsidR="00690C9B" w:rsidRPr="00FE1270">
        <w:rPr>
          <w:rFonts w:ascii="Arial" w:hAnsi="Arial" w:cs="Arial"/>
          <w:noProof/>
          <w:sz w:val="22"/>
          <w:szCs w:val="22"/>
        </w:rPr>
        <w:t xml:space="preserve"> eura</w:t>
      </w:r>
      <w:r w:rsidR="000B409E" w:rsidRPr="00FE1270">
        <w:rPr>
          <w:rFonts w:ascii="Arial" w:hAnsi="Arial" w:cs="Arial"/>
          <w:noProof/>
          <w:sz w:val="22"/>
          <w:szCs w:val="22"/>
        </w:rPr>
        <w:t xml:space="preserve"> (</w:t>
      </w:r>
      <w:r w:rsidR="006C0BB8" w:rsidRPr="00FE1270">
        <w:rPr>
          <w:rFonts w:ascii="Arial" w:hAnsi="Arial" w:cs="Arial"/>
          <w:noProof/>
          <w:sz w:val="22"/>
          <w:szCs w:val="22"/>
        </w:rPr>
        <w:t>31</w:t>
      </w:r>
      <w:r w:rsidR="000B409E" w:rsidRPr="00FE1270">
        <w:rPr>
          <w:rFonts w:ascii="Arial" w:hAnsi="Arial" w:cs="Arial"/>
          <w:noProof/>
          <w:sz w:val="22"/>
          <w:szCs w:val="22"/>
        </w:rPr>
        <w:t>)</w:t>
      </w:r>
      <w:r w:rsidR="00566694" w:rsidRPr="00FE1270">
        <w:rPr>
          <w:rFonts w:ascii="Arial" w:hAnsi="Arial" w:cs="Arial"/>
          <w:noProof/>
          <w:sz w:val="22"/>
          <w:szCs w:val="22"/>
        </w:rPr>
        <w:t xml:space="preserve">, </w:t>
      </w:r>
      <w:r>
        <w:rPr>
          <w:rFonts w:ascii="Arial" w:hAnsi="Arial" w:cs="Arial"/>
          <w:noProof/>
          <w:sz w:val="22"/>
          <w:szCs w:val="22"/>
        </w:rPr>
        <w:t>na</w:t>
      </w:r>
      <w:r w:rsidR="00566694" w:rsidRPr="00FE1270">
        <w:rPr>
          <w:rFonts w:ascii="Arial" w:hAnsi="Arial" w:cs="Arial"/>
          <w:noProof/>
          <w:sz w:val="22"/>
          <w:szCs w:val="22"/>
        </w:rPr>
        <w:t xml:space="preserve"> materijalne rashode </w:t>
      </w:r>
      <w:r w:rsidR="00AB07DE" w:rsidRPr="00FE1270">
        <w:rPr>
          <w:rFonts w:ascii="Arial" w:hAnsi="Arial" w:cs="Arial"/>
          <w:noProof/>
          <w:sz w:val="22"/>
          <w:szCs w:val="22"/>
        </w:rPr>
        <w:t>16.556.673,92</w:t>
      </w:r>
      <w:r w:rsidR="00690C9B" w:rsidRPr="00FE1270">
        <w:rPr>
          <w:rFonts w:ascii="Arial" w:hAnsi="Arial" w:cs="Arial"/>
          <w:noProof/>
          <w:sz w:val="22"/>
          <w:szCs w:val="22"/>
        </w:rPr>
        <w:t xml:space="preserve"> eura</w:t>
      </w:r>
      <w:r w:rsidR="000B409E" w:rsidRPr="00FE1270">
        <w:rPr>
          <w:rFonts w:ascii="Arial" w:hAnsi="Arial" w:cs="Arial"/>
          <w:noProof/>
          <w:sz w:val="22"/>
          <w:szCs w:val="22"/>
        </w:rPr>
        <w:t xml:space="preserve"> (</w:t>
      </w:r>
      <w:r w:rsidR="006C0BB8" w:rsidRPr="00FE1270">
        <w:rPr>
          <w:rFonts w:ascii="Arial" w:hAnsi="Arial" w:cs="Arial"/>
          <w:noProof/>
          <w:sz w:val="22"/>
          <w:szCs w:val="22"/>
        </w:rPr>
        <w:t>32</w:t>
      </w:r>
      <w:r w:rsidR="000B409E" w:rsidRPr="00FE1270">
        <w:rPr>
          <w:rFonts w:ascii="Arial" w:hAnsi="Arial" w:cs="Arial"/>
          <w:noProof/>
          <w:sz w:val="22"/>
          <w:szCs w:val="22"/>
        </w:rPr>
        <w:t>)</w:t>
      </w:r>
      <w:r>
        <w:rPr>
          <w:rFonts w:ascii="Arial" w:hAnsi="Arial" w:cs="Arial"/>
          <w:noProof/>
          <w:sz w:val="22"/>
          <w:szCs w:val="22"/>
        </w:rPr>
        <w:t>, na</w:t>
      </w:r>
      <w:r w:rsidR="00566694" w:rsidRPr="00FE1270">
        <w:rPr>
          <w:rFonts w:ascii="Arial" w:hAnsi="Arial" w:cs="Arial"/>
          <w:noProof/>
          <w:sz w:val="22"/>
          <w:szCs w:val="22"/>
        </w:rPr>
        <w:t xml:space="preserve"> financijske rashode </w:t>
      </w:r>
      <w:r w:rsidR="00AB07DE" w:rsidRPr="00FE1270">
        <w:rPr>
          <w:rFonts w:ascii="Arial" w:hAnsi="Arial" w:cs="Arial"/>
          <w:noProof/>
          <w:sz w:val="22"/>
          <w:szCs w:val="22"/>
        </w:rPr>
        <w:t>227.082,06</w:t>
      </w:r>
      <w:r w:rsidR="00CE72AD" w:rsidRPr="00FE1270">
        <w:rPr>
          <w:rFonts w:ascii="Arial" w:hAnsi="Arial" w:cs="Arial"/>
          <w:noProof/>
          <w:sz w:val="22"/>
          <w:szCs w:val="22"/>
        </w:rPr>
        <w:t xml:space="preserve"> eura</w:t>
      </w:r>
      <w:r w:rsidR="00D3754B" w:rsidRPr="00FE1270">
        <w:rPr>
          <w:rFonts w:ascii="Arial" w:hAnsi="Arial" w:cs="Arial"/>
          <w:noProof/>
          <w:sz w:val="22"/>
          <w:szCs w:val="22"/>
        </w:rPr>
        <w:t xml:space="preserve"> </w:t>
      </w:r>
      <w:r w:rsidR="000B409E" w:rsidRPr="00FE1270">
        <w:rPr>
          <w:rFonts w:ascii="Arial" w:hAnsi="Arial" w:cs="Arial"/>
          <w:noProof/>
          <w:sz w:val="22"/>
          <w:szCs w:val="22"/>
        </w:rPr>
        <w:t>(</w:t>
      </w:r>
      <w:r w:rsidR="006C0BB8" w:rsidRPr="00FE1270">
        <w:rPr>
          <w:rFonts w:ascii="Arial" w:hAnsi="Arial" w:cs="Arial"/>
          <w:noProof/>
          <w:sz w:val="22"/>
          <w:szCs w:val="22"/>
        </w:rPr>
        <w:t>34</w:t>
      </w:r>
      <w:r w:rsidR="000B409E" w:rsidRPr="00FE1270">
        <w:rPr>
          <w:rFonts w:ascii="Arial" w:hAnsi="Arial" w:cs="Arial"/>
          <w:noProof/>
          <w:sz w:val="22"/>
          <w:szCs w:val="22"/>
        </w:rPr>
        <w:t>)</w:t>
      </w:r>
      <w:r w:rsidR="00CE72AD" w:rsidRPr="00FE1270">
        <w:rPr>
          <w:rFonts w:ascii="Arial" w:hAnsi="Arial" w:cs="Arial"/>
          <w:noProof/>
          <w:sz w:val="22"/>
          <w:szCs w:val="22"/>
        </w:rPr>
        <w:t xml:space="preserve">, </w:t>
      </w:r>
      <w:r>
        <w:rPr>
          <w:rFonts w:ascii="Arial" w:hAnsi="Arial" w:cs="Arial"/>
          <w:noProof/>
          <w:sz w:val="22"/>
          <w:szCs w:val="22"/>
        </w:rPr>
        <w:t>n</w:t>
      </w:r>
      <w:r w:rsidR="00CE72AD" w:rsidRPr="00FE1270">
        <w:rPr>
          <w:rFonts w:ascii="Arial" w:hAnsi="Arial" w:cs="Arial"/>
          <w:noProof/>
          <w:sz w:val="22"/>
          <w:szCs w:val="22"/>
        </w:rPr>
        <w:t xml:space="preserve">a pomoći inozemnim vladama </w:t>
      </w:r>
      <w:r w:rsidR="004A32C7" w:rsidRPr="00FE1270">
        <w:rPr>
          <w:rFonts w:ascii="Arial" w:hAnsi="Arial" w:cs="Arial"/>
          <w:noProof/>
          <w:sz w:val="22"/>
          <w:szCs w:val="22"/>
        </w:rPr>
        <w:t>15.000,00</w:t>
      </w:r>
      <w:r w:rsidR="00CE72AD" w:rsidRPr="00FE1270">
        <w:rPr>
          <w:rFonts w:ascii="Arial" w:hAnsi="Arial" w:cs="Arial"/>
          <w:noProof/>
          <w:sz w:val="22"/>
          <w:szCs w:val="22"/>
        </w:rPr>
        <w:t xml:space="preserve"> eura (36),</w:t>
      </w:r>
      <w:r w:rsidR="002C53D3" w:rsidRPr="00FE1270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na</w:t>
      </w:r>
      <w:r w:rsidR="000C4DCF" w:rsidRPr="00FE1270">
        <w:rPr>
          <w:rFonts w:ascii="Arial" w:hAnsi="Arial" w:cs="Arial"/>
          <w:noProof/>
          <w:sz w:val="22"/>
          <w:szCs w:val="22"/>
        </w:rPr>
        <w:t xml:space="preserve"> naknade </w:t>
      </w:r>
      <w:r w:rsidR="00497C4C" w:rsidRPr="00FE1270">
        <w:rPr>
          <w:rFonts w:ascii="Arial" w:hAnsi="Arial" w:cs="Arial"/>
          <w:noProof/>
          <w:sz w:val="22"/>
          <w:szCs w:val="22"/>
        </w:rPr>
        <w:t>građanima i kućanstvima u naravi</w:t>
      </w:r>
      <w:r w:rsidR="00A668CE" w:rsidRPr="00FE1270">
        <w:rPr>
          <w:rFonts w:ascii="Arial" w:hAnsi="Arial" w:cs="Arial"/>
          <w:noProof/>
          <w:sz w:val="22"/>
          <w:szCs w:val="22"/>
        </w:rPr>
        <w:t xml:space="preserve"> i novcu</w:t>
      </w:r>
      <w:r w:rsidR="000C4DCF" w:rsidRPr="00FE1270">
        <w:rPr>
          <w:rFonts w:ascii="Arial" w:hAnsi="Arial" w:cs="Arial"/>
          <w:noProof/>
          <w:sz w:val="22"/>
          <w:szCs w:val="22"/>
        </w:rPr>
        <w:t xml:space="preserve"> </w:t>
      </w:r>
      <w:r w:rsidR="00AB07DE" w:rsidRPr="00FE1270">
        <w:rPr>
          <w:rFonts w:ascii="Arial" w:hAnsi="Arial" w:cs="Arial"/>
          <w:noProof/>
          <w:sz w:val="22"/>
          <w:szCs w:val="22"/>
        </w:rPr>
        <w:t>695.728,11</w:t>
      </w:r>
      <w:r w:rsidR="00CE72AD" w:rsidRPr="00FE1270">
        <w:rPr>
          <w:rFonts w:ascii="Arial" w:hAnsi="Arial" w:cs="Arial"/>
          <w:noProof/>
          <w:sz w:val="22"/>
          <w:szCs w:val="22"/>
        </w:rPr>
        <w:t xml:space="preserve"> eura</w:t>
      </w:r>
      <w:r w:rsidR="003E457A" w:rsidRPr="00FE1270">
        <w:rPr>
          <w:rFonts w:ascii="Arial" w:hAnsi="Arial" w:cs="Arial"/>
          <w:noProof/>
          <w:sz w:val="22"/>
          <w:szCs w:val="22"/>
        </w:rPr>
        <w:t xml:space="preserve"> (</w:t>
      </w:r>
      <w:r w:rsidR="006C0BB8" w:rsidRPr="00FE1270">
        <w:rPr>
          <w:rFonts w:ascii="Arial" w:hAnsi="Arial" w:cs="Arial"/>
          <w:noProof/>
          <w:sz w:val="22"/>
          <w:szCs w:val="22"/>
        </w:rPr>
        <w:t>37</w:t>
      </w:r>
      <w:r w:rsidR="003E457A" w:rsidRPr="00FE1270">
        <w:rPr>
          <w:rFonts w:ascii="Arial" w:hAnsi="Arial" w:cs="Arial"/>
          <w:noProof/>
          <w:sz w:val="22"/>
          <w:szCs w:val="22"/>
        </w:rPr>
        <w:t>)</w:t>
      </w:r>
      <w:r w:rsidR="00831CC7" w:rsidRPr="00FE1270">
        <w:rPr>
          <w:rFonts w:ascii="Arial" w:hAnsi="Arial" w:cs="Arial"/>
          <w:noProof/>
          <w:sz w:val="22"/>
          <w:szCs w:val="22"/>
        </w:rPr>
        <w:t xml:space="preserve"> </w:t>
      </w:r>
      <w:r w:rsidR="0081696E" w:rsidRPr="00FE1270">
        <w:rPr>
          <w:rFonts w:ascii="Arial" w:hAnsi="Arial" w:cs="Arial"/>
          <w:noProof/>
          <w:sz w:val="22"/>
          <w:szCs w:val="22"/>
        </w:rPr>
        <w:t>te</w:t>
      </w:r>
      <w:r w:rsidR="000C4DCF" w:rsidRPr="00FE1270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n</w:t>
      </w:r>
      <w:r w:rsidR="001536BD" w:rsidRPr="00FE1270">
        <w:rPr>
          <w:rFonts w:ascii="Arial" w:hAnsi="Arial" w:cs="Arial"/>
          <w:noProof/>
          <w:sz w:val="22"/>
          <w:szCs w:val="22"/>
        </w:rPr>
        <w:t xml:space="preserve">a </w:t>
      </w:r>
      <w:r w:rsidR="00566694" w:rsidRPr="00FE1270">
        <w:rPr>
          <w:rFonts w:ascii="Arial" w:hAnsi="Arial" w:cs="Arial"/>
          <w:noProof/>
          <w:sz w:val="22"/>
          <w:szCs w:val="22"/>
        </w:rPr>
        <w:t xml:space="preserve">ostale rashode </w:t>
      </w:r>
      <w:r w:rsidR="00AB07DE" w:rsidRPr="00FE1270">
        <w:rPr>
          <w:rFonts w:ascii="Arial" w:hAnsi="Arial" w:cs="Arial"/>
          <w:noProof/>
          <w:sz w:val="22"/>
          <w:szCs w:val="22"/>
        </w:rPr>
        <w:t>23.909,60</w:t>
      </w:r>
      <w:r w:rsidR="00CE72AD" w:rsidRPr="00FE1270">
        <w:rPr>
          <w:rFonts w:ascii="Arial" w:hAnsi="Arial" w:cs="Arial"/>
          <w:noProof/>
          <w:sz w:val="22"/>
          <w:szCs w:val="22"/>
        </w:rPr>
        <w:t xml:space="preserve"> eura</w:t>
      </w:r>
      <w:r w:rsidR="00F52422" w:rsidRPr="00FE1270">
        <w:rPr>
          <w:rFonts w:ascii="Arial" w:hAnsi="Arial" w:cs="Arial"/>
          <w:noProof/>
          <w:sz w:val="22"/>
          <w:szCs w:val="22"/>
        </w:rPr>
        <w:t xml:space="preserve"> (</w:t>
      </w:r>
      <w:r w:rsidR="006C0BB8" w:rsidRPr="00FE1270">
        <w:rPr>
          <w:rFonts w:ascii="Arial" w:hAnsi="Arial" w:cs="Arial"/>
          <w:noProof/>
          <w:sz w:val="22"/>
          <w:szCs w:val="22"/>
        </w:rPr>
        <w:t>38</w:t>
      </w:r>
      <w:r w:rsidR="00097B8C" w:rsidRPr="00FE1270">
        <w:rPr>
          <w:rFonts w:ascii="Arial" w:hAnsi="Arial" w:cs="Arial"/>
          <w:noProof/>
          <w:sz w:val="22"/>
          <w:szCs w:val="22"/>
        </w:rPr>
        <w:t>).</w:t>
      </w:r>
    </w:p>
    <w:p w:rsidR="009C6C54" w:rsidRPr="00FE1270" w:rsidRDefault="009C6C54">
      <w:pPr>
        <w:pStyle w:val="Footer"/>
        <w:tabs>
          <w:tab w:val="clear" w:pos="4153"/>
          <w:tab w:val="clear" w:pos="8306"/>
        </w:tabs>
        <w:jc w:val="both"/>
        <w:rPr>
          <w:rFonts w:ascii="Arial" w:hAnsi="Arial" w:cs="Arial"/>
          <w:noProof/>
        </w:rPr>
      </w:pPr>
    </w:p>
    <w:p w:rsidR="00566694" w:rsidRPr="00FE1270" w:rsidRDefault="00566694">
      <w:pPr>
        <w:pStyle w:val="Heading4"/>
        <w:rPr>
          <w:rFonts w:cs="Arial"/>
          <w:noProof/>
          <w:szCs w:val="22"/>
        </w:rPr>
      </w:pPr>
      <w:r w:rsidRPr="00FE1270">
        <w:rPr>
          <w:rFonts w:cs="Arial"/>
          <w:noProof/>
          <w:szCs w:val="22"/>
        </w:rPr>
        <w:t xml:space="preserve">Bilješka broj </w:t>
      </w:r>
      <w:r w:rsidR="00EA1772" w:rsidRPr="00FE1270">
        <w:rPr>
          <w:rFonts w:cs="Arial"/>
          <w:noProof/>
          <w:szCs w:val="22"/>
        </w:rPr>
        <w:t>8</w:t>
      </w:r>
      <w:r w:rsidRPr="00FE1270">
        <w:rPr>
          <w:rFonts w:cs="Arial"/>
          <w:noProof/>
          <w:szCs w:val="22"/>
        </w:rPr>
        <w:t xml:space="preserve"> </w:t>
      </w:r>
      <w:r w:rsidR="004A55B3" w:rsidRPr="00FE1270">
        <w:rPr>
          <w:rFonts w:cs="Arial"/>
          <w:noProof/>
          <w:szCs w:val="22"/>
        </w:rPr>
        <w:t xml:space="preserve">- </w:t>
      </w:r>
      <w:r w:rsidRPr="00FE1270">
        <w:rPr>
          <w:rFonts w:cs="Arial"/>
          <w:noProof/>
          <w:szCs w:val="22"/>
        </w:rPr>
        <w:t>prihodi od prodaje nefinancijske imovine (</w:t>
      </w:r>
      <w:r w:rsidR="006C0BB8" w:rsidRPr="00FE1270">
        <w:rPr>
          <w:rFonts w:cs="Arial"/>
          <w:noProof/>
          <w:szCs w:val="22"/>
        </w:rPr>
        <w:t>7</w:t>
      </w:r>
      <w:r w:rsidRPr="00FE1270">
        <w:rPr>
          <w:rFonts w:cs="Arial"/>
          <w:noProof/>
          <w:szCs w:val="22"/>
        </w:rPr>
        <w:t>)</w:t>
      </w:r>
    </w:p>
    <w:p w:rsidR="00D95C3F" w:rsidRPr="00FE1270" w:rsidRDefault="00566694" w:rsidP="00DC344A">
      <w:pPr>
        <w:pStyle w:val="Footer"/>
        <w:tabs>
          <w:tab w:val="clear" w:pos="4153"/>
          <w:tab w:val="clear" w:pos="8306"/>
        </w:tabs>
        <w:jc w:val="both"/>
        <w:rPr>
          <w:rFonts w:ascii="Arial" w:hAnsi="Arial" w:cs="Arial"/>
          <w:noProof/>
        </w:rPr>
      </w:pPr>
      <w:r w:rsidRPr="00FE1270">
        <w:rPr>
          <w:rFonts w:ascii="Arial" w:hAnsi="Arial" w:cs="Arial"/>
          <w:noProof/>
          <w:sz w:val="22"/>
          <w:szCs w:val="22"/>
        </w:rPr>
        <w:t xml:space="preserve">Prihodi od prodaje nefinancijske imovine ostvareni su u iznosu </w:t>
      </w:r>
      <w:r w:rsidR="00CB270F" w:rsidRPr="00FE1270">
        <w:rPr>
          <w:rFonts w:ascii="Arial" w:hAnsi="Arial" w:cs="Arial"/>
          <w:noProof/>
          <w:sz w:val="22"/>
          <w:szCs w:val="22"/>
        </w:rPr>
        <w:t>5.505.460,65</w:t>
      </w:r>
      <w:r w:rsidR="00CE72AD" w:rsidRPr="00FE1270">
        <w:rPr>
          <w:rFonts w:ascii="Arial" w:hAnsi="Arial" w:cs="Arial"/>
          <w:noProof/>
          <w:sz w:val="22"/>
          <w:szCs w:val="22"/>
        </w:rPr>
        <w:t xml:space="preserve"> eura</w:t>
      </w:r>
      <w:r w:rsidRPr="00FE1270">
        <w:rPr>
          <w:rFonts w:ascii="Arial" w:hAnsi="Arial" w:cs="Arial"/>
          <w:noProof/>
          <w:sz w:val="22"/>
          <w:szCs w:val="22"/>
        </w:rPr>
        <w:t xml:space="preserve">, od čega je </w:t>
      </w:r>
      <w:r w:rsidR="00CB270F" w:rsidRPr="00FE1270">
        <w:rPr>
          <w:rFonts w:ascii="Arial" w:hAnsi="Arial" w:cs="Arial"/>
          <w:noProof/>
          <w:sz w:val="22"/>
          <w:szCs w:val="22"/>
        </w:rPr>
        <w:t>5.490.679,81</w:t>
      </w:r>
      <w:r w:rsidR="00CE72AD" w:rsidRPr="00FE1270">
        <w:rPr>
          <w:rFonts w:ascii="Arial" w:hAnsi="Arial" w:cs="Arial"/>
          <w:noProof/>
          <w:sz w:val="22"/>
          <w:szCs w:val="22"/>
        </w:rPr>
        <w:t xml:space="preserve"> eura</w:t>
      </w:r>
      <w:r w:rsidR="00416876" w:rsidRPr="00FE1270">
        <w:rPr>
          <w:rFonts w:ascii="Arial" w:hAnsi="Arial" w:cs="Arial"/>
          <w:noProof/>
          <w:sz w:val="22"/>
          <w:szCs w:val="22"/>
        </w:rPr>
        <w:t xml:space="preserve"> ostvario Grad</w:t>
      </w:r>
      <w:r w:rsidRPr="00FE1270">
        <w:rPr>
          <w:rFonts w:ascii="Arial" w:hAnsi="Arial" w:cs="Arial"/>
          <w:noProof/>
          <w:sz w:val="22"/>
          <w:szCs w:val="22"/>
        </w:rPr>
        <w:t>, a</w:t>
      </w:r>
      <w:r w:rsidR="00D54D8A" w:rsidRPr="00FE1270">
        <w:rPr>
          <w:rFonts w:ascii="Arial" w:hAnsi="Arial" w:cs="Arial"/>
          <w:noProof/>
          <w:sz w:val="22"/>
          <w:szCs w:val="22"/>
        </w:rPr>
        <w:t xml:space="preserve"> </w:t>
      </w:r>
      <w:r w:rsidR="00B20AC1" w:rsidRPr="00FE1270">
        <w:rPr>
          <w:rFonts w:ascii="Arial" w:hAnsi="Arial" w:cs="Arial"/>
          <w:noProof/>
          <w:sz w:val="22"/>
          <w:szCs w:val="22"/>
        </w:rPr>
        <w:t xml:space="preserve">iznos </w:t>
      </w:r>
      <w:r w:rsidR="00291BDB" w:rsidRPr="00FE1270">
        <w:rPr>
          <w:rFonts w:ascii="Arial" w:hAnsi="Arial" w:cs="Arial"/>
          <w:noProof/>
          <w:sz w:val="22"/>
          <w:szCs w:val="22"/>
        </w:rPr>
        <w:t xml:space="preserve">prihoda u visini od </w:t>
      </w:r>
      <w:r w:rsidR="00A668CE" w:rsidRPr="00FE1270">
        <w:rPr>
          <w:rFonts w:ascii="Arial" w:hAnsi="Arial" w:cs="Arial"/>
          <w:noProof/>
          <w:sz w:val="22"/>
          <w:szCs w:val="22"/>
        </w:rPr>
        <w:t>14.780,84</w:t>
      </w:r>
      <w:r w:rsidR="00CE72AD" w:rsidRPr="00FE1270">
        <w:rPr>
          <w:rFonts w:ascii="Arial" w:hAnsi="Arial" w:cs="Arial"/>
          <w:noProof/>
          <w:sz w:val="22"/>
          <w:szCs w:val="22"/>
        </w:rPr>
        <w:t xml:space="preserve"> eura</w:t>
      </w:r>
      <w:r w:rsidR="00BB2C40">
        <w:rPr>
          <w:rFonts w:ascii="Arial" w:hAnsi="Arial" w:cs="Arial"/>
          <w:noProof/>
          <w:sz w:val="22"/>
          <w:szCs w:val="22"/>
        </w:rPr>
        <w:t xml:space="preserve"> ostvarili su </w:t>
      </w:r>
      <w:r w:rsidRPr="00FE1270">
        <w:rPr>
          <w:rFonts w:ascii="Arial" w:hAnsi="Arial" w:cs="Arial"/>
          <w:noProof/>
          <w:sz w:val="22"/>
          <w:szCs w:val="22"/>
        </w:rPr>
        <w:t>proračunski korisnici.</w:t>
      </w:r>
      <w:r w:rsidR="00EC216B" w:rsidRPr="00FE1270">
        <w:rPr>
          <w:rFonts w:ascii="Arial" w:hAnsi="Arial" w:cs="Arial"/>
          <w:noProof/>
          <w:sz w:val="22"/>
          <w:szCs w:val="22"/>
        </w:rPr>
        <w:t xml:space="preserve"> </w:t>
      </w:r>
      <w:r w:rsidR="00732781" w:rsidRPr="00FE1270">
        <w:rPr>
          <w:rFonts w:ascii="Arial" w:hAnsi="Arial" w:cs="Arial"/>
          <w:noProof/>
          <w:sz w:val="22"/>
          <w:szCs w:val="22"/>
        </w:rPr>
        <w:t>Ovi prihodi odnose se na ostvarene priho</w:t>
      </w:r>
      <w:r w:rsidR="00761A37" w:rsidRPr="00FE1270">
        <w:rPr>
          <w:rFonts w:ascii="Arial" w:hAnsi="Arial" w:cs="Arial"/>
          <w:noProof/>
          <w:sz w:val="22"/>
          <w:szCs w:val="22"/>
        </w:rPr>
        <w:t>de od prodaje zemljišta,</w:t>
      </w:r>
      <w:r w:rsidR="00732781" w:rsidRPr="00FE1270">
        <w:rPr>
          <w:rFonts w:ascii="Arial" w:hAnsi="Arial" w:cs="Arial"/>
          <w:noProof/>
          <w:sz w:val="22"/>
          <w:szCs w:val="22"/>
        </w:rPr>
        <w:t xml:space="preserve"> </w:t>
      </w:r>
      <w:r w:rsidR="00BB2C40">
        <w:rPr>
          <w:rFonts w:ascii="Arial" w:hAnsi="Arial" w:cs="Arial"/>
          <w:noProof/>
          <w:sz w:val="22"/>
          <w:szCs w:val="22"/>
        </w:rPr>
        <w:t xml:space="preserve">od </w:t>
      </w:r>
      <w:r w:rsidR="00732781" w:rsidRPr="00FE1270">
        <w:rPr>
          <w:rFonts w:ascii="Arial" w:hAnsi="Arial" w:cs="Arial"/>
          <w:noProof/>
          <w:sz w:val="22"/>
          <w:szCs w:val="22"/>
        </w:rPr>
        <w:t>prava građenja</w:t>
      </w:r>
      <w:r w:rsidR="0015608F" w:rsidRPr="00FE1270">
        <w:rPr>
          <w:rFonts w:ascii="Arial" w:hAnsi="Arial" w:cs="Arial"/>
          <w:noProof/>
          <w:sz w:val="22"/>
          <w:szCs w:val="22"/>
        </w:rPr>
        <w:t>,</w:t>
      </w:r>
      <w:r w:rsidR="00732781" w:rsidRPr="00FE1270">
        <w:rPr>
          <w:rFonts w:ascii="Arial" w:hAnsi="Arial" w:cs="Arial"/>
          <w:noProof/>
          <w:sz w:val="22"/>
          <w:szCs w:val="22"/>
        </w:rPr>
        <w:t xml:space="preserve"> </w:t>
      </w:r>
      <w:r w:rsidR="00BB2C40">
        <w:rPr>
          <w:rFonts w:ascii="Arial" w:hAnsi="Arial" w:cs="Arial"/>
          <w:noProof/>
          <w:sz w:val="22"/>
          <w:szCs w:val="22"/>
        </w:rPr>
        <w:t xml:space="preserve">od </w:t>
      </w:r>
      <w:r w:rsidR="00732781" w:rsidRPr="00FE1270">
        <w:rPr>
          <w:rFonts w:ascii="Arial" w:hAnsi="Arial" w:cs="Arial"/>
          <w:noProof/>
          <w:sz w:val="22"/>
          <w:szCs w:val="22"/>
        </w:rPr>
        <w:t>proda</w:t>
      </w:r>
      <w:r w:rsidR="00DC344A" w:rsidRPr="00FE1270">
        <w:rPr>
          <w:rFonts w:ascii="Arial" w:hAnsi="Arial" w:cs="Arial"/>
          <w:noProof/>
          <w:sz w:val="22"/>
          <w:szCs w:val="22"/>
        </w:rPr>
        <w:t>je stano</w:t>
      </w:r>
      <w:r w:rsidR="000C1AF8" w:rsidRPr="00FE1270">
        <w:rPr>
          <w:rFonts w:ascii="Arial" w:hAnsi="Arial" w:cs="Arial"/>
          <w:noProof/>
          <w:sz w:val="22"/>
          <w:szCs w:val="22"/>
        </w:rPr>
        <w:t>va</w:t>
      </w:r>
      <w:r w:rsidR="00455437" w:rsidRPr="00FE1270">
        <w:rPr>
          <w:rFonts w:ascii="Arial" w:hAnsi="Arial" w:cs="Arial"/>
          <w:noProof/>
          <w:sz w:val="22"/>
          <w:szCs w:val="22"/>
        </w:rPr>
        <w:t>,</w:t>
      </w:r>
      <w:r w:rsidR="00CE72AD" w:rsidRPr="00FE1270">
        <w:rPr>
          <w:rFonts w:ascii="Arial" w:hAnsi="Arial" w:cs="Arial"/>
          <w:noProof/>
          <w:sz w:val="22"/>
          <w:szCs w:val="22"/>
        </w:rPr>
        <w:t xml:space="preserve"> </w:t>
      </w:r>
      <w:r w:rsidR="00BB2C40">
        <w:rPr>
          <w:rFonts w:ascii="Arial" w:hAnsi="Arial" w:cs="Arial"/>
          <w:noProof/>
          <w:sz w:val="22"/>
          <w:szCs w:val="22"/>
        </w:rPr>
        <w:t xml:space="preserve">prodaje </w:t>
      </w:r>
      <w:r w:rsidR="00CE72AD" w:rsidRPr="00FE1270">
        <w:rPr>
          <w:rFonts w:ascii="Arial" w:hAnsi="Arial" w:cs="Arial"/>
          <w:noProof/>
          <w:sz w:val="22"/>
          <w:szCs w:val="22"/>
        </w:rPr>
        <w:t>poslovnih prostora</w:t>
      </w:r>
      <w:r w:rsidR="000C1AF8" w:rsidRPr="00FE1270">
        <w:rPr>
          <w:rFonts w:ascii="Arial" w:hAnsi="Arial" w:cs="Arial"/>
          <w:noProof/>
          <w:sz w:val="22"/>
          <w:szCs w:val="22"/>
        </w:rPr>
        <w:t>,</w:t>
      </w:r>
      <w:r w:rsidR="00455437" w:rsidRPr="00FE1270">
        <w:rPr>
          <w:rFonts w:ascii="Arial" w:hAnsi="Arial" w:cs="Arial"/>
          <w:noProof/>
          <w:sz w:val="22"/>
          <w:szCs w:val="22"/>
        </w:rPr>
        <w:t xml:space="preserve"> p</w:t>
      </w:r>
      <w:r w:rsidR="00B714B5" w:rsidRPr="00FE1270">
        <w:rPr>
          <w:rFonts w:ascii="Arial" w:hAnsi="Arial" w:cs="Arial"/>
          <w:noProof/>
          <w:sz w:val="22"/>
          <w:szCs w:val="22"/>
        </w:rPr>
        <w:t>rihod</w:t>
      </w:r>
      <w:r w:rsidR="000C1AF8" w:rsidRPr="00FE1270">
        <w:rPr>
          <w:rFonts w:ascii="Arial" w:hAnsi="Arial" w:cs="Arial"/>
          <w:noProof/>
          <w:sz w:val="22"/>
          <w:szCs w:val="22"/>
        </w:rPr>
        <w:t>e</w:t>
      </w:r>
      <w:r w:rsidR="00B714B5" w:rsidRPr="00FE1270">
        <w:rPr>
          <w:rFonts w:ascii="Arial" w:hAnsi="Arial" w:cs="Arial"/>
          <w:noProof/>
          <w:sz w:val="22"/>
          <w:szCs w:val="22"/>
        </w:rPr>
        <w:t xml:space="preserve"> od prodaje prijevoznih sredstava i</w:t>
      </w:r>
      <w:r w:rsidR="00CE72AD" w:rsidRPr="00FE1270">
        <w:rPr>
          <w:rFonts w:ascii="Arial" w:hAnsi="Arial" w:cs="Arial"/>
          <w:noProof/>
          <w:sz w:val="22"/>
          <w:szCs w:val="22"/>
        </w:rPr>
        <w:t xml:space="preserve"> </w:t>
      </w:r>
      <w:r w:rsidR="000C1AF8" w:rsidRPr="00FE1270">
        <w:rPr>
          <w:rFonts w:ascii="Arial" w:hAnsi="Arial" w:cs="Arial"/>
          <w:noProof/>
          <w:sz w:val="22"/>
          <w:szCs w:val="22"/>
        </w:rPr>
        <w:t>prihode</w:t>
      </w:r>
      <w:r w:rsidR="00761A37" w:rsidRPr="00FE1270">
        <w:rPr>
          <w:rFonts w:ascii="Arial" w:hAnsi="Arial" w:cs="Arial"/>
          <w:noProof/>
          <w:sz w:val="22"/>
          <w:szCs w:val="22"/>
        </w:rPr>
        <w:t xml:space="preserve"> od prodaje opreme</w:t>
      </w:r>
      <w:r w:rsidR="00CE72AD" w:rsidRPr="00FE1270">
        <w:rPr>
          <w:rFonts w:ascii="Arial" w:hAnsi="Arial" w:cs="Arial"/>
          <w:noProof/>
          <w:sz w:val="22"/>
          <w:szCs w:val="22"/>
        </w:rPr>
        <w:t xml:space="preserve">. </w:t>
      </w:r>
      <w:r w:rsidR="00EC216B" w:rsidRPr="00FE1270">
        <w:rPr>
          <w:rFonts w:ascii="Arial" w:hAnsi="Arial" w:cs="Arial"/>
          <w:noProof/>
          <w:sz w:val="22"/>
          <w:szCs w:val="22"/>
        </w:rPr>
        <w:t>Ost</w:t>
      </w:r>
      <w:r w:rsidR="00B01FC5" w:rsidRPr="00FE1270">
        <w:rPr>
          <w:rFonts w:ascii="Arial" w:hAnsi="Arial" w:cs="Arial"/>
          <w:noProof/>
          <w:sz w:val="22"/>
          <w:szCs w:val="22"/>
        </w:rPr>
        <w:t xml:space="preserve">varenje ovih </w:t>
      </w:r>
      <w:r w:rsidR="00CA2A5D" w:rsidRPr="00FE1270">
        <w:rPr>
          <w:rFonts w:ascii="Arial" w:hAnsi="Arial" w:cs="Arial"/>
          <w:noProof/>
          <w:sz w:val="22"/>
          <w:szCs w:val="22"/>
        </w:rPr>
        <w:t>prihoda</w:t>
      </w:r>
      <w:r w:rsidR="00B01FC5" w:rsidRPr="00FE1270">
        <w:rPr>
          <w:rFonts w:ascii="Arial" w:hAnsi="Arial" w:cs="Arial"/>
          <w:noProof/>
          <w:sz w:val="22"/>
          <w:szCs w:val="22"/>
        </w:rPr>
        <w:t xml:space="preserve"> je</w:t>
      </w:r>
      <w:r w:rsidR="00CA2A5D" w:rsidRPr="00FE1270">
        <w:rPr>
          <w:rFonts w:ascii="Arial" w:hAnsi="Arial" w:cs="Arial"/>
          <w:noProof/>
          <w:sz w:val="22"/>
          <w:szCs w:val="22"/>
        </w:rPr>
        <w:t xml:space="preserve"> </w:t>
      </w:r>
      <w:r w:rsidR="00B714B5" w:rsidRPr="00FE1270">
        <w:rPr>
          <w:rFonts w:ascii="Arial" w:hAnsi="Arial" w:cs="Arial"/>
          <w:noProof/>
          <w:sz w:val="22"/>
          <w:szCs w:val="22"/>
        </w:rPr>
        <w:t>46,6</w:t>
      </w:r>
      <w:r w:rsidR="004B25DD" w:rsidRPr="00FE1270">
        <w:rPr>
          <w:rFonts w:ascii="Arial" w:hAnsi="Arial" w:cs="Arial"/>
          <w:noProof/>
          <w:sz w:val="22"/>
          <w:szCs w:val="22"/>
        </w:rPr>
        <w:t>%</w:t>
      </w:r>
      <w:r w:rsidR="00061494" w:rsidRPr="00FE1270">
        <w:rPr>
          <w:rFonts w:ascii="Arial" w:hAnsi="Arial" w:cs="Arial"/>
          <w:noProof/>
          <w:sz w:val="22"/>
          <w:szCs w:val="22"/>
        </w:rPr>
        <w:t xml:space="preserve"> ili</w:t>
      </w:r>
      <w:r w:rsidR="009F71BD" w:rsidRPr="00FE1270">
        <w:rPr>
          <w:rFonts w:ascii="Arial" w:hAnsi="Arial" w:cs="Arial"/>
          <w:noProof/>
          <w:sz w:val="22"/>
          <w:szCs w:val="22"/>
        </w:rPr>
        <w:t xml:space="preserve"> </w:t>
      </w:r>
      <w:r w:rsidR="00B714B5" w:rsidRPr="00FE1270">
        <w:rPr>
          <w:rFonts w:ascii="Arial" w:hAnsi="Arial" w:cs="Arial"/>
          <w:noProof/>
          <w:sz w:val="22"/>
          <w:szCs w:val="22"/>
        </w:rPr>
        <w:t>4.794.939,27</w:t>
      </w:r>
      <w:r w:rsidR="00B55499" w:rsidRPr="00FE1270">
        <w:rPr>
          <w:rFonts w:ascii="Arial" w:hAnsi="Arial" w:cs="Arial"/>
          <w:noProof/>
          <w:sz w:val="22"/>
          <w:szCs w:val="22"/>
        </w:rPr>
        <w:t xml:space="preserve"> eura</w:t>
      </w:r>
      <w:r w:rsidR="00061494" w:rsidRPr="00FE1270">
        <w:rPr>
          <w:rFonts w:ascii="Arial" w:hAnsi="Arial" w:cs="Arial"/>
          <w:noProof/>
          <w:sz w:val="22"/>
          <w:szCs w:val="22"/>
        </w:rPr>
        <w:t xml:space="preserve"> manje</w:t>
      </w:r>
      <w:r w:rsidR="009F71BD" w:rsidRPr="00FE1270">
        <w:rPr>
          <w:rFonts w:ascii="Arial" w:hAnsi="Arial" w:cs="Arial"/>
          <w:noProof/>
          <w:sz w:val="22"/>
          <w:szCs w:val="22"/>
        </w:rPr>
        <w:t xml:space="preserve"> </w:t>
      </w:r>
      <w:r w:rsidR="00F27940" w:rsidRPr="00FE1270">
        <w:rPr>
          <w:rFonts w:ascii="Arial" w:hAnsi="Arial" w:cs="Arial"/>
          <w:noProof/>
          <w:sz w:val="22"/>
          <w:szCs w:val="22"/>
        </w:rPr>
        <w:t>u odnosu na prethodnu</w:t>
      </w:r>
      <w:r w:rsidR="004B25DD" w:rsidRPr="00FE1270">
        <w:rPr>
          <w:rFonts w:ascii="Arial" w:hAnsi="Arial" w:cs="Arial"/>
          <w:noProof/>
          <w:sz w:val="22"/>
          <w:szCs w:val="22"/>
        </w:rPr>
        <w:t xml:space="preserve"> godinu</w:t>
      </w:r>
      <w:r w:rsidR="00732781" w:rsidRPr="00FE1270">
        <w:rPr>
          <w:rFonts w:ascii="Arial" w:hAnsi="Arial" w:cs="Arial"/>
          <w:noProof/>
          <w:sz w:val="22"/>
          <w:szCs w:val="22"/>
        </w:rPr>
        <w:t>.</w:t>
      </w:r>
      <w:r w:rsidR="00D95C3F" w:rsidRPr="00FE1270">
        <w:rPr>
          <w:rFonts w:ascii="Arial" w:hAnsi="Arial" w:cs="Arial"/>
          <w:noProof/>
        </w:rPr>
        <w:t xml:space="preserve"> </w:t>
      </w:r>
    </w:p>
    <w:p w:rsidR="00884863" w:rsidRPr="00FE1270" w:rsidRDefault="00F55AA1" w:rsidP="00884863">
      <w:pPr>
        <w:pStyle w:val="Footer"/>
        <w:jc w:val="both"/>
        <w:rPr>
          <w:rFonts w:ascii="Arial" w:hAnsi="Arial" w:cs="Arial"/>
          <w:sz w:val="22"/>
          <w:szCs w:val="22"/>
        </w:rPr>
      </w:pPr>
      <w:r w:rsidRPr="00FE1270">
        <w:rPr>
          <w:rFonts w:ascii="Arial" w:hAnsi="Arial" w:cs="Arial"/>
          <w:noProof/>
          <w:sz w:val="22"/>
          <w:szCs w:val="22"/>
        </w:rPr>
        <w:t xml:space="preserve">Najveće </w:t>
      </w:r>
      <w:r w:rsidR="00B714B5" w:rsidRPr="00FE1270">
        <w:rPr>
          <w:rFonts w:ascii="Arial" w:hAnsi="Arial" w:cs="Arial"/>
          <w:noProof/>
          <w:sz w:val="22"/>
          <w:szCs w:val="22"/>
        </w:rPr>
        <w:t xml:space="preserve">smanjenje se bilježi kod </w:t>
      </w:r>
      <w:r w:rsidRPr="00FE1270">
        <w:rPr>
          <w:rFonts w:ascii="Arial" w:hAnsi="Arial" w:cs="Arial"/>
          <w:noProof/>
          <w:sz w:val="22"/>
          <w:szCs w:val="22"/>
        </w:rPr>
        <w:t xml:space="preserve">prihoda od prodaje </w:t>
      </w:r>
      <w:r w:rsidR="00B55499" w:rsidRPr="00FE1270">
        <w:rPr>
          <w:rFonts w:ascii="Arial" w:hAnsi="Arial" w:cs="Arial"/>
          <w:noProof/>
          <w:sz w:val="22"/>
          <w:szCs w:val="22"/>
        </w:rPr>
        <w:t>stambenih objekata (72</w:t>
      </w:r>
      <w:r w:rsidRPr="00FE1270">
        <w:rPr>
          <w:rFonts w:ascii="Arial" w:hAnsi="Arial" w:cs="Arial"/>
          <w:noProof/>
          <w:sz w:val="22"/>
          <w:szCs w:val="22"/>
        </w:rPr>
        <w:t xml:space="preserve">11) i to </w:t>
      </w:r>
      <w:r w:rsidR="00455437" w:rsidRPr="00FE1270">
        <w:rPr>
          <w:rFonts w:ascii="Arial" w:hAnsi="Arial" w:cs="Arial"/>
          <w:noProof/>
          <w:sz w:val="22"/>
          <w:szCs w:val="22"/>
        </w:rPr>
        <w:t>78,4</w:t>
      </w:r>
      <w:r w:rsidR="00E464FF" w:rsidRPr="00FE1270">
        <w:rPr>
          <w:rFonts w:ascii="Arial" w:hAnsi="Arial" w:cs="Arial"/>
          <w:noProof/>
          <w:sz w:val="22"/>
          <w:szCs w:val="22"/>
        </w:rPr>
        <w:t>% u odnosu na prethodnu godinu</w:t>
      </w:r>
      <w:r w:rsidR="00884863" w:rsidRPr="00FE1270">
        <w:rPr>
          <w:rFonts w:ascii="Arial" w:hAnsi="Arial" w:cs="Arial"/>
          <w:noProof/>
          <w:sz w:val="22"/>
          <w:szCs w:val="22"/>
        </w:rPr>
        <w:t xml:space="preserve">. </w:t>
      </w:r>
      <w:r w:rsidR="00BB2C40">
        <w:rPr>
          <w:rFonts w:ascii="Arial" w:hAnsi="Arial" w:cs="Arial"/>
          <w:noProof/>
          <w:sz w:val="22"/>
          <w:szCs w:val="22"/>
        </w:rPr>
        <w:t>N</w:t>
      </w:r>
      <w:r w:rsidR="0025425F" w:rsidRPr="00FE1270">
        <w:rPr>
          <w:rFonts w:ascii="Arial" w:hAnsi="Arial" w:cs="Arial"/>
          <w:noProof/>
          <w:sz w:val="22"/>
          <w:szCs w:val="22"/>
        </w:rPr>
        <w:t xml:space="preserve">avedeno smanjenje </w:t>
      </w:r>
      <w:r w:rsidR="00BB2C40">
        <w:rPr>
          <w:rFonts w:ascii="Arial" w:hAnsi="Arial" w:cs="Arial"/>
          <w:noProof/>
          <w:sz w:val="22"/>
          <w:szCs w:val="22"/>
        </w:rPr>
        <w:t xml:space="preserve">nastaje iz razloga što je </w:t>
      </w:r>
      <w:r w:rsidR="00884863" w:rsidRPr="00FE1270">
        <w:rPr>
          <w:rFonts w:ascii="Arial" w:hAnsi="Arial" w:cs="Arial"/>
          <w:noProof/>
          <w:sz w:val="22"/>
          <w:szCs w:val="22"/>
        </w:rPr>
        <w:t xml:space="preserve">proračunski korisnik APOS u </w:t>
      </w:r>
      <w:r w:rsidR="0025425F" w:rsidRPr="00FE1270">
        <w:rPr>
          <w:rFonts w:ascii="Arial" w:hAnsi="Arial" w:cs="Arial"/>
          <w:noProof/>
          <w:sz w:val="22"/>
          <w:szCs w:val="22"/>
        </w:rPr>
        <w:t xml:space="preserve">prethodnoj </w:t>
      </w:r>
      <w:r w:rsidR="00884863" w:rsidRPr="00FE1270">
        <w:rPr>
          <w:rFonts w:ascii="Arial" w:hAnsi="Arial" w:cs="Arial"/>
          <w:noProof/>
          <w:sz w:val="22"/>
          <w:szCs w:val="22"/>
        </w:rPr>
        <w:lastRenderedPageBreak/>
        <w:t xml:space="preserve">2023. godini ostvario prihod od prodaje </w:t>
      </w:r>
      <w:r w:rsidR="00884863" w:rsidRPr="00FE1270">
        <w:rPr>
          <w:rFonts w:ascii="Arial" w:hAnsi="Arial" w:cs="Arial"/>
          <w:sz w:val="22"/>
          <w:szCs w:val="22"/>
        </w:rPr>
        <w:t>stanova po programu društveno poticane stanogradnje na Martinkovcu u iznosu od 5.825.835,34 eura</w:t>
      </w:r>
      <w:r w:rsidR="002A7FAE" w:rsidRPr="00FE1270">
        <w:rPr>
          <w:rFonts w:ascii="Arial" w:hAnsi="Arial" w:cs="Arial"/>
          <w:sz w:val="22"/>
          <w:szCs w:val="22"/>
        </w:rPr>
        <w:t>.</w:t>
      </w:r>
    </w:p>
    <w:p w:rsidR="00D01D43" w:rsidRPr="003E5ED2" w:rsidRDefault="00B714B5" w:rsidP="00D01D43">
      <w:pPr>
        <w:jc w:val="both"/>
        <w:rPr>
          <w:rFonts w:ascii="Arial" w:hAnsi="Arial" w:cs="Arial"/>
          <w:sz w:val="22"/>
          <w:szCs w:val="22"/>
        </w:rPr>
      </w:pPr>
      <w:r w:rsidRPr="00D01D43">
        <w:rPr>
          <w:rFonts w:ascii="Arial" w:hAnsi="Arial" w:cs="Arial"/>
          <w:noProof/>
          <w:sz w:val="22"/>
          <w:szCs w:val="22"/>
        </w:rPr>
        <w:t>Prihodi od prodaje zemljišta</w:t>
      </w:r>
      <w:r w:rsidR="00A668CE" w:rsidRPr="00D01D43">
        <w:rPr>
          <w:rFonts w:ascii="Arial" w:hAnsi="Arial" w:cs="Arial"/>
          <w:noProof/>
          <w:sz w:val="22"/>
          <w:szCs w:val="22"/>
        </w:rPr>
        <w:t xml:space="preserve"> u Gradu</w:t>
      </w:r>
      <w:r w:rsidRPr="00D01D43">
        <w:rPr>
          <w:rFonts w:ascii="Arial" w:hAnsi="Arial" w:cs="Arial"/>
          <w:noProof/>
          <w:sz w:val="22"/>
          <w:szCs w:val="22"/>
        </w:rPr>
        <w:t xml:space="preserve"> bilježe rast od 32,5%.</w:t>
      </w:r>
      <w:r w:rsidRPr="00FE1270">
        <w:rPr>
          <w:rFonts w:ascii="Arial" w:hAnsi="Arial" w:cs="Arial"/>
          <w:noProof/>
          <w:sz w:val="22"/>
          <w:szCs w:val="22"/>
        </w:rPr>
        <w:t xml:space="preserve"> </w:t>
      </w:r>
      <w:r w:rsidR="00D01D43" w:rsidRPr="003E5ED2">
        <w:rPr>
          <w:rFonts w:ascii="Arial" w:hAnsi="Arial" w:cs="Arial"/>
          <w:sz w:val="22"/>
          <w:szCs w:val="22"/>
        </w:rPr>
        <w:t xml:space="preserve">Najznačajniji prihodi u ovoj podskupini ostvareni su po osnovi prodaje građevinskog zemljišta radi izgradnje Kompleksa Žabica s ostvarenim prihodom od  1.830.979,49 eura u ovoj izvještajnoj godini. </w:t>
      </w:r>
    </w:p>
    <w:p w:rsidR="00281175" w:rsidRPr="00FE1270" w:rsidRDefault="00281175" w:rsidP="00EA526D">
      <w:pPr>
        <w:pStyle w:val="Footer"/>
        <w:tabs>
          <w:tab w:val="clear" w:pos="4153"/>
          <w:tab w:val="clear" w:pos="8306"/>
        </w:tabs>
        <w:jc w:val="both"/>
        <w:rPr>
          <w:rFonts w:ascii="Arial" w:hAnsi="Arial" w:cs="Arial"/>
          <w:noProof/>
          <w:sz w:val="22"/>
          <w:szCs w:val="22"/>
        </w:rPr>
      </w:pPr>
    </w:p>
    <w:p w:rsidR="00566694" w:rsidRPr="00FE1270" w:rsidRDefault="00566694">
      <w:pPr>
        <w:pStyle w:val="Heading4"/>
        <w:rPr>
          <w:rFonts w:cs="Arial"/>
          <w:noProof/>
          <w:szCs w:val="22"/>
        </w:rPr>
      </w:pPr>
      <w:r w:rsidRPr="00FE1270">
        <w:rPr>
          <w:rFonts w:cs="Arial"/>
          <w:noProof/>
          <w:szCs w:val="22"/>
        </w:rPr>
        <w:t xml:space="preserve">Bilješka broj </w:t>
      </w:r>
      <w:r w:rsidR="00EA1772" w:rsidRPr="00FE1270">
        <w:rPr>
          <w:rFonts w:cs="Arial"/>
          <w:noProof/>
          <w:szCs w:val="22"/>
        </w:rPr>
        <w:t>9</w:t>
      </w:r>
      <w:r w:rsidRPr="00FE1270">
        <w:rPr>
          <w:rFonts w:cs="Arial"/>
          <w:noProof/>
          <w:szCs w:val="22"/>
        </w:rPr>
        <w:t xml:space="preserve"> </w:t>
      </w:r>
      <w:r w:rsidR="004A55B3" w:rsidRPr="00FE1270">
        <w:rPr>
          <w:rFonts w:cs="Arial"/>
          <w:noProof/>
          <w:szCs w:val="22"/>
        </w:rPr>
        <w:t xml:space="preserve">- </w:t>
      </w:r>
      <w:r w:rsidRPr="00FE1270">
        <w:rPr>
          <w:rFonts w:cs="Arial"/>
          <w:noProof/>
          <w:szCs w:val="22"/>
        </w:rPr>
        <w:t>rashodi za nabavu nefinancijske imovine (</w:t>
      </w:r>
      <w:r w:rsidR="006C0BB8" w:rsidRPr="00FE1270">
        <w:rPr>
          <w:rFonts w:cs="Arial"/>
          <w:noProof/>
          <w:szCs w:val="22"/>
        </w:rPr>
        <w:t>4</w:t>
      </w:r>
      <w:r w:rsidRPr="00FE1270">
        <w:rPr>
          <w:rFonts w:cs="Arial"/>
          <w:noProof/>
          <w:szCs w:val="22"/>
        </w:rPr>
        <w:t>)</w:t>
      </w:r>
      <w:r w:rsidR="002A77F3" w:rsidRPr="00FE1270">
        <w:rPr>
          <w:rFonts w:cs="Arial"/>
          <w:noProof/>
          <w:szCs w:val="22"/>
        </w:rPr>
        <w:t xml:space="preserve"> </w:t>
      </w:r>
    </w:p>
    <w:p w:rsidR="00514983" w:rsidRPr="00FE1270" w:rsidRDefault="00566694">
      <w:pPr>
        <w:pStyle w:val="Footer"/>
        <w:tabs>
          <w:tab w:val="clear" w:pos="4153"/>
          <w:tab w:val="clear" w:pos="8306"/>
        </w:tabs>
        <w:jc w:val="both"/>
        <w:rPr>
          <w:rFonts w:ascii="Arial" w:hAnsi="Arial" w:cs="Arial"/>
          <w:noProof/>
          <w:sz w:val="22"/>
          <w:szCs w:val="22"/>
        </w:rPr>
      </w:pPr>
      <w:r w:rsidRPr="00FE1270">
        <w:rPr>
          <w:rFonts w:ascii="Arial" w:hAnsi="Arial" w:cs="Arial"/>
          <w:noProof/>
          <w:sz w:val="22"/>
          <w:szCs w:val="22"/>
        </w:rPr>
        <w:t xml:space="preserve">Rashodi za nabavu nefinancijske imovine ostvareni su u iznosu </w:t>
      </w:r>
      <w:r w:rsidR="00B714B5" w:rsidRPr="00FE1270">
        <w:rPr>
          <w:rFonts w:ascii="Arial" w:hAnsi="Arial" w:cs="Arial"/>
          <w:noProof/>
          <w:sz w:val="22"/>
          <w:szCs w:val="22"/>
        </w:rPr>
        <w:t>15.846.452,73</w:t>
      </w:r>
      <w:r w:rsidR="00F43339" w:rsidRPr="00FE1270">
        <w:rPr>
          <w:rFonts w:ascii="Arial" w:hAnsi="Arial" w:cs="Arial"/>
          <w:noProof/>
          <w:sz w:val="22"/>
          <w:szCs w:val="22"/>
        </w:rPr>
        <w:t xml:space="preserve"> eura</w:t>
      </w:r>
      <w:r w:rsidR="00DC5D9A" w:rsidRPr="00FE1270">
        <w:rPr>
          <w:rFonts w:ascii="Arial" w:hAnsi="Arial" w:cs="Arial"/>
          <w:noProof/>
          <w:sz w:val="22"/>
          <w:szCs w:val="22"/>
        </w:rPr>
        <w:t xml:space="preserve"> i bilježe </w:t>
      </w:r>
      <w:r w:rsidR="00B714B5" w:rsidRPr="00FE1270">
        <w:rPr>
          <w:rFonts w:ascii="Arial" w:hAnsi="Arial" w:cs="Arial"/>
          <w:noProof/>
          <w:sz w:val="22"/>
          <w:szCs w:val="22"/>
        </w:rPr>
        <w:t xml:space="preserve">pad </w:t>
      </w:r>
      <w:r w:rsidR="008F6A3F" w:rsidRPr="00FE1270">
        <w:rPr>
          <w:rFonts w:ascii="Arial" w:hAnsi="Arial" w:cs="Arial"/>
          <w:noProof/>
          <w:sz w:val="22"/>
          <w:szCs w:val="22"/>
        </w:rPr>
        <w:t xml:space="preserve">od </w:t>
      </w:r>
      <w:r w:rsidR="00B714B5" w:rsidRPr="00FE1270">
        <w:rPr>
          <w:rFonts w:ascii="Arial" w:hAnsi="Arial" w:cs="Arial"/>
          <w:noProof/>
          <w:sz w:val="22"/>
          <w:szCs w:val="22"/>
        </w:rPr>
        <w:t>32,3</w:t>
      </w:r>
      <w:r w:rsidR="008F6A3F" w:rsidRPr="00FE1270">
        <w:rPr>
          <w:rFonts w:ascii="Arial" w:hAnsi="Arial" w:cs="Arial"/>
          <w:noProof/>
          <w:sz w:val="22"/>
          <w:szCs w:val="22"/>
        </w:rPr>
        <w:t>%</w:t>
      </w:r>
      <w:r w:rsidR="00DC1E04" w:rsidRPr="00FE1270">
        <w:rPr>
          <w:rFonts w:ascii="Arial" w:hAnsi="Arial" w:cs="Arial"/>
          <w:noProof/>
          <w:sz w:val="22"/>
          <w:szCs w:val="22"/>
        </w:rPr>
        <w:t xml:space="preserve">. </w:t>
      </w:r>
    </w:p>
    <w:p w:rsidR="004A422E" w:rsidRPr="00FE1270" w:rsidRDefault="00566694">
      <w:pPr>
        <w:pStyle w:val="Footer"/>
        <w:tabs>
          <w:tab w:val="clear" w:pos="4153"/>
          <w:tab w:val="clear" w:pos="8306"/>
        </w:tabs>
        <w:jc w:val="both"/>
        <w:rPr>
          <w:rFonts w:ascii="Arial" w:hAnsi="Arial" w:cs="Arial"/>
          <w:noProof/>
          <w:sz w:val="22"/>
          <w:szCs w:val="22"/>
        </w:rPr>
      </w:pPr>
      <w:r w:rsidRPr="00FE1270">
        <w:rPr>
          <w:rFonts w:ascii="Arial" w:hAnsi="Arial" w:cs="Arial"/>
          <w:noProof/>
          <w:sz w:val="22"/>
          <w:szCs w:val="22"/>
        </w:rPr>
        <w:t xml:space="preserve">Grad </w:t>
      </w:r>
      <w:r w:rsidR="00882D04" w:rsidRPr="00FE1270">
        <w:rPr>
          <w:rFonts w:ascii="Arial" w:hAnsi="Arial" w:cs="Arial"/>
          <w:noProof/>
          <w:sz w:val="22"/>
          <w:szCs w:val="22"/>
        </w:rPr>
        <w:t>je</w:t>
      </w:r>
      <w:r w:rsidRPr="00FE1270">
        <w:rPr>
          <w:rFonts w:ascii="Arial" w:hAnsi="Arial" w:cs="Arial"/>
          <w:noProof/>
          <w:sz w:val="22"/>
          <w:szCs w:val="22"/>
        </w:rPr>
        <w:t xml:space="preserve"> </w:t>
      </w:r>
      <w:r w:rsidR="00825FCA" w:rsidRPr="00FE1270">
        <w:rPr>
          <w:rFonts w:ascii="Arial" w:hAnsi="Arial" w:cs="Arial"/>
          <w:noProof/>
          <w:sz w:val="22"/>
          <w:szCs w:val="22"/>
        </w:rPr>
        <w:t xml:space="preserve">utrošio </w:t>
      </w:r>
      <w:r w:rsidR="00CE6C2B" w:rsidRPr="00FE1270">
        <w:rPr>
          <w:rFonts w:ascii="Arial" w:hAnsi="Arial" w:cs="Arial"/>
          <w:noProof/>
          <w:sz w:val="22"/>
          <w:szCs w:val="22"/>
        </w:rPr>
        <w:t>14.146.955,49</w:t>
      </w:r>
      <w:r w:rsidR="00F43339" w:rsidRPr="00FE1270">
        <w:rPr>
          <w:rFonts w:ascii="Arial" w:hAnsi="Arial" w:cs="Arial"/>
          <w:noProof/>
          <w:sz w:val="22"/>
          <w:szCs w:val="22"/>
        </w:rPr>
        <w:t xml:space="preserve"> eur</w:t>
      </w:r>
      <w:r w:rsidR="00E8338A" w:rsidRPr="00FE1270">
        <w:rPr>
          <w:rFonts w:ascii="Arial" w:hAnsi="Arial" w:cs="Arial"/>
          <w:noProof/>
          <w:sz w:val="22"/>
          <w:szCs w:val="22"/>
        </w:rPr>
        <w:t>a</w:t>
      </w:r>
      <w:r w:rsidR="00882D04" w:rsidRPr="00FE1270">
        <w:rPr>
          <w:rFonts w:ascii="Arial" w:hAnsi="Arial" w:cs="Arial"/>
          <w:noProof/>
          <w:sz w:val="22"/>
          <w:szCs w:val="22"/>
        </w:rPr>
        <w:t xml:space="preserve"> za nabavu nefinancijske imovine</w:t>
      </w:r>
      <w:r w:rsidR="0084698B">
        <w:rPr>
          <w:rFonts w:ascii="Arial" w:hAnsi="Arial" w:cs="Arial"/>
          <w:noProof/>
          <w:sz w:val="22"/>
          <w:szCs w:val="22"/>
        </w:rPr>
        <w:t xml:space="preserve"> dok su p</w:t>
      </w:r>
      <w:r w:rsidRPr="0084698B">
        <w:rPr>
          <w:rFonts w:ascii="Arial" w:hAnsi="Arial" w:cs="Arial"/>
          <w:noProof/>
          <w:sz w:val="22"/>
          <w:szCs w:val="22"/>
        </w:rPr>
        <w:t>roračunski korisnici</w:t>
      </w:r>
      <w:r w:rsidRPr="00FE1270">
        <w:rPr>
          <w:rFonts w:ascii="Arial" w:hAnsi="Arial" w:cs="Arial"/>
          <w:noProof/>
          <w:sz w:val="22"/>
          <w:szCs w:val="22"/>
        </w:rPr>
        <w:t xml:space="preserve"> </w:t>
      </w:r>
      <w:r w:rsidR="00C97256" w:rsidRPr="00FE1270">
        <w:rPr>
          <w:rFonts w:ascii="Arial" w:hAnsi="Arial" w:cs="Arial"/>
          <w:noProof/>
          <w:sz w:val="22"/>
          <w:szCs w:val="22"/>
        </w:rPr>
        <w:t>utrošili</w:t>
      </w:r>
      <w:r w:rsidR="00F2656E" w:rsidRPr="00FE1270">
        <w:rPr>
          <w:rFonts w:ascii="Arial" w:hAnsi="Arial" w:cs="Arial"/>
          <w:noProof/>
          <w:sz w:val="22"/>
          <w:szCs w:val="22"/>
        </w:rPr>
        <w:t xml:space="preserve"> </w:t>
      </w:r>
      <w:r w:rsidR="0084698B">
        <w:rPr>
          <w:rFonts w:ascii="Arial" w:hAnsi="Arial" w:cs="Arial"/>
          <w:noProof/>
          <w:sz w:val="22"/>
          <w:szCs w:val="22"/>
        </w:rPr>
        <w:t xml:space="preserve">sveukupno </w:t>
      </w:r>
      <w:r w:rsidR="00CE6C2B" w:rsidRPr="00FE1270">
        <w:rPr>
          <w:rFonts w:ascii="Arial" w:hAnsi="Arial" w:cs="Arial"/>
          <w:noProof/>
          <w:sz w:val="22"/>
          <w:szCs w:val="22"/>
        </w:rPr>
        <w:t>1.699.497,24</w:t>
      </w:r>
      <w:r w:rsidR="00F43339" w:rsidRPr="00FE1270">
        <w:rPr>
          <w:rFonts w:ascii="Arial" w:hAnsi="Arial" w:cs="Arial"/>
          <w:noProof/>
          <w:sz w:val="22"/>
          <w:szCs w:val="22"/>
        </w:rPr>
        <w:t xml:space="preserve"> eura</w:t>
      </w:r>
      <w:r w:rsidR="00825FCA" w:rsidRPr="00FE1270">
        <w:rPr>
          <w:rFonts w:ascii="Arial" w:hAnsi="Arial" w:cs="Arial"/>
          <w:noProof/>
          <w:sz w:val="22"/>
          <w:szCs w:val="22"/>
        </w:rPr>
        <w:t xml:space="preserve"> </w:t>
      </w:r>
      <w:r w:rsidR="00134511" w:rsidRPr="00FE1270">
        <w:rPr>
          <w:rFonts w:ascii="Arial" w:hAnsi="Arial" w:cs="Arial"/>
          <w:noProof/>
          <w:sz w:val="22"/>
          <w:szCs w:val="22"/>
        </w:rPr>
        <w:t>za</w:t>
      </w:r>
      <w:r w:rsidR="00825FCA" w:rsidRPr="00FE1270">
        <w:rPr>
          <w:rFonts w:ascii="Arial" w:hAnsi="Arial" w:cs="Arial"/>
          <w:noProof/>
          <w:sz w:val="22"/>
          <w:szCs w:val="22"/>
        </w:rPr>
        <w:t xml:space="preserve"> nabavu nefinancijske imovine</w:t>
      </w:r>
      <w:r w:rsidRPr="00FE1270">
        <w:rPr>
          <w:rFonts w:ascii="Arial" w:hAnsi="Arial" w:cs="Arial"/>
          <w:noProof/>
          <w:sz w:val="22"/>
          <w:szCs w:val="22"/>
        </w:rPr>
        <w:t>.</w:t>
      </w:r>
    </w:p>
    <w:p w:rsidR="00C3493F" w:rsidRPr="00FE1270" w:rsidRDefault="00E8338A" w:rsidP="00F2656E">
      <w:pPr>
        <w:pStyle w:val="Footer"/>
        <w:tabs>
          <w:tab w:val="clear" w:pos="4153"/>
          <w:tab w:val="clear" w:pos="8306"/>
        </w:tabs>
        <w:jc w:val="both"/>
        <w:rPr>
          <w:rFonts w:ascii="Arial" w:hAnsi="Arial" w:cs="Arial"/>
          <w:noProof/>
          <w:sz w:val="22"/>
          <w:szCs w:val="22"/>
        </w:rPr>
      </w:pPr>
      <w:r w:rsidRPr="00FE1270">
        <w:rPr>
          <w:rFonts w:ascii="Arial" w:hAnsi="Arial" w:cs="Arial"/>
          <w:noProof/>
          <w:sz w:val="22"/>
          <w:szCs w:val="22"/>
        </w:rPr>
        <w:t>K</w:t>
      </w:r>
      <w:r w:rsidR="00F2656E" w:rsidRPr="00FE1270">
        <w:rPr>
          <w:rFonts w:ascii="Arial" w:hAnsi="Arial" w:cs="Arial"/>
          <w:noProof/>
          <w:sz w:val="22"/>
          <w:szCs w:val="22"/>
        </w:rPr>
        <w:t xml:space="preserve">orisnici su najviše ulagali u </w:t>
      </w:r>
      <w:r w:rsidR="00B25939" w:rsidRPr="00FE1270">
        <w:rPr>
          <w:rFonts w:ascii="Arial" w:hAnsi="Arial" w:cs="Arial"/>
          <w:noProof/>
          <w:sz w:val="22"/>
          <w:szCs w:val="22"/>
        </w:rPr>
        <w:t>proizve</w:t>
      </w:r>
      <w:r w:rsidR="00AE603E" w:rsidRPr="00FE1270">
        <w:rPr>
          <w:rFonts w:ascii="Arial" w:hAnsi="Arial" w:cs="Arial"/>
          <w:noProof/>
          <w:sz w:val="22"/>
          <w:szCs w:val="22"/>
        </w:rPr>
        <w:t>den</w:t>
      </w:r>
      <w:r w:rsidR="00811D7E" w:rsidRPr="00FE1270">
        <w:rPr>
          <w:rFonts w:ascii="Arial" w:hAnsi="Arial" w:cs="Arial"/>
          <w:noProof/>
          <w:sz w:val="22"/>
          <w:szCs w:val="22"/>
        </w:rPr>
        <w:t>u</w:t>
      </w:r>
      <w:r w:rsidR="00AE603E" w:rsidRPr="00FE1270">
        <w:rPr>
          <w:rFonts w:ascii="Arial" w:hAnsi="Arial" w:cs="Arial"/>
          <w:noProof/>
          <w:sz w:val="22"/>
          <w:szCs w:val="22"/>
        </w:rPr>
        <w:t xml:space="preserve"> dugotrajn</w:t>
      </w:r>
      <w:r w:rsidR="00811D7E" w:rsidRPr="00FE1270">
        <w:rPr>
          <w:rFonts w:ascii="Arial" w:hAnsi="Arial" w:cs="Arial"/>
          <w:noProof/>
          <w:sz w:val="22"/>
          <w:szCs w:val="22"/>
        </w:rPr>
        <w:t>u</w:t>
      </w:r>
      <w:r w:rsidR="00AE603E" w:rsidRPr="00FE1270">
        <w:rPr>
          <w:rFonts w:ascii="Arial" w:hAnsi="Arial" w:cs="Arial"/>
          <w:noProof/>
          <w:sz w:val="22"/>
          <w:szCs w:val="22"/>
        </w:rPr>
        <w:t xml:space="preserve"> imovin</w:t>
      </w:r>
      <w:r w:rsidR="00811D7E" w:rsidRPr="00FE1270">
        <w:rPr>
          <w:rFonts w:ascii="Arial" w:hAnsi="Arial" w:cs="Arial"/>
          <w:noProof/>
          <w:sz w:val="22"/>
          <w:szCs w:val="22"/>
        </w:rPr>
        <w:t>u</w:t>
      </w:r>
      <w:r w:rsidR="00DC5D9A" w:rsidRPr="00FE1270">
        <w:rPr>
          <w:rFonts w:ascii="Arial" w:hAnsi="Arial" w:cs="Arial"/>
          <w:noProof/>
          <w:sz w:val="22"/>
          <w:szCs w:val="22"/>
        </w:rPr>
        <w:t xml:space="preserve"> (</w:t>
      </w:r>
      <w:r w:rsidR="00F751B3" w:rsidRPr="00FE1270">
        <w:rPr>
          <w:rFonts w:ascii="Arial" w:hAnsi="Arial" w:cs="Arial"/>
          <w:noProof/>
          <w:sz w:val="22"/>
          <w:szCs w:val="22"/>
        </w:rPr>
        <w:t>42</w:t>
      </w:r>
      <w:r w:rsidR="00B25939" w:rsidRPr="00FE1270">
        <w:rPr>
          <w:rFonts w:ascii="Arial" w:hAnsi="Arial" w:cs="Arial"/>
          <w:noProof/>
          <w:sz w:val="22"/>
          <w:szCs w:val="22"/>
        </w:rPr>
        <w:t>)</w:t>
      </w:r>
      <w:r w:rsidR="00F2656E" w:rsidRPr="00FE1270">
        <w:rPr>
          <w:rFonts w:ascii="Arial" w:hAnsi="Arial" w:cs="Arial"/>
          <w:noProof/>
          <w:sz w:val="22"/>
          <w:szCs w:val="22"/>
        </w:rPr>
        <w:t xml:space="preserve"> i to </w:t>
      </w:r>
      <w:r w:rsidR="00F00E9A" w:rsidRPr="00FE1270">
        <w:rPr>
          <w:rFonts w:ascii="Arial" w:hAnsi="Arial" w:cs="Arial"/>
          <w:noProof/>
          <w:sz w:val="22"/>
          <w:szCs w:val="22"/>
        </w:rPr>
        <w:t xml:space="preserve">u ukupnom iznosu od </w:t>
      </w:r>
      <w:r w:rsidR="00CE6C2B" w:rsidRPr="00FE1270">
        <w:rPr>
          <w:rFonts w:ascii="Arial" w:hAnsi="Arial" w:cs="Arial"/>
          <w:noProof/>
          <w:sz w:val="22"/>
          <w:szCs w:val="22"/>
        </w:rPr>
        <w:t>1.667.637,68</w:t>
      </w:r>
      <w:r w:rsidR="00F43339" w:rsidRPr="00FE1270">
        <w:rPr>
          <w:rFonts w:ascii="Arial" w:hAnsi="Arial" w:cs="Arial"/>
          <w:noProof/>
          <w:sz w:val="22"/>
          <w:szCs w:val="22"/>
        </w:rPr>
        <w:t xml:space="preserve"> </w:t>
      </w:r>
      <w:r w:rsidR="00CE6C2B" w:rsidRPr="00FE1270">
        <w:rPr>
          <w:rFonts w:ascii="Arial" w:hAnsi="Arial" w:cs="Arial"/>
          <w:noProof/>
          <w:sz w:val="22"/>
          <w:szCs w:val="22"/>
        </w:rPr>
        <w:t>najvećim dijelom ustanove kulture 860.299,85</w:t>
      </w:r>
      <w:r w:rsidR="0077644D" w:rsidRPr="00FE1270">
        <w:rPr>
          <w:rFonts w:ascii="Arial" w:hAnsi="Arial" w:cs="Arial"/>
          <w:noProof/>
          <w:sz w:val="22"/>
          <w:szCs w:val="22"/>
        </w:rPr>
        <w:t>, zatim</w:t>
      </w:r>
      <w:r w:rsidR="00CE6C2B" w:rsidRPr="00FE1270">
        <w:rPr>
          <w:rFonts w:ascii="Arial" w:hAnsi="Arial" w:cs="Arial"/>
          <w:noProof/>
          <w:sz w:val="22"/>
          <w:szCs w:val="22"/>
        </w:rPr>
        <w:t xml:space="preserve"> </w:t>
      </w:r>
      <w:r w:rsidR="00F2656E" w:rsidRPr="00FE1270">
        <w:rPr>
          <w:rFonts w:ascii="Arial" w:hAnsi="Arial" w:cs="Arial"/>
          <w:noProof/>
          <w:sz w:val="22"/>
          <w:szCs w:val="22"/>
        </w:rPr>
        <w:t>u</w:t>
      </w:r>
      <w:r w:rsidR="00B25939" w:rsidRPr="00FE1270">
        <w:rPr>
          <w:rFonts w:ascii="Arial" w:hAnsi="Arial" w:cs="Arial"/>
          <w:noProof/>
          <w:sz w:val="22"/>
          <w:szCs w:val="22"/>
        </w:rPr>
        <w:t>stanov</w:t>
      </w:r>
      <w:r w:rsidR="00DC5D9A" w:rsidRPr="00FE1270">
        <w:rPr>
          <w:rFonts w:ascii="Arial" w:hAnsi="Arial" w:cs="Arial"/>
          <w:noProof/>
          <w:sz w:val="22"/>
          <w:szCs w:val="22"/>
        </w:rPr>
        <w:t>e</w:t>
      </w:r>
      <w:r w:rsidR="00B25939" w:rsidRPr="00FE1270">
        <w:rPr>
          <w:rFonts w:ascii="Arial" w:hAnsi="Arial" w:cs="Arial"/>
          <w:noProof/>
          <w:sz w:val="22"/>
          <w:szCs w:val="22"/>
        </w:rPr>
        <w:t xml:space="preserve"> odgoja</w:t>
      </w:r>
      <w:r w:rsidR="0042456E" w:rsidRPr="00FE1270">
        <w:rPr>
          <w:rFonts w:ascii="Arial" w:hAnsi="Arial" w:cs="Arial"/>
          <w:noProof/>
          <w:sz w:val="22"/>
          <w:szCs w:val="22"/>
        </w:rPr>
        <w:t>, obrazovanja i mladih</w:t>
      </w:r>
      <w:r w:rsidR="00B25939" w:rsidRPr="00FE1270">
        <w:rPr>
          <w:rFonts w:ascii="Arial" w:hAnsi="Arial" w:cs="Arial"/>
          <w:noProof/>
          <w:sz w:val="22"/>
          <w:szCs w:val="22"/>
        </w:rPr>
        <w:t xml:space="preserve"> </w:t>
      </w:r>
      <w:r w:rsidR="00CE6C2B" w:rsidRPr="00FE1270">
        <w:rPr>
          <w:rFonts w:ascii="Arial" w:hAnsi="Arial" w:cs="Arial"/>
          <w:noProof/>
          <w:sz w:val="22"/>
          <w:szCs w:val="22"/>
        </w:rPr>
        <w:t>643.596,50</w:t>
      </w:r>
      <w:r w:rsidR="0042456E" w:rsidRPr="00FE1270">
        <w:rPr>
          <w:rFonts w:ascii="Arial" w:hAnsi="Arial" w:cs="Arial"/>
          <w:noProof/>
          <w:sz w:val="22"/>
          <w:szCs w:val="22"/>
        </w:rPr>
        <w:t xml:space="preserve"> eura</w:t>
      </w:r>
      <w:r w:rsidR="00DC5D9A" w:rsidRPr="00FE1270">
        <w:rPr>
          <w:rFonts w:ascii="Arial" w:hAnsi="Arial" w:cs="Arial"/>
          <w:noProof/>
          <w:sz w:val="22"/>
          <w:szCs w:val="22"/>
        </w:rPr>
        <w:t>, J</w:t>
      </w:r>
      <w:r w:rsidR="009C4475" w:rsidRPr="00FE1270">
        <w:rPr>
          <w:rFonts w:ascii="Arial" w:hAnsi="Arial" w:cs="Arial"/>
          <w:noProof/>
          <w:sz w:val="22"/>
          <w:szCs w:val="22"/>
        </w:rPr>
        <w:t>avn</w:t>
      </w:r>
      <w:r w:rsidR="00514983" w:rsidRPr="00FE1270">
        <w:rPr>
          <w:rFonts w:ascii="Arial" w:hAnsi="Arial" w:cs="Arial"/>
          <w:noProof/>
          <w:sz w:val="22"/>
          <w:szCs w:val="22"/>
        </w:rPr>
        <w:t>a</w:t>
      </w:r>
      <w:r w:rsidR="00BA6341" w:rsidRPr="00FE1270">
        <w:rPr>
          <w:rFonts w:ascii="Arial" w:hAnsi="Arial" w:cs="Arial"/>
          <w:noProof/>
          <w:sz w:val="22"/>
          <w:szCs w:val="22"/>
        </w:rPr>
        <w:t xml:space="preserve"> vatrogasna postrojba Grada Rijeke </w:t>
      </w:r>
      <w:r w:rsidR="0077644D" w:rsidRPr="00FE1270">
        <w:rPr>
          <w:rFonts w:ascii="Arial" w:hAnsi="Arial" w:cs="Arial"/>
          <w:noProof/>
          <w:sz w:val="22"/>
          <w:szCs w:val="22"/>
        </w:rPr>
        <w:t>108.702,24</w:t>
      </w:r>
      <w:r w:rsidR="00EB7257" w:rsidRPr="00FE1270">
        <w:rPr>
          <w:rFonts w:ascii="Arial" w:hAnsi="Arial" w:cs="Arial"/>
          <w:noProof/>
          <w:sz w:val="22"/>
          <w:szCs w:val="22"/>
        </w:rPr>
        <w:t xml:space="preserve"> eura</w:t>
      </w:r>
      <w:r w:rsidR="00BA6341" w:rsidRPr="00FE1270">
        <w:rPr>
          <w:rFonts w:ascii="Arial" w:hAnsi="Arial" w:cs="Arial"/>
          <w:noProof/>
          <w:sz w:val="22"/>
          <w:szCs w:val="22"/>
        </w:rPr>
        <w:t xml:space="preserve">, Psihijatrijska bolnica Lopača </w:t>
      </w:r>
      <w:r w:rsidR="00647227" w:rsidRPr="00FE1270">
        <w:rPr>
          <w:rFonts w:ascii="Arial" w:hAnsi="Arial" w:cs="Arial"/>
          <w:noProof/>
          <w:sz w:val="22"/>
          <w:szCs w:val="22"/>
        </w:rPr>
        <w:t>33.933,59</w:t>
      </w:r>
      <w:r w:rsidR="00EB7257" w:rsidRPr="00FE1270">
        <w:rPr>
          <w:rFonts w:ascii="Arial" w:hAnsi="Arial" w:cs="Arial"/>
          <w:noProof/>
          <w:sz w:val="22"/>
          <w:szCs w:val="22"/>
        </w:rPr>
        <w:t xml:space="preserve"> eura</w:t>
      </w:r>
      <w:r w:rsidR="0084698B">
        <w:rPr>
          <w:rFonts w:ascii="Arial" w:hAnsi="Arial" w:cs="Arial"/>
          <w:noProof/>
          <w:sz w:val="22"/>
          <w:szCs w:val="22"/>
        </w:rPr>
        <w:t>,</w:t>
      </w:r>
      <w:r w:rsidR="00BA6341" w:rsidRPr="00FE1270">
        <w:rPr>
          <w:rFonts w:ascii="Arial" w:hAnsi="Arial" w:cs="Arial"/>
          <w:noProof/>
          <w:sz w:val="22"/>
          <w:szCs w:val="22"/>
        </w:rPr>
        <w:t xml:space="preserve"> </w:t>
      </w:r>
      <w:r w:rsidR="00890B25" w:rsidRPr="00FE1270">
        <w:rPr>
          <w:rFonts w:ascii="Arial" w:hAnsi="Arial" w:cs="Arial"/>
          <w:noProof/>
          <w:sz w:val="22"/>
          <w:szCs w:val="22"/>
        </w:rPr>
        <w:t xml:space="preserve">Centar za pružanje usluga u zajednici </w:t>
      </w:r>
      <w:r w:rsidR="002E220E" w:rsidRPr="00FE1270">
        <w:rPr>
          <w:rFonts w:ascii="Arial" w:hAnsi="Arial" w:cs="Arial"/>
          <w:noProof/>
          <w:sz w:val="22"/>
          <w:szCs w:val="22"/>
        </w:rPr>
        <w:t>Tić</w:t>
      </w:r>
      <w:r w:rsidR="00BA6341" w:rsidRPr="00FE1270">
        <w:rPr>
          <w:rFonts w:ascii="Arial" w:hAnsi="Arial" w:cs="Arial"/>
          <w:noProof/>
          <w:sz w:val="22"/>
          <w:szCs w:val="22"/>
        </w:rPr>
        <w:t xml:space="preserve"> </w:t>
      </w:r>
      <w:r w:rsidR="00AA7ACF" w:rsidRPr="00FE1270">
        <w:rPr>
          <w:rFonts w:ascii="Arial" w:hAnsi="Arial" w:cs="Arial"/>
          <w:noProof/>
          <w:sz w:val="22"/>
          <w:szCs w:val="22"/>
        </w:rPr>
        <w:t>Rijeka</w:t>
      </w:r>
      <w:r w:rsidR="0044340B" w:rsidRPr="00FE1270">
        <w:rPr>
          <w:rFonts w:ascii="Arial" w:hAnsi="Arial" w:cs="Arial"/>
          <w:noProof/>
          <w:sz w:val="22"/>
          <w:szCs w:val="22"/>
        </w:rPr>
        <w:t xml:space="preserve"> </w:t>
      </w:r>
      <w:r w:rsidR="00647227" w:rsidRPr="00FE1270">
        <w:rPr>
          <w:rFonts w:ascii="Arial" w:hAnsi="Arial" w:cs="Arial"/>
          <w:noProof/>
          <w:sz w:val="22"/>
          <w:szCs w:val="22"/>
        </w:rPr>
        <w:t>12.405,03</w:t>
      </w:r>
      <w:r w:rsidR="000C1AF8" w:rsidRPr="00FE1270">
        <w:rPr>
          <w:rFonts w:ascii="Arial" w:hAnsi="Arial" w:cs="Arial"/>
          <w:noProof/>
          <w:sz w:val="22"/>
          <w:szCs w:val="22"/>
        </w:rPr>
        <w:t xml:space="preserve"> eura</w:t>
      </w:r>
      <w:r w:rsidR="00647227" w:rsidRPr="00FE1270">
        <w:rPr>
          <w:rFonts w:ascii="Arial" w:hAnsi="Arial" w:cs="Arial"/>
          <w:noProof/>
          <w:sz w:val="22"/>
          <w:szCs w:val="22"/>
        </w:rPr>
        <w:t>,</w:t>
      </w:r>
      <w:r w:rsidR="0077644D" w:rsidRPr="00FE1270">
        <w:rPr>
          <w:rFonts w:ascii="Arial" w:hAnsi="Arial" w:cs="Arial"/>
          <w:noProof/>
          <w:sz w:val="22"/>
          <w:szCs w:val="22"/>
        </w:rPr>
        <w:t xml:space="preserve"> A</w:t>
      </w:r>
      <w:r w:rsidR="0084698B">
        <w:rPr>
          <w:rFonts w:ascii="Arial" w:hAnsi="Arial" w:cs="Arial"/>
          <w:noProof/>
          <w:sz w:val="22"/>
          <w:szCs w:val="22"/>
        </w:rPr>
        <w:t>POS</w:t>
      </w:r>
      <w:r w:rsidR="0077644D" w:rsidRPr="00FE1270">
        <w:rPr>
          <w:rFonts w:ascii="Arial" w:hAnsi="Arial" w:cs="Arial"/>
          <w:noProof/>
          <w:sz w:val="22"/>
          <w:szCs w:val="22"/>
        </w:rPr>
        <w:t xml:space="preserve"> 7.111,36 eura</w:t>
      </w:r>
      <w:r w:rsidR="00647227" w:rsidRPr="00FE1270">
        <w:rPr>
          <w:rFonts w:ascii="Arial" w:hAnsi="Arial" w:cs="Arial"/>
          <w:noProof/>
          <w:sz w:val="22"/>
          <w:szCs w:val="22"/>
        </w:rPr>
        <w:t xml:space="preserve"> i Vijeće </w:t>
      </w:r>
      <w:r w:rsidR="00261419" w:rsidRPr="00FE1270">
        <w:rPr>
          <w:rFonts w:ascii="Arial" w:hAnsi="Arial" w:cs="Arial"/>
          <w:noProof/>
          <w:sz w:val="22"/>
          <w:szCs w:val="22"/>
        </w:rPr>
        <w:t>b</w:t>
      </w:r>
      <w:r w:rsidR="00005CE7" w:rsidRPr="00FE1270">
        <w:rPr>
          <w:rFonts w:ascii="Arial" w:hAnsi="Arial" w:cs="Arial"/>
          <w:noProof/>
          <w:sz w:val="22"/>
          <w:szCs w:val="22"/>
        </w:rPr>
        <w:t xml:space="preserve">ošnjačke </w:t>
      </w:r>
      <w:r w:rsidR="00647227" w:rsidRPr="00FE1270">
        <w:rPr>
          <w:rFonts w:ascii="Arial" w:hAnsi="Arial" w:cs="Arial"/>
          <w:noProof/>
          <w:sz w:val="22"/>
          <w:szCs w:val="22"/>
        </w:rPr>
        <w:t>nacionalne manjine 1.589,11 eura.</w:t>
      </w:r>
    </w:p>
    <w:p w:rsidR="002B1D3F" w:rsidRPr="00FE1270" w:rsidRDefault="002B1D3F" w:rsidP="0094562D">
      <w:pPr>
        <w:pStyle w:val="Footer"/>
        <w:tabs>
          <w:tab w:val="clear" w:pos="4153"/>
          <w:tab w:val="clear" w:pos="8306"/>
        </w:tabs>
        <w:jc w:val="both"/>
        <w:rPr>
          <w:rFonts w:ascii="Arial" w:hAnsi="Arial" w:cs="Arial"/>
          <w:noProof/>
          <w:sz w:val="22"/>
          <w:szCs w:val="22"/>
        </w:rPr>
      </w:pPr>
    </w:p>
    <w:p w:rsidR="00566694" w:rsidRPr="00FE1270" w:rsidRDefault="00566694">
      <w:pPr>
        <w:pStyle w:val="Heading4"/>
        <w:rPr>
          <w:rFonts w:cs="Arial"/>
          <w:noProof/>
          <w:szCs w:val="22"/>
        </w:rPr>
      </w:pPr>
      <w:r w:rsidRPr="00FE1270">
        <w:rPr>
          <w:rFonts w:cs="Arial"/>
          <w:noProof/>
          <w:szCs w:val="22"/>
        </w:rPr>
        <w:t xml:space="preserve">Bilješka broj </w:t>
      </w:r>
      <w:r w:rsidR="00EA1772" w:rsidRPr="00FE1270">
        <w:rPr>
          <w:rFonts w:cs="Arial"/>
          <w:noProof/>
          <w:szCs w:val="22"/>
        </w:rPr>
        <w:t>10</w:t>
      </w:r>
      <w:r w:rsidRPr="00FE1270">
        <w:rPr>
          <w:rFonts w:cs="Arial"/>
          <w:noProof/>
          <w:szCs w:val="22"/>
        </w:rPr>
        <w:t xml:space="preserve"> </w:t>
      </w:r>
      <w:r w:rsidR="004A55B3" w:rsidRPr="00FE1270">
        <w:rPr>
          <w:rFonts w:cs="Arial"/>
          <w:noProof/>
          <w:szCs w:val="22"/>
        </w:rPr>
        <w:t xml:space="preserve">- </w:t>
      </w:r>
      <w:r w:rsidRPr="00FE1270">
        <w:rPr>
          <w:rFonts w:cs="Arial"/>
          <w:noProof/>
          <w:szCs w:val="22"/>
        </w:rPr>
        <w:t>primici od financijske imovine i zaduživanja (</w:t>
      </w:r>
      <w:r w:rsidR="006C0BB8" w:rsidRPr="00FE1270">
        <w:rPr>
          <w:rFonts w:cs="Arial"/>
          <w:noProof/>
          <w:szCs w:val="22"/>
        </w:rPr>
        <w:t>8</w:t>
      </w:r>
      <w:r w:rsidRPr="00FE1270">
        <w:rPr>
          <w:rFonts w:cs="Arial"/>
          <w:noProof/>
          <w:szCs w:val="22"/>
        </w:rPr>
        <w:t>)</w:t>
      </w:r>
    </w:p>
    <w:p w:rsidR="002B1D3F" w:rsidRPr="00FE1270" w:rsidRDefault="00036BE0">
      <w:pPr>
        <w:pStyle w:val="Footer"/>
        <w:tabs>
          <w:tab w:val="clear" w:pos="4153"/>
          <w:tab w:val="clear" w:pos="8306"/>
        </w:tabs>
        <w:jc w:val="both"/>
        <w:rPr>
          <w:rFonts w:ascii="Arial" w:hAnsi="Arial" w:cs="Arial"/>
          <w:noProof/>
          <w:sz w:val="22"/>
          <w:szCs w:val="22"/>
        </w:rPr>
      </w:pPr>
      <w:r w:rsidRPr="00FE1270">
        <w:rPr>
          <w:rFonts w:ascii="Arial" w:hAnsi="Arial" w:cs="Arial"/>
          <w:noProof/>
          <w:sz w:val="22"/>
          <w:szCs w:val="22"/>
        </w:rPr>
        <w:t xml:space="preserve">U strukturi primitaka od financijske imovine i zaduživanja u ukupnom iznosu od </w:t>
      </w:r>
      <w:r w:rsidR="00261419" w:rsidRPr="00FE1270">
        <w:rPr>
          <w:rFonts w:ascii="Arial" w:hAnsi="Arial" w:cs="Arial"/>
          <w:noProof/>
          <w:sz w:val="22"/>
          <w:szCs w:val="22"/>
        </w:rPr>
        <w:t>842.634,98</w:t>
      </w:r>
      <w:r w:rsidR="00EB7257" w:rsidRPr="00FE1270">
        <w:rPr>
          <w:rFonts w:ascii="Arial" w:hAnsi="Arial" w:cs="Arial"/>
          <w:noProof/>
          <w:sz w:val="22"/>
          <w:szCs w:val="22"/>
        </w:rPr>
        <w:t xml:space="preserve"> eura</w:t>
      </w:r>
      <w:r w:rsidR="00342D59" w:rsidRPr="00FE1270">
        <w:rPr>
          <w:rFonts w:ascii="Arial" w:hAnsi="Arial" w:cs="Arial"/>
          <w:noProof/>
          <w:sz w:val="22"/>
          <w:szCs w:val="22"/>
        </w:rPr>
        <w:t>,</w:t>
      </w:r>
      <w:r w:rsidR="00566694" w:rsidRPr="00FE1270">
        <w:rPr>
          <w:rFonts w:ascii="Arial" w:hAnsi="Arial" w:cs="Arial"/>
          <w:noProof/>
          <w:sz w:val="22"/>
          <w:szCs w:val="22"/>
        </w:rPr>
        <w:t xml:space="preserve"> Grad </w:t>
      </w:r>
      <w:r w:rsidRPr="00FE1270">
        <w:rPr>
          <w:rFonts w:ascii="Arial" w:hAnsi="Arial" w:cs="Arial"/>
          <w:noProof/>
          <w:sz w:val="22"/>
          <w:szCs w:val="22"/>
        </w:rPr>
        <w:t>participira s ukupno</w:t>
      </w:r>
      <w:r w:rsidR="009B25DA" w:rsidRPr="00FE1270">
        <w:rPr>
          <w:rFonts w:ascii="Arial" w:hAnsi="Arial" w:cs="Arial"/>
          <w:noProof/>
          <w:sz w:val="22"/>
          <w:szCs w:val="22"/>
        </w:rPr>
        <w:t xml:space="preserve"> </w:t>
      </w:r>
      <w:r w:rsidR="00261419" w:rsidRPr="00FE1270">
        <w:rPr>
          <w:rFonts w:ascii="Arial" w:hAnsi="Arial" w:cs="Arial"/>
          <w:noProof/>
          <w:sz w:val="22"/>
          <w:szCs w:val="22"/>
        </w:rPr>
        <w:t>281.946,09</w:t>
      </w:r>
      <w:r w:rsidR="00EB7257" w:rsidRPr="00FE1270">
        <w:rPr>
          <w:rFonts w:ascii="Arial" w:hAnsi="Arial" w:cs="Arial"/>
          <w:noProof/>
          <w:sz w:val="22"/>
          <w:szCs w:val="22"/>
        </w:rPr>
        <w:t xml:space="preserve"> eur</w:t>
      </w:r>
      <w:r w:rsidR="00120A2C" w:rsidRPr="00FE1270">
        <w:rPr>
          <w:rFonts w:ascii="Arial" w:hAnsi="Arial" w:cs="Arial"/>
          <w:noProof/>
          <w:sz w:val="22"/>
          <w:szCs w:val="22"/>
        </w:rPr>
        <w:t>a</w:t>
      </w:r>
      <w:r w:rsidR="00C86396" w:rsidRPr="00FE1270">
        <w:rPr>
          <w:rFonts w:ascii="Arial" w:hAnsi="Arial" w:cs="Arial"/>
          <w:noProof/>
          <w:sz w:val="22"/>
          <w:szCs w:val="22"/>
        </w:rPr>
        <w:t>. Korisnik</w:t>
      </w:r>
      <w:r w:rsidR="00780938" w:rsidRPr="00FE1270">
        <w:rPr>
          <w:rFonts w:ascii="Arial" w:hAnsi="Arial" w:cs="Arial"/>
          <w:noProof/>
          <w:sz w:val="22"/>
          <w:szCs w:val="22"/>
        </w:rPr>
        <w:t xml:space="preserve"> </w:t>
      </w:r>
      <w:r w:rsidR="00932759" w:rsidRPr="00FE1270">
        <w:rPr>
          <w:rFonts w:ascii="Arial" w:hAnsi="Arial" w:cs="Arial"/>
          <w:noProof/>
          <w:sz w:val="22"/>
          <w:szCs w:val="22"/>
        </w:rPr>
        <w:t>A</w:t>
      </w:r>
      <w:r w:rsidR="00CD1270">
        <w:rPr>
          <w:rFonts w:ascii="Arial" w:hAnsi="Arial" w:cs="Arial"/>
          <w:noProof/>
          <w:sz w:val="22"/>
          <w:szCs w:val="22"/>
        </w:rPr>
        <w:t xml:space="preserve">POS u ovim primicima </w:t>
      </w:r>
      <w:r w:rsidR="00C86396" w:rsidRPr="00FE1270">
        <w:rPr>
          <w:rFonts w:ascii="Arial" w:hAnsi="Arial" w:cs="Arial"/>
          <w:noProof/>
          <w:sz w:val="22"/>
          <w:szCs w:val="22"/>
        </w:rPr>
        <w:t>participira</w:t>
      </w:r>
      <w:r w:rsidR="00932759" w:rsidRPr="00FE1270">
        <w:rPr>
          <w:rFonts w:ascii="Arial" w:hAnsi="Arial" w:cs="Arial"/>
          <w:noProof/>
          <w:sz w:val="22"/>
          <w:szCs w:val="22"/>
        </w:rPr>
        <w:t xml:space="preserve"> </w:t>
      </w:r>
      <w:r w:rsidR="002B28BB" w:rsidRPr="00FE1270">
        <w:rPr>
          <w:rFonts w:ascii="Arial" w:hAnsi="Arial" w:cs="Arial"/>
          <w:noProof/>
          <w:sz w:val="22"/>
          <w:szCs w:val="22"/>
        </w:rPr>
        <w:t>s</w:t>
      </w:r>
      <w:r w:rsidR="00514983" w:rsidRPr="00FE1270">
        <w:rPr>
          <w:rFonts w:ascii="Arial" w:hAnsi="Arial" w:cs="Arial"/>
          <w:noProof/>
          <w:sz w:val="22"/>
          <w:szCs w:val="22"/>
        </w:rPr>
        <w:t>a</w:t>
      </w:r>
      <w:r w:rsidR="002B28BB" w:rsidRPr="00FE1270">
        <w:rPr>
          <w:rFonts w:ascii="Arial" w:hAnsi="Arial" w:cs="Arial"/>
          <w:noProof/>
          <w:sz w:val="22"/>
          <w:szCs w:val="22"/>
        </w:rPr>
        <w:t xml:space="preserve"> </w:t>
      </w:r>
      <w:r w:rsidR="00261419" w:rsidRPr="00FE1270">
        <w:rPr>
          <w:rFonts w:ascii="Arial" w:hAnsi="Arial" w:cs="Arial"/>
          <w:noProof/>
          <w:sz w:val="22"/>
          <w:szCs w:val="22"/>
        </w:rPr>
        <w:t>560.688,89</w:t>
      </w:r>
      <w:r w:rsidR="00EB7257" w:rsidRPr="00FE1270">
        <w:rPr>
          <w:rFonts w:ascii="Arial" w:hAnsi="Arial" w:cs="Arial"/>
          <w:noProof/>
          <w:sz w:val="22"/>
          <w:szCs w:val="22"/>
        </w:rPr>
        <w:t xml:space="preserve"> eura</w:t>
      </w:r>
      <w:r w:rsidR="00CD1270">
        <w:rPr>
          <w:rFonts w:ascii="Arial" w:hAnsi="Arial" w:cs="Arial"/>
          <w:noProof/>
          <w:sz w:val="22"/>
          <w:szCs w:val="22"/>
        </w:rPr>
        <w:t>, a radi se o</w:t>
      </w:r>
      <w:r w:rsidR="00932759" w:rsidRPr="00FE1270">
        <w:rPr>
          <w:rFonts w:ascii="Arial" w:hAnsi="Arial" w:cs="Arial"/>
          <w:noProof/>
          <w:sz w:val="22"/>
          <w:szCs w:val="22"/>
        </w:rPr>
        <w:t xml:space="preserve"> </w:t>
      </w:r>
      <w:r w:rsidR="00B63590" w:rsidRPr="00FE1270">
        <w:rPr>
          <w:rFonts w:ascii="Arial" w:hAnsi="Arial" w:cs="Arial"/>
          <w:noProof/>
          <w:sz w:val="22"/>
          <w:szCs w:val="22"/>
        </w:rPr>
        <w:t>povrat</w:t>
      </w:r>
      <w:r w:rsidR="00CD1270">
        <w:rPr>
          <w:rFonts w:ascii="Arial" w:hAnsi="Arial" w:cs="Arial"/>
          <w:noProof/>
          <w:sz w:val="22"/>
          <w:szCs w:val="22"/>
        </w:rPr>
        <w:t>u</w:t>
      </w:r>
      <w:r w:rsidR="00B63590" w:rsidRPr="00FE1270">
        <w:rPr>
          <w:rFonts w:ascii="Arial" w:hAnsi="Arial" w:cs="Arial"/>
          <w:noProof/>
          <w:sz w:val="22"/>
          <w:szCs w:val="22"/>
        </w:rPr>
        <w:t xml:space="preserve"> zajmova </w:t>
      </w:r>
      <w:r w:rsidR="00CD1270">
        <w:rPr>
          <w:rFonts w:ascii="Arial" w:hAnsi="Arial" w:cs="Arial"/>
          <w:noProof/>
          <w:sz w:val="22"/>
          <w:szCs w:val="22"/>
        </w:rPr>
        <w:t>danog</w:t>
      </w:r>
      <w:r w:rsidR="00120A2C" w:rsidRPr="00FE1270">
        <w:rPr>
          <w:rFonts w:ascii="Arial" w:hAnsi="Arial" w:cs="Arial"/>
          <w:noProof/>
          <w:sz w:val="22"/>
          <w:szCs w:val="22"/>
        </w:rPr>
        <w:t xml:space="preserve"> Grad</w:t>
      </w:r>
      <w:r w:rsidR="00CD1270">
        <w:rPr>
          <w:rFonts w:ascii="Arial" w:hAnsi="Arial" w:cs="Arial"/>
          <w:noProof/>
          <w:sz w:val="22"/>
          <w:szCs w:val="22"/>
        </w:rPr>
        <w:t>u</w:t>
      </w:r>
      <w:r w:rsidR="00120A2C" w:rsidRPr="00FE1270">
        <w:rPr>
          <w:rFonts w:ascii="Arial" w:hAnsi="Arial" w:cs="Arial"/>
          <w:noProof/>
          <w:sz w:val="22"/>
          <w:szCs w:val="22"/>
        </w:rPr>
        <w:t xml:space="preserve"> u iznosu od </w:t>
      </w:r>
      <w:r w:rsidR="00784671" w:rsidRPr="00FE1270">
        <w:rPr>
          <w:rFonts w:ascii="Arial" w:hAnsi="Arial" w:cs="Arial"/>
          <w:noProof/>
          <w:sz w:val="22"/>
          <w:szCs w:val="22"/>
        </w:rPr>
        <w:t>233.834,52</w:t>
      </w:r>
      <w:r w:rsidR="00EB7257" w:rsidRPr="00FE1270">
        <w:rPr>
          <w:rFonts w:ascii="Arial" w:hAnsi="Arial" w:cs="Arial"/>
          <w:noProof/>
          <w:sz w:val="22"/>
          <w:szCs w:val="22"/>
        </w:rPr>
        <w:t xml:space="preserve"> eur</w:t>
      </w:r>
      <w:r w:rsidR="00120A2C" w:rsidRPr="00FE1270">
        <w:rPr>
          <w:rFonts w:ascii="Arial" w:hAnsi="Arial" w:cs="Arial"/>
          <w:noProof/>
          <w:sz w:val="22"/>
          <w:szCs w:val="22"/>
        </w:rPr>
        <w:t>a</w:t>
      </w:r>
      <w:r w:rsidR="004D2423" w:rsidRPr="00FE1270">
        <w:rPr>
          <w:rFonts w:ascii="Arial" w:hAnsi="Arial" w:cs="Arial"/>
          <w:noProof/>
          <w:sz w:val="22"/>
          <w:szCs w:val="22"/>
        </w:rPr>
        <w:t xml:space="preserve"> </w:t>
      </w:r>
      <w:r w:rsidR="00C44834" w:rsidRPr="00FE1270">
        <w:rPr>
          <w:rFonts w:ascii="Arial" w:hAnsi="Arial" w:cs="Arial"/>
          <w:noProof/>
          <w:sz w:val="22"/>
          <w:szCs w:val="22"/>
        </w:rPr>
        <w:t>(</w:t>
      </w:r>
      <w:r w:rsidR="00041993" w:rsidRPr="00FE1270">
        <w:rPr>
          <w:rFonts w:ascii="Arial" w:hAnsi="Arial" w:cs="Arial"/>
          <w:noProof/>
          <w:sz w:val="22"/>
          <w:szCs w:val="22"/>
        </w:rPr>
        <w:t xml:space="preserve">robni kredit </w:t>
      </w:r>
      <w:r w:rsidR="004D2423" w:rsidRPr="00FE1270">
        <w:rPr>
          <w:rFonts w:ascii="Arial" w:hAnsi="Arial" w:cs="Arial"/>
          <w:noProof/>
          <w:sz w:val="22"/>
          <w:szCs w:val="22"/>
        </w:rPr>
        <w:t>za POS Rujevica I</w:t>
      </w:r>
      <w:r w:rsidR="00C44834" w:rsidRPr="00FE1270">
        <w:rPr>
          <w:rFonts w:ascii="Arial" w:hAnsi="Arial" w:cs="Arial"/>
          <w:noProof/>
          <w:sz w:val="22"/>
          <w:szCs w:val="22"/>
        </w:rPr>
        <w:t>)</w:t>
      </w:r>
      <w:r w:rsidR="00932759" w:rsidRPr="00FE1270">
        <w:rPr>
          <w:rFonts w:ascii="Arial" w:hAnsi="Arial" w:cs="Arial"/>
          <w:noProof/>
          <w:sz w:val="22"/>
          <w:szCs w:val="22"/>
        </w:rPr>
        <w:t>,</w:t>
      </w:r>
      <w:r w:rsidR="00B63590" w:rsidRPr="00FE1270">
        <w:rPr>
          <w:rFonts w:ascii="Arial" w:hAnsi="Arial" w:cs="Arial"/>
          <w:noProof/>
          <w:sz w:val="22"/>
          <w:szCs w:val="22"/>
        </w:rPr>
        <w:t xml:space="preserve"> </w:t>
      </w:r>
      <w:r w:rsidR="00624771" w:rsidRPr="00FE1270">
        <w:rPr>
          <w:rFonts w:ascii="Arial" w:hAnsi="Arial" w:cs="Arial"/>
          <w:noProof/>
          <w:sz w:val="22"/>
          <w:szCs w:val="22"/>
        </w:rPr>
        <w:t xml:space="preserve">od </w:t>
      </w:r>
      <w:r w:rsidR="00B63590" w:rsidRPr="00FE1270">
        <w:rPr>
          <w:rFonts w:ascii="Arial" w:hAnsi="Arial" w:cs="Arial"/>
          <w:noProof/>
          <w:sz w:val="22"/>
          <w:szCs w:val="22"/>
        </w:rPr>
        <w:t>povrat</w:t>
      </w:r>
      <w:r w:rsidR="00624771" w:rsidRPr="00FE1270">
        <w:rPr>
          <w:rFonts w:ascii="Arial" w:hAnsi="Arial" w:cs="Arial"/>
          <w:noProof/>
          <w:sz w:val="22"/>
          <w:szCs w:val="22"/>
        </w:rPr>
        <w:t>a</w:t>
      </w:r>
      <w:r w:rsidR="00B63590" w:rsidRPr="00FE1270">
        <w:rPr>
          <w:rFonts w:ascii="Arial" w:hAnsi="Arial" w:cs="Arial"/>
          <w:noProof/>
          <w:sz w:val="22"/>
          <w:szCs w:val="22"/>
        </w:rPr>
        <w:t xml:space="preserve"> zajmova danih </w:t>
      </w:r>
      <w:r w:rsidR="00041993" w:rsidRPr="00FE1270">
        <w:rPr>
          <w:rFonts w:ascii="Arial" w:hAnsi="Arial" w:cs="Arial"/>
          <w:noProof/>
          <w:sz w:val="22"/>
          <w:szCs w:val="22"/>
        </w:rPr>
        <w:t xml:space="preserve">kupcima stanova prema programu </w:t>
      </w:r>
      <w:r w:rsidR="00494E67" w:rsidRPr="00FE1270">
        <w:rPr>
          <w:rFonts w:ascii="Arial" w:hAnsi="Arial" w:cs="Arial"/>
          <w:noProof/>
          <w:sz w:val="22"/>
          <w:szCs w:val="22"/>
        </w:rPr>
        <w:t xml:space="preserve">društveno </w:t>
      </w:r>
      <w:r w:rsidR="00041993" w:rsidRPr="00FE1270">
        <w:rPr>
          <w:rFonts w:ascii="Arial" w:hAnsi="Arial" w:cs="Arial"/>
          <w:noProof/>
          <w:sz w:val="22"/>
          <w:szCs w:val="22"/>
        </w:rPr>
        <w:t>poticane stanogradnje</w:t>
      </w:r>
      <w:r w:rsidR="00B63590" w:rsidRPr="00FE1270">
        <w:rPr>
          <w:rFonts w:ascii="Arial" w:hAnsi="Arial" w:cs="Arial"/>
          <w:noProof/>
          <w:sz w:val="22"/>
          <w:szCs w:val="22"/>
        </w:rPr>
        <w:t xml:space="preserve"> </w:t>
      </w:r>
      <w:r w:rsidR="00041993" w:rsidRPr="00FE1270">
        <w:rPr>
          <w:rFonts w:ascii="Arial" w:hAnsi="Arial" w:cs="Arial"/>
          <w:noProof/>
          <w:sz w:val="22"/>
          <w:szCs w:val="22"/>
        </w:rPr>
        <w:t xml:space="preserve">u iznosu od </w:t>
      </w:r>
      <w:r w:rsidR="00784671" w:rsidRPr="00FE1270">
        <w:rPr>
          <w:rFonts w:ascii="Arial" w:hAnsi="Arial" w:cs="Arial"/>
          <w:noProof/>
          <w:sz w:val="22"/>
          <w:szCs w:val="22"/>
        </w:rPr>
        <w:t>326.854,37</w:t>
      </w:r>
      <w:r w:rsidR="00EB7257" w:rsidRPr="00FE1270">
        <w:rPr>
          <w:rFonts w:ascii="Arial" w:hAnsi="Arial" w:cs="Arial"/>
          <w:noProof/>
          <w:sz w:val="22"/>
          <w:szCs w:val="22"/>
        </w:rPr>
        <w:t xml:space="preserve"> eura</w:t>
      </w:r>
      <w:r w:rsidR="00784671" w:rsidRPr="00FE1270">
        <w:rPr>
          <w:rFonts w:ascii="Arial" w:hAnsi="Arial" w:cs="Arial"/>
          <w:noProof/>
          <w:sz w:val="22"/>
          <w:szCs w:val="22"/>
        </w:rPr>
        <w:t>.</w:t>
      </w:r>
      <w:r w:rsidR="003E7311" w:rsidRPr="00FE1270">
        <w:rPr>
          <w:rFonts w:ascii="Arial" w:hAnsi="Arial" w:cs="Arial"/>
          <w:noProof/>
          <w:sz w:val="22"/>
          <w:szCs w:val="22"/>
        </w:rPr>
        <w:t xml:space="preserve"> </w:t>
      </w:r>
    </w:p>
    <w:p w:rsidR="00784671" w:rsidRPr="00FE1270" w:rsidRDefault="00784671">
      <w:pPr>
        <w:pStyle w:val="Footer"/>
        <w:tabs>
          <w:tab w:val="clear" w:pos="4153"/>
          <w:tab w:val="clear" w:pos="8306"/>
        </w:tabs>
        <w:jc w:val="both"/>
        <w:rPr>
          <w:rFonts w:ascii="Arial" w:hAnsi="Arial" w:cs="Arial"/>
          <w:noProof/>
          <w:color w:val="FF0000"/>
          <w:sz w:val="22"/>
          <w:szCs w:val="22"/>
        </w:rPr>
      </w:pPr>
    </w:p>
    <w:p w:rsidR="00566694" w:rsidRPr="00FE1270" w:rsidRDefault="00566694">
      <w:pPr>
        <w:pStyle w:val="Heading4"/>
        <w:rPr>
          <w:rFonts w:cs="Arial"/>
          <w:b w:val="0"/>
          <w:noProof/>
          <w:color w:val="FF0000"/>
          <w:szCs w:val="22"/>
        </w:rPr>
      </w:pPr>
      <w:r w:rsidRPr="00FE1270">
        <w:rPr>
          <w:rFonts w:cs="Arial"/>
          <w:noProof/>
          <w:szCs w:val="22"/>
        </w:rPr>
        <w:t xml:space="preserve">Bilješka broj </w:t>
      </w:r>
      <w:r w:rsidR="00283B53" w:rsidRPr="00FE1270">
        <w:rPr>
          <w:rFonts w:cs="Arial"/>
          <w:noProof/>
          <w:szCs w:val="22"/>
        </w:rPr>
        <w:t>1</w:t>
      </w:r>
      <w:r w:rsidR="00EA1772" w:rsidRPr="00FE1270">
        <w:rPr>
          <w:rFonts w:cs="Arial"/>
          <w:noProof/>
          <w:szCs w:val="22"/>
        </w:rPr>
        <w:t>1</w:t>
      </w:r>
      <w:r w:rsidRPr="00FE1270">
        <w:rPr>
          <w:rFonts w:cs="Arial"/>
          <w:noProof/>
          <w:szCs w:val="22"/>
        </w:rPr>
        <w:t xml:space="preserve"> - izdaci za financijsku imovinu i otplate zajmova (</w:t>
      </w:r>
      <w:r w:rsidR="006C0BB8" w:rsidRPr="00FE1270">
        <w:rPr>
          <w:rFonts w:cs="Arial"/>
          <w:noProof/>
          <w:szCs w:val="22"/>
        </w:rPr>
        <w:t>5</w:t>
      </w:r>
      <w:r w:rsidRPr="00FE1270">
        <w:rPr>
          <w:rFonts w:cs="Arial"/>
          <w:noProof/>
          <w:szCs w:val="22"/>
        </w:rPr>
        <w:t>)</w:t>
      </w:r>
    </w:p>
    <w:p w:rsidR="009E076F" w:rsidRPr="00FE1270" w:rsidRDefault="00566694">
      <w:pPr>
        <w:pStyle w:val="Footer"/>
        <w:tabs>
          <w:tab w:val="clear" w:pos="4153"/>
          <w:tab w:val="clear" w:pos="8306"/>
        </w:tabs>
        <w:jc w:val="both"/>
        <w:rPr>
          <w:rFonts w:ascii="Arial" w:hAnsi="Arial" w:cs="Arial"/>
          <w:noProof/>
          <w:sz w:val="22"/>
          <w:szCs w:val="22"/>
        </w:rPr>
      </w:pPr>
      <w:r w:rsidRPr="00FE1270">
        <w:rPr>
          <w:rFonts w:ascii="Arial" w:hAnsi="Arial" w:cs="Arial"/>
          <w:noProof/>
          <w:sz w:val="22"/>
          <w:szCs w:val="22"/>
        </w:rPr>
        <w:t xml:space="preserve">Izdaci za financijsku imovinu i otplate zajmova ostvareni su u iznosu </w:t>
      </w:r>
      <w:r w:rsidR="00784671" w:rsidRPr="00FE1270">
        <w:rPr>
          <w:rFonts w:ascii="Arial" w:hAnsi="Arial" w:cs="Arial"/>
          <w:noProof/>
          <w:sz w:val="22"/>
          <w:szCs w:val="22"/>
        </w:rPr>
        <w:t>4.983.828,95</w:t>
      </w:r>
      <w:r w:rsidR="00CC3F03" w:rsidRPr="00FE1270">
        <w:rPr>
          <w:rFonts w:ascii="Arial" w:hAnsi="Arial" w:cs="Arial"/>
          <w:noProof/>
          <w:sz w:val="22"/>
          <w:szCs w:val="22"/>
        </w:rPr>
        <w:t xml:space="preserve"> eura</w:t>
      </w:r>
      <w:r w:rsidRPr="00FE1270">
        <w:rPr>
          <w:rFonts w:ascii="Arial" w:hAnsi="Arial" w:cs="Arial"/>
          <w:noProof/>
          <w:sz w:val="22"/>
          <w:szCs w:val="22"/>
        </w:rPr>
        <w:t xml:space="preserve">, od čega </w:t>
      </w:r>
      <w:r w:rsidR="00E86339" w:rsidRPr="00FE1270">
        <w:rPr>
          <w:rFonts w:ascii="Arial" w:hAnsi="Arial" w:cs="Arial"/>
          <w:noProof/>
          <w:sz w:val="22"/>
          <w:szCs w:val="22"/>
        </w:rPr>
        <w:t xml:space="preserve">se na </w:t>
      </w:r>
      <w:r w:rsidRPr="00FE1270">
        <w:rPr>
          <w:rFonts w:ascii="Arial" w:hAnsi="Arial" w:cs="Arial"/>
          <w:noProof/>
          <w:sz w:val="22"/>
          <w:szCs w:val="22"/>
        </w:rPr>
        <w:t>Grad</w:t>
      </w:r>
      <w:r w:rsidR="00E86339" w:rsidRPr="00FE1270">
        <w:rPr>
          <w:rFonts w:ascii="Arial" w:hAnsi="Arial" w:cs="Arial"/>
          <w:noProof/>
          <w:sz w:val="22"/>
          <w:szCs w:val="22"/>
        </w:rPr>
        <w:t xml:space="preserve"> odnosi</w:t>
      </w:r>
      <w:r w:rsidRPr="00FE1270">
        <w:rPr>
          <w:rFonts w:ascii="Arial" w:hAnsi="Arial" w:cs="Arial"/>
          <w:noProof/>
          <w:sz w:val="22"/>
          <w:szCs w:val="22"/>
        </w:rPr>
        <w:t xml:space="preserve"> </w:t>
      </w:r>
      <w:r w:rsidR="00784671" w:rsidRPr="00FE1270">
        <w:rPr>
          <w:rFonts w:ascii="Arial" w:hAnsi="Arial" w:cs="Arial"/>
          <w:noProof/>
          <w:sz w:val="22"/>
          <w:szCs w:val="22"/>
        </w:rPr>
        <w:t>3.604.089,34</w:t>
      </w:r>
      <w:r w:rsidR="00CC3F03" w:rsidRPr="00FE1270">
        <w:rPr>
          <w:rFonts w:ascii="Arial" w:hAnsi="Arial" w:cs="Arial"/>
          <w:noProof/>
          <w:sz w:val="22"/>
          <w:szCs w:val="22"/>
        </w:rPr>
        <w:t xml:space="preserve"> eura</w:t>
      </w:r>
      <w:r w:rsidR="00216E2E" w:rsidRPr="00FE1270">
        <w:rPr>
          <w:rFonts w:ascii="Arial" w:hAnsi="Arial" w:cs="Arial"/>
          <w:noProof/>
          <w:sz w:val="22"/>
          <w:szCs w:val="22"/>
        </w:rPr>
        <w:t xml:space="preserve"> (</w:t>
      </w:r>
      <w:r w:rsidR="0075236D" w:rsidRPr="00FE1270">
        <w:rPr>
          <w:rFonts w:ascii="Arial" w:hAnsi="Arial" w:cs="Arial"/>
          <w:noProof/>
          <w:sz w:val="22"/>
          <w:szCs w:val="22"/>
        </w:rPr>
        <w:t xml:space="preserve">u najvećem dijelu radi se o </w:t>
      </w:r>
      <w:r w:rsidR="008F5583" w:rsidRPr="00FE1270">
        <w:rPr>
          <w:rFonts w:ascii="Arial" w:hAnsi="Arial" w:cs="Arial"/>
          <w:noProof/>
          <w:sz w:val="22"/>
          <w:szCs w:val="22"/>
        </w:rPr>
        <w:t>izdaci</w:t>
      </w:r>
      <w:r w:rsidR="0075236D" w:rsidRPr="00FE1270">
        <w:rPr>
          <w:rFonts w:ascii="Arial" w:hAnsi="Arial" w:cs="Arial"/>
          <w:noProof/>
          <w:sz w:val="22"/>
          <w:szCs w:val="22"/>
        </w:rPr>
        <w:t>ma</w:t>
      </w:r>
      <w:r w:rsidR="008F5583" w:rsidRPr="00FE1270">
        <w:rPr>
          <w:rFonts w:ascii="Arial" w:hAnsi="Arial" w:cs="Arial"/>
          <w:noProof/>
          <w:sz w:val="22"/>
          <w:szCs w:val="22"/>
        </w:rPr>
        <w:t xml:space="preserve"> </w:t>
      </w:r>
      <w:r w:rsidR="004A717B" w:rsidRPr="00FE1270">
        <w:rPr>
          <w:rFonts w:ascii="Arial" w:hAnsi="Arial" w:cs="Arial"/>
          <w:noProof/>
          <w:sz w:val="22"/>
          <w:szCs w:val="22"/>
        </w:rPr>
        <w:t>za otplatu glavnice pri</w:t>
      </w:r>
      <w:r w:rsidR="00C715D0" w:rsidRPr="00FE1270">
        <w:rPr>
          <w:rFonts w:ascii="Arial" w:hAnsi="Arial" w:cs="Arial"/>
          <w:noProof/>
          <w:sz w:val="22"/>
          <w:szCs w:val="22"/>
        </w:rPr>
        <w:t xml:space="preserve">mljenih kredita </w:t>
      </w:r>
      <w:r w:rsidR="00784671" w:rsidRPr="00FE1270">
        <w:rPr>
          <w:rFonts w:ascii="Arial" w:hAnsi="Arial" w:cs="Arial"/>
          <w:noProof/>
          <w:sz w:val="22"/>
          <w:szCs w:val="22"/>
        </w:rPr>
        <w:t>3.544.089,34</w:t>
      </w:r>
      <w:r w:rsidR="0075236D" w:rsidRPr="00FE1270">
        <w:rPr>
          <w:rFonts w:ascii="Arial" w:hAnsi="Arial" w:cs="Arial"/>
          <w:noProof/>
          <w:sz w:val="22"/>
          <w:szCs w:val="22"/>
        </w:rPr>
        <w:t xml:space="preserve"> </w:t>
      </w:r>
      <w:r w:rsidR="008F5583" w:rsidRPr="00FE1270">
        <w:rPr>
          <w:rFonts w:ascii="Arial" w:hAnsi="Arial" w:cs="Arial"/>
          <w:noProof/>
          <w:sz w:val="22"/>
          <w:szCs w:val="22"/>
        </w:rPr>
        <w:t>eur</w:t>
      </w:r>
      <w:r w:rsidR="008F10BC" w:rsidRPr="00FE1270">
        <w:rPr>
          <w:rFonts w:ascii="Arial" w:hAnsi="Arial" w:cs="Arial"/>
          <w:noProof/>
          <w:sz w:val="22"/>
          <w:szCs w:val="22"/>
        </w:rPr>
        <w:t>a</w:t>
      </w:r>
      <w:r w:rsidR="00C715D0" w:rsidRPr="00FE1270">
        <w:rPr>
          <w:rFonts w:ascii="Arial" w:hAnsi="Arial" w:cs="Arial"/>
          <w:noProof/>
          <w:sz w:val="22"/>
          <w:szCs w:val="22"/>
        </w:rPr>
        <w:t>)</w:t>
      </w:r>
      <w:r w:rsidR="008F5583" w:rsidRPr="00FE1270">
        <w:rPr>
          <w:rFonts w:ascii="Arial" w:hAnsi="Arial" w:cs="Arial"/>
          <w:noProof/>
          <w:sz w:val="22"/>
          <w:szCs w:val="22"/>
        </w:rPr>
        <w:t>.</w:t>
      </w:r>
      <w:r w:rsidR="00766F13" w:rsidRPr="00FE1270">
        <w:rPr>
          <w:rFonts w:ascii="Arial" w:hAnsi="Arial" w:cs="Arial"/>
          <w:noProof/>
          <w:sz w:val="22"/>
          <w:szCs w:val="22"/>
        </w:rPr>
        <w:t xml:space="preserve"> </w:t>
      </w:r>
      <w:r w:rsidR="008F5583" w:rsidRPr="00FE1270">
        <w:rPr>
          <w:rFonts w:ascii="Arial" w:hAnsi="Arial" w:cs="Arial"/>
          <w:noProof/>
          <w:sz w:val="22"/>
          <w:szCs w:val="22"/>
        </w:rPr>
        <w:t>Izdaci za financijsku imovinu i otplate zajmov</w:t>
      </w:r>
      <w:r w:rsidR="008F10BC" w:rsidRPr="00FE1270">
        <w:rPr>
          <w:rFonts w:ascii="Arial" w:hAnsi="Arial" w:cs="Arial"/>
          <w:noProof/>
          <w:sz w:val="22"/>
          <w:szCs w:val="22"/>
        </w:rPr>
        <w:t>a</w:t>
      </w:r>
      <w:r w:rsidR="008F5583" w:rsidRPr="00FE1270">
        <w:rPr>
          <w:rFonts w:ascii="Arial" w:hAnsi="Arial" w:cs="Arial"/>
          <w:noProof/>
          <w:sz w:val="22"/>
          <w:szCs w:val="22"/>
        </w:rPr>
        <w:t xml:space="preserve"> kod korisnika iznose </w:t>
      </w:r>
      <w:r w:rsidR="00447598" w:rsidRPr="00FE1270">
        <w:rPr>
          <w:rFonts w:ascii="Arial" w:hAnsi="Arial" w:cs="Arial"/>
          <w:noProof/>
          <w:sz w:val="22"/>
          <w:szCs w:val="22"/>
        </w:rPr>
        <w:t xml:space="preserve">ukupno </w:t>
      </w:r>
      <w:r w:rsidR="00784671" w:rsidRPr="00FE1270">
        <w:rPr>
          <w:rFonts w:ascii="Arial" w:hAnsi="Arial" w:cs="Arial"/>
          <w:noProof/>
          <w:sz w:val="22"/>
          <w:szCs w:val="22"/>
        </w:rPr>
        <w:t>1.379.739,61</w:t>
      </w:r>
      <w:r w:rsidR="00447598" w:rsidRPr="00FE1270">
        <w:rPr>
          <w:rFonts w:ascii="Arial" w:hAnsi="Arial" w:cs="Arial"/>
          <w:noProof/>
          <w:sz w:val="22"/>
          <w:szCs w:val="22"/>
        </w:rPr>
        <w:t xml:space="preserve"> eura </w:t>
      </w:r>
      <w:r w:rsidR="00CD1270">
        <w:rPr>
          <w:rFonts w:ascii="Arial" w:hAnsi="Arial" w:cs="Arial"/>
          <w:noProof/>
          <w:sz w:val="22"/>
          <w:szCs w:val="22"/>
        </w:rPr>
        <w:t>(</w:t>
      </w:r>
      <w:r w:rsidR="000C3661" w:rsidRPr="00FE1270">
        <w:rPr>
          <w:rFonts w:ascii="Arial" w:hAnsi="Arial" w:cs="Arial"/>
          <w:noProof/>
          <w:sz w:val="22"/>
          <w:szCs w:val="22"/>
        </w:rPr>
        <w:t xml:space="preserve">APOS </w:t>
      </w:r>
      <w:r w:rsidR="006A7AF3" w:rsidRPr="00FE1270">
        <w:rPr>
          <w:rFonts w:ascii="Arial" w:hAnsi="Arial" w:cs="Arial"/>
          <w:noProof/>
          <w:sz w:val="22"/>
          <w:szCs w:val="22"/>
        </w:rPr>
        <w:t>560.</w:t>
      </w:r>
      <w:r w:rsidR="00784671" w:rsidRPr="00FE1270">
        <w:rPr>
          <w:rFonts w:ascii="Arial" w:hAnsi="Arial" w:cs="Arial"/>
          <w:noProof/>
          <w:sz w:val="22"/>
          <w:szCs w:val="22"/>
        </w:rPr>
        <w:t>688,89</w:t>
      </w:r>
      <w:r w:rsidR="00447598" w:rsidRPr="00FE1270">
        <w:rPr>
          <w:rFonts w:ascii="Arial" w:hAnsi="Arial" w:cs="Arial"/>
          <w:noProof/>
          <w:sz w:val="22"/>
          <w:szCs w:val="22"/>
        </w:rPr>
        <w:t xml:space="preserve"> eura</w:t>
      </w:r>
      <w:r w:rsidR="000C3661" w:rsidRPr="00FE1270">
        <w:rPr>
          <w:rFonts w:ascii="Arial" w:hAnsi="Arial" w:cs="Arial"/>
          <w:noProof/>
          <w:sz w:val="22"/>
          <w:szCs w:val="22"/>
        </w:rPr>
        <w:t xml:space="preserve">, </w:t>
      </w:r>
      <w:r w:rsidR="00896782" w:rsidRPr="00FE1270">
        <w:rPr>
          <w:rFonts w:ascii="Arial" w:hAnsi="Arial" w:cs="Arial"/>
          <w:noProof/>
          <w:sz w:val="22"/>
          <w:szCs w:val="22"/>
        </w:rPr>
        <w:t xml:space="preserve">Dječji vrtić Rijeka </w:t>
      </w:r>
      <w:r w:rsidR="00481906" w:rsidRPr="00FE1270">
        <w:rPr>
          <w:rFonts w:ascii="Arial" w:hAnsi="Arial" w:cs="Arial"/>
          <w:noProof/>
          <w:sz w:val="22"/>
          <w:szCs w:val="22"/>
        </w:rPr>
        <w:t>328.165,52 eura</w:t>
      </w:r>
      <w:r w:rsidR="005649AF" w:rsidRPr="00FE1270">
        <w:rPr>
          <w:rFonts w:ascii="Arial" w:hAnsi="Arial" w:cs="Arial"/>
          <w:noProof/>
          <w:sz w:val="22"/>
          <w:szCs w:val="22"/>
        </w:rPr>
        <w:t xml:space="preserve">, Dječji vrtić More </w:t>
      </w:r>
      <w:r w:rsidR="00481906" w:rsidRPr="00FE1270">
        <w:rPr>
          <w:rFonts w:ascii="Arial" w:hAnsi="Arial" w:cs="Arial"/>
          <w:noProof/>
          <w:sz w:val="22"/>
          <w:szCs w:val="22"/>
        </w:rPr>
        <w:t>245.442,60 eura</w:t>
      </w:r>
      <w:r w:rsidR="00F22962" w:rsidRPr="00FE1270">
        <w:rPr>
          <w:rFonts w:ascii="Arial" w:hAnsi="Arial" w:cs="Arial"/>
          <w:noProof/>
          <w:sz w:val="22"/>
          <w:szCs w:val="22"/>
        </w:rPr>
        <w:t xml:space="preserve"> i Dječji vrtić Sušak </w:t>
      </w:r>
      <w:r w:rsidR="00481906" w:rsidRPr="00FE1270">
        <w:rPr>
          <w:rFonts w:ascii="Arial" w:hAnsi="Arial" w:cs="Arial"/>
          <w:noProof/>
          <w:sz w:val="22"/>
          <w:szCs w:val="22"/>
        </w:rPr>
        <w:t>245.442,60 eura</w:t>
      </w:r>
      <w:r w:rsidR="00CD1270">
        <w:rPr>
          <w:rFonts w:ascii="Arial" w:hAnsi="Arial" w:cs="Arial"/>
          <w:noProof/>
          <w:sz w:val="22"/>
          <w:szCs w:val="22"/>
        </w:rPr>
        <w:t>)</w:t>
      </w:r>
      <w:r w:rsidR="009D4D14" w:rsidRPr="00FE1270">
        <w:rPr>
          <w:rFonts w:ascii="Arial" w:hAnsi="Arial" w:cs="Arial"/>
          <w:noProof/>
          <w:sz w:val="22"/>
          <w:szCs w:val="22"/>
        </w:rPr>
        <w:t>.</w:t>
      </w:r>
    </w:p>
    <w:p w:rsidR="002B1D3F" w:rsidRPr="00FE1270" w:rsidRDefault="002B1D3F" w:rsidP="002B1D3F">
      <w:pPr>
        <w:rPr>
          <w:noProof/>
        </w:rPr>
      </w:pPr>
    </w:p>
    <w:p w:rsidR="00D4283A" w:rsidRPr="00FE1270" w:rsidRDefault="00D4283A" w:rsidP="00D4283A">
      <w:pPr>
        <w:pStyle w:val="Heading4"/>
        <w:rPr>
          <w:rFonts w:cs="Arial"/>
          <w:noProof/>
          <w:szCs w:val="22"/>
        </w:rPr>
      </w:pPr>
      <w:r w:rsidRPr="00FE1270">
        <w:rPr>
          <w:rFonts w:cs="Arial"/>
          <w:noProof/>
          <w:szCs w:val="22"/>
        </w:rPr>
        <w:t xml:space="preserve">Bilješka broj </w:t>
      </w:r>
      <w:r w:rsidR="00D0242F" w:rsidRPr="00FE1270">
        <w:rPr>
          <w:rFonts w:cs="Arial"/>
          <w:noProof/>
          <w:szCs w:val="22"/>
        </w:rPr>
        <w:t>1</w:t>
      </w:r>
      <w:r w:rsidR="00AA7BB6" w:rsidRPr="00FE1270">
        <w:rPr>
          <w:rFonts w:cs="Arial"/>
          <w:noProof/>
          <w:szCs w:val="22"/>
        </w:rPr>
        <w:t>2</w:t>
      </w:r>
      <w:r w:rsidRPr="00FE1270">
        <w:rPr>
          <w:rFonts w:cs="Arial"/>
          <w:noProof/>
          <w:szCs w:val="22"/>
        </w:rPr>
        <w:t xml:space="preserve"> </w:t>
      </w:r>
      <w:r w:rsidR="00D910A7" w:rsidRPr="00FE1270">
        <w:rPr>
          <w:rFonts w:cs="Arial"/>
          <w:noProof/>
          <w:szCs w:val="22"/>
        </w:rPr>
        <w:t>–</w:t>
      </w:r>
      <w:r w:rsidRPr="00FE1270">
        <w:rPr>
          <w:rFonts w:cs="Arial"/>
          <w:noProof/>
          <w:szCs w:val="22"/>
        </w:rPr>
        <w:t xml:space="preserve"> </w:t>
      </w:r>
      <w:r w:rsidR="00C901D4" w:rsidRPr="00FE1270">
        <w:rPr>
          <w:rFonts w:cs="Arial"/>
          <w:noProof/>
          <w:szCs w:val="22"/>
        </w:rPr>
        <w:t>Višak</w:t>
      </w:r>
      <w:r w:rsidR="00D910A7" w:rsidRPr="00FE1270">
        <w:rPr>
          <w:rFonts w:cs="Arial"/>
          <w:noProof/>
          <w:szCs w:val="22"/>
        </w:rPr>
        <w:t xml:space="preserve"> </w:t>
      </w:r>
      <w:r w:rsidRPr="00FE1270">
        <w:rPr>
          <w:rFonts w:cs="Arial"/>
          <w:noProof/>
          <w:szCs w:val="22"/>
        </w:rPr>
        <w:t xml:space="preserve">prihoda i primitaka </w:t>
      </w:r>
      <w:r w:rsidR="00C901D4" w:rsidRPr="00FE1270">
        <w:rPr>
          <w:rFonts w:cs="Arial"/>
          <w:noProof/>
          <w:szCs w:val="22"/>
        </w:rPr>
        <w:t xml:space="preserve">raspoloživ </w:t>
      </w:r>
      <w:r w:rsidR="00A34469" w:rsidRPr="00FE1270">
        <w:rPr>
          <w:rFonts w:cs="Arial"/>
          <w:noProof/>
          <w:szCs w:val="22"/>
        </w:rPr>
        <w:t>u sljedećem razdoblju (</w:t>
      </w:r>
      <w:r w:rsidR="00C901D4" w:rsidRPr="00FE1270">
        <w:rPr>
          <w:rFonts w:cs="Arial"/>
          <w:noProof/>
          <w:szCs w:val="22"/>
        </w:rPr>
        <w:t>X</w:t>
      </w:r>
      <w:r w:rsidR="006C0BB8" w:rsidRPr="00FE1270">
        <w:rPr>
          <w:rFonts w:cs="Arial"/>
          <w:noProof/>
          <w:szCs w:val="22"/>
        </w:rPr>
        <w:t>006</w:t>
      </w:r>
      <w:r w:rsidRPr="00FE1270">
        <w:rPr>
          <w:rFonts w:cs="Arial"/>
          <w:noProof/>
          <w:szCs w:val="22"/>
        </w:rPr>
        <w:t>)</w:t>
      </w:r>
    </w:p>
    <w:p w:rsidR="00873233" w:rsidRPr="00F00AA1" w:rsidRDefault="001154F3" w:rsidP="00873233">
      <w:pPr>
        <w:jc w:val="both"/>
        <w:rPr>
          <w:rFonts w:ascii="Arial" w:hAnsi="Arial" w:cs="Arial"/>
          <w:bCs/>
          <w:sz w:val="22"/>
          <w:szCs w:val="22"/>
          <w:lang w:eastAsia="hr-HR"/>
        </w:rPr>
      </w:pPr>
      <w:r w:rsidRPr="00873233">
        <w:rPr>
          <w:rFonts w:ascii="Arial" w:hAnsi="Arial" w:cs="Arial"/>
          <w:noProof/>
          <w:sz w:val="22"/>
          <w:szCs w:val="22"/>
        </w:rPr>
        <w:t>Ukup</w:t>
      </w:r>
      <w:r w:rsidR="00750C3A" w:rsidRPr="00873233">
        <w:rPr>
          <w:rFonts w:ascii="Arial" w:hAnsi="Arial" w:cs="Arial"/>
          <w:noProof/>
          <w:sz w:val="22"/>
          <w:szCs w:val="22"/>
        </w:rPr>
        <w:t>ni</w:t>
      </w:r>
      <w:r w:rsidRPr="00873233">
        <w:rPr>
          <w:rFonts w:ascii="Arial" w:hAnsi="Arial" w:cs="Arial"/>
          <w:noProof/>
          <w:sz w:val="22"/>
          <w:szCs w:val="22"/>
        </w:rPr>
        <w:t xml:space="preserve"> konsolidirani </w:t>
      </w:r>
      <w:r w:rsidR="00F661BC" w:rsidRPr="00873233">
        <w:rPr>
          <w:rFonts w:ascii="Arial" w:hAnsi="Arial" w:cs="Arial"/>
          <w:noProof/>
          <w:sz w:val="22"/>
          <w:szCs w:val="22"/>
        </w:rPr>
        <w:t>v</w:t>
      </w:r>
      <w:r w:rsidR="00C901D4" w:rsidRPr="00873233">
        <w:rPr>
          <w:rFonts w:ascii="Arial" w:hAnsi="Arial" w:cs="Arial"/>
          <w:noProof/>
          <w:sz w:val="22"/>
          <w:szCs w:val="22"/>
        </w:rPr>
        <w:t>išak</w:t>
      </w:r>
      <w:r w:rsidR="00D4283A" w:rsidRPr="00873233">
        <w:rPr>
          <w:rFonts w:ascii="Arial" w:hAnsi="Arial" w:cs="Arial"/>
          <w:noProof/>
          <w:sz w:val="22"/>
          <w:szCs w:val="22"/>
        </w:rPr>
        <w:t xml:space="preserve"> prihoda i primitaka</w:t>
      </w:r>
      <w:r w:rsidR="00C901D4" w:rsidRPr="00873233">
        <w:rPr>
          <w:rFonts w:ascii="Arial" w:hAnsi="Arial" w:cs="Arial"/>
          <w:noProof/>
          <w:sz w:val="22"/>
          <w:szCs w:val="22"/>
        </w:rPr>
        <w:t xml:space="preserve"> raspoloživ </w:t>
      </w:r>
      <w:r w:rsidR="00930C62" w:rsidRPr="00873233">
        <w:rPr>
          <w:rFonts w:ascii="Arial" w:hAnsi="Arial" w:cs="Arial"/>
          <w:noProof/>
          <w:sz w:val="22"/>
          <w:szCs w:val="22"/>
        </w:rPr>
        <w:t>u sl</w:t>
      </w:r>
      <w:r w:rsidR="00B83490" w:rsidRPr="00873233">
        <w:rPr>
          <w:rFonts w:ascii="Arial" w:hAnsi="Arial" w:cs="Arial"/>
          <w:noProof/>
          <w:sz w:val="22"/>
          <w:szCs w:val="22"/>
        </w:rPr>
        <w:t xml:space="preserve">jedećem razdoblju </w:t>
      </w:r>
      <w:r w:rsidR="00D4283A" w:rsidRPr="00873233">
        <w:rPr>
          <w:rFonts w:ascii="Arial" w:hAnsi="Arial" w:cs="Arial"/>
          <w:noProof/>
          <w:sz w:val="22"/>
          <w:szCs w:val="22"/>
        </w:rPr>
        <w:t xml:space="preserve">ostvaren je u iznosu </w:t>
      </w:r>
      <w:r w:rsidR="00FD6857" w:rsidRPr="00873233">
        <w:rPr>
          <w:rFonts w:ascii="Arial" w:hAnsi="Arial" w:cs="Arial"/>
          <w:noProof/>
          <w:sz w:val="22"/>
          <w:szCs w:val="22"/>
        </w:rPr>
        <w:t>25.259.484,31</w:t>
      </w:r>
      <w:r w:rsidR="00C901D4" w:rsidRPr="00873233">
        <w:rPr>
          <w:rFonts w:ascii="Arial" w:hAnsi="Arial" w:cs="Arial"/>
          <w:noProof/>
          <w:sz w:val="22"/>
          <w:szCs w:val="22"/>
        </w:rPr>
        <w:t xml:space="preserve"> </w:t>
      </w:r>
      <w:r w:rsidR="00C901D4" w:rsidRPr="00F00AA1">
        <w:rPr>
          <w:rFonts w:ascii="Arial" w:hAnsi="Arial" w:cs="Arial"/>
          <w:noProof/>
          <w:sz w:val="22"/>
          <w:szCs w:val="22"/>
        </w:rPr>
        <w:t>eura</w:t>
      </w:r>
      <w:r w:rsidR="002F2E73" w:rsidRPr="00F00AA1">
        <w:rPr>
          <w:rFonts w:ascii="Arial" w:hAnsi="Arial" w:cs="Arial"/>
          <w:noProof/>
          <w:sz w:val="22"/>
          <w:szCs w:val="22"/>
        </w:rPr>
        <w:t>.</w:t>
      </w:r>
      <w:r w:rsidR="0085320B" w:rsidRPr="00F00AA1">
        <w:rPr>
          <w:rFonts w:ascii="Arial" w:hAnsi="Arial" w:cs="Arial"/>
          <w:noProof/>
          <w:sz w:val="22"/>
          <w:szCs w:val="22"/>
        </w:rPr>
        <w:t xml:space="preserve"> </w:t>
      </w:r>
      <w:r w:rsidR="00873233" w:rsidRPr="00F00AA1">
        <w:rPr>
          <w:rFonts w:ascii="Arial" w:hAnsi="Arial" w:cs="Arial"/>
          <w:bCs/>
          <w:sz w:val="22"/>
          <w:szCs w:val="22"/>
        </w:rPr>
        <w:t xml:space="preserve">Dio navedenog konsolidiranog iznosa viška prihoda i primitaka u iznosu od 20.163.151 eura već je planirano za korištenje u Proračunu Grada Rijeke za 2025. godinu. </w:t>
      </w:r>
    </w:p>
    <w:p w:rsidR="00EB6753" w:rsidRPr="00FE1270" w:rsidRDefault="0091580A" w:rsidP="00EB6753">
      <w:pPr>
        <w:pStyle w:val="BodyText2"/>
        <w:rPr>
          <w:rFonts w:cs="Arial"/>
          <w:noProof/>
          <w:sz w:val="22"/>
          <w:szCs w:val="22"/>
        </w:rPr>
      </w:pPr>
      <w:r w:rsidRPr="00F00AA1">
        <w:rPr>
          <w:rFonts w:cs="Arial"/>
          <w:noProof/>
          <w:sz w:val="22"/>
          <w:szCs w:val="22"/>
        </w:rPr>
        <w:t>U sl</w:t>
      </w:r>
      <w:r w:rsidR="00EB6753" w:rsidRPr="00F00AA1">
        <w:rPr>
          <w:rFonts w:cs="Arial"/>
          <w:noProof/>
          <w:sz w:val="22"/>
          <w:szCs w:val="22"/>
        </w:rPr>
        <w:t>jede</w:t>
      </w:r>
      <w:r w:rsidR="00245FF5" w:rsidRPr="00F00AA1">
        <w:rPr>
          <w:rFonts w:cs="Arial"/>
          <w:noProof/>
          <w:sz w:val="22"/>
          <w:szCs w:val="22"/>
        </w:rPr>
        <w:t>će razdoblje Grad prenosi višak</w:t>
      </w:r>
      <w:r w:rsidR="00EB6753" w:rsidRPr="00F00AA1">
        <w:rPr>
          <w:rFonts w:cs="Arial"/>
          <w:noProof/>
          <w:sz w:val="22"/>
          <w:szCs w:val="22"/>
        </w:rPr>
        <w:t xml:space="preserve"> od </w:t>
      </w:r>
      <w:r w:rsidR="00FD6857" w:rsidRPr="00F00AA1">
        <w:rPr>
          <w:rFonts w:cs="Arial"/>
          <w:noProof/>
          <w:sz w:val="22"/>
          <w:szCs w:val="22"/>
        </w:rPr>
        <w:t>28.571.369,79</w:t>
      </w:r>
      <w:r w:rsidR="00245FF5" w:rsidRPr="00F00AA1">
        <w:rPr>
          <w:rFonts w:cs="Arial"/>
          <w:noProof/>
          <w:sz w:val="22"/>
          <w:szCs w:val="22"/>
        </w:rPr>
        <w:t xml:space="preserve"> eura</w:t>
      </w:r>
      <w:r w:rsidR="00FD6857" w:rsidRPr="00F00AA1">
        <w:rPr>
          <w:rFonts w:cs="Arial"/>
          <w:noProof/>
          <w:sz w:val="22"/>
          <w:szCs w:val="22"/>
        </w:rPr>
        <w:t xml:space="preserve"> dok je kod korisnika </w:t>
      </w:r>
      <w:r w:rsidR="0075236D" w:rsidRPr="00F00AA1">
        <w:rPr>
          <w:rFonts w:cs="Arial"/>
          <w:noProof/>
          <w:sz w:val="22"/>
          <w:szCs w:val="22"/>
        </w:rPr>
        <w:t>ostvaren</w:t>
      </w:r>
      <w:r w:rsidR="00E96443" w:rsidRPr="00F00AA1">
        <w:rPr>
          <w:rFonts w:cs="Arial"/>
          <w:noProof/>
          <w:sz w:val="22"/>
          <w:szCs w:val="22"/>
        </w:rPr>
        <w:t xml:space="preserve"> (prebijeno</w:t>
      </w:r>
      <w:r w:rsidR="00031BCF">
        <w:rPr>
          <w:rFonts w:cs="Arial"/>
          <w:noProof/>
          <w:sz w:val="22"/>
          <w:szCs w:val="22"/>
        </w:rPr>
        <w:t xml:space="preserve"> viškovi i manjkovi</w:t>
      </w:r>
      <w:r w:rsidR="00E96443" w:rsidRPr="00FE1270">
        <w:rPr>
          <w:rFonts w:cs="Arial"/>
          <w:noProof/>
          <w:sz w:val="22"/>
          <w:szCs w:val="22"/>
        </w:rPr>
        <w:t xml:space="preserve">) </w:t>
      </w:r>
      <w:r w:rsidR="0075236D" w:rsidRPr="00FE1270">
        <w:rPr>
          <w:rFonts w:cs="Arial"/>
          <w:noProof/>
          <w:sz w:val="22"/>
          <w:szCs w:val="22"/>
        </w:rPr>
        <w:t xml:space="preserve">ukupan manjak </w:t>
      </w:r>
      <w:r w:rsidR="00FD6857" w:rsidRPr="00FE1270">
        <w:rPr>
          <w:rFonts w:cs="Arial"/>
          <w:noProof/>
          <w:sz w:val="22"/>
          <w:szCs w:val="22"/>
        </w:rPr>
        <w:t>3.311.885,48 eura</w:t>
      </w:r>
      <w:r w:rsidR="00F00AA1">
        <w:rPr>
          <w:rFonts w:cs="Arial"/>
          <w:noProof/>
          <w:sz w:val="22"/>
          <w:szCs w:val="22"/>
        </w:rPr>
        <w:t xml:space="preserve"> koji je iznimno ove izvještajne godine, kod većine korisnika, nastao evidentiranjem 13. mjesečnog rashoda zbog ukidanja podskupine računa 193 -kontinuirani rashodi.</w:t>
      </w:r>
      <w:r w:rsidR="00FD6857" w:rsidRPr="00FE1270">
        <w:rPr>
          <w:rFonts w:cs="Arial"/>
          <w:noProof/>
          <w:sz w:val="22"/>
          <w:szCs w:val="22"/>
        </w:rPr>
        <w:t xml:space="preserve"> </w:t>
      </w:r>
    </w:p>
    <w:p w:rsidR="00873233" w:rsidRDefault="00873233" w:rsidP="00873233">
      <w:pPr>
        <w:rPr>
          <w:rFonts w:ascii="Arial" w:hAnsi="Arial" w:cs="Arial"/>
          <w:bCs/>
          <w:sz w:val="22"/>
          <w:szCs w:val="22"/>
        </w:rPr>
      </w:pPr>
    </w:p>
    <w:p w:rsidR="00682A4D" w:rsidRPr="00FE1270" w:rsidRDefault="00682A4D" w:rsidP="00682A4D">
      <w:pPr>
        <w:pStyle w:val="BodyText2"/>
        <w:rPr>
          <w:rFonts w:cs="Arial"/>
          <w:noProof/>
          <w:sz w:val="22"/>
          <w:szCs w:val="22"/>
        </w:rPr>
      </w:pPr>
      <w:r w:rsidRPr="00FE1270">
        <w:rPr>
          <w:rFonts w:cs="Arial"/>
          <w:noProof/>
          <w:sz w:val="22"/>
          <w:szCs w:val="22"/>
        </w:rPr>
        <w:t xml:space="preserve">Pregled strukture viška/manjka po </w:t>
      </w:r>
      <w:r w:rsidR="00FD6857" w:rsidRPr="00FE1270">
        <w:rPr>
          <w:rFonts w:cs="Arial"/>
          <w:noProof/>
          <w:sz w:val="22"/>
          <w:szCs w:val="22"/>
        </w:rPr>
        <w:t>proračunskim korisnicima za 2024</w:t>
      </w:r>
      <w:r w:rsidRPr="00FE1270">
        <w:rPr>
          <w:rFonts w:cs="Arial"/>
          <w:noProof/>
          <w:sz w:val="22"/>
          <w:szCs w:val="22"/>
        </w:rPr>
        <w:t xml:space="preserve">. godinu </w:t>
      </w:r>
      <w:r w:rsidRPr="00FE1270">
        <w:rPr>
          <w:rFonts w:cs="Arial"/>
          <w:bCs/>
          <w:noProof/>
          <w:color w:val="000000"/>
          <w:sz w:val="22"/>
          <w:szCs w:val="22"/>
          <w:lang w:eastAsia="hr-HR"/>
        </w:rPr>
        <w:t xml:space="preserve">iskazan je u Tablici 2. </w:t>
      </w:r>
      <w:r w:rsidR="00FC03F0" w:rsidRPr="00FC03F0">
        <w:rPr>
          <w:rFonts w:cs="Arial"/>
          <w:i/>
          <w:noProof/>
          <w:sz w:val="22"/>
          <w:szCs w:val="22"/>
        </w:rPr>
        <w:t>Pregled viška/manjka, dospjelih obveza i stanja novčanih sredstava po proračunskim korisnicima</w:t>
      </w:r>
      <w:r w:rsidR="00FC03F0">
        <w:rPr>
          <w:rFonts w:cs="Arial"/>
          <w:i/>
          <w:noProof/>
          <w:sz w:val="22"/>
          <w:szCs w:val="22"/>
        </w:rPr>
        <w:t>,</w:t>
      </w:r>
      <w:r w:rsidR="00FC03F0" w:rsidRPr="00FE1270">
        <w:rPr>
          <w:rFonts w:cs="Arial"/>
          <w:bCs/>
          <w:noProof/>
          <w:color w:val="000000"/>
          <w:sz w:val="22"/>
          <w:szCs w:val="22"/>
          <w:lang w:eastAsia="hr-HR"/>
        </w:rPr>
        <w:t xml:space="preserve"> </w:t>
      </w:r>
      <w:r w:rsidRPr="00FE1270">
        <w:rPr>
          <w:rFonts w:cs="Arial"/>
          <w:bCs/>
          <w:noProof/>
          <w:color w:val="000000"/>
          <w:sz w:val="22"/>
          <w:szCs w:val="22"/>
          <w:lang w:eastAsia="hr-HR"/>
        </w:rPr>
        <w:t>na kraju ovih Bilješki.</w:t>
      </w:r>
    </w:p>
    <w:p w:rsidR="00A34469" w:rsidRPr="00FE1270" w:rsidRDefault="00A34469" w:rsidP="00D4283A">
      <w:pPr>
        <w:pStyle w:val="BodyText2"/>
        <w:rPr>
          <w:rFonts w:cs="Arial"/>
          <w:noProof/>
          <w:color w:val="FF0000"/>
          <w:sz w:val="22"/>
          <w:szCs w:val="22"/>
        </w:rPr>
      </w:pPr>
    </w:p>
    <w:p w:rsidR="00566694" w:rsidRPr="00FE1270" w:rsidRDefault="00566694">
      <w:pPr>
        <w:pStyle w:val="Heading4"/>
        <w:rPr>
          <w:rFonts w:cs="Arial"/>
          <w:noProof/>
          <w:szCs w:val="22"/>
        </w:rPr>
      </w:pPr>
      <w:r w:rsidRPr="00FE1270">
        <w:rPr>
          <w:rFonts w:cs="Arial"/>
          <w:noProof/>
          <w:szCs w:val="22"/>
        </w:rPr>
        <w:t>Bilješka broj 1</w:t>
      </w:r>
      <w:r w:rsidR="00AA7BB6" w:rsidRPr="00FE1270">
        <w:rPr>
          <w:rFonts w:cs="Arial"/>
          <w:noProof/>
          <w:szCs w:val="22"/>
        </w:rPr>
        <w:t>3</w:t>
      </w:r>
      <w:r w:rsidRPr="00FE1270">
        <w:rPr>
          <w:rFonts w:cs="Arial"/>
          <w:noProof/>
          <w:szCs w:val="22"/>
        </w:rPr>
        <w:t xml:space="preserve"> </w:t>
      </w:r>
      <w:r w:rsidR="004A55B3" w:rsidRPr="00FE1270">
        <w:rPr>
          <w:rFonts w:cs="Arial"/>
          <w:noProof/>
          <w:szCs w:val="22"/>
        </w:rPr>
        <w:t>-</w:t>
      </w:r>
      <w:r w:rsidRPr="00FE1270">
        <w:rPr>
          <w:rFonts w:cs="Arial"/>
          <w:noProof/>
          <w:szCs w:val="22"/>
        </w:rPr>
        <w:t xml:space="preserve"> stanje novč</w:t>
      </w:r>
      <w:r w:rsidR="00B417CF" w:rsidRPr="00FE1270">
        <w:rPr>
          <w:rFonts w:cs="Arial"/>
          <w:noProof/>
          <w:szCs w:val="22"/>
        </w:rPr>
        <w:t>anih sredstava na kraju izvještajnog razdoblja</w:t>
      </w:r>
      <w:r w:rsidRPr="00FE1270">
        <w:rPr>
          <w:rFonts w:cs="Arial"/>
          <w:noProof/>
          <w:szCs w:val="22"/>
        </w:rPr>
        <w:t xml:space="preserve"> (</w:t>
      </w:r>
      <w:r w:rsidR="006C0BB8" w:rsidRPr="00FE1270">
        <w:rPr>
          <w:rFonts w:cs="Arial"/>
          <w:noProof/>
          <w:szCs w:val="22"/>
        </w:rPr>
        <w:t>11K</w:t>
      </w:r>
      <w:r w:rsidRPr="00FE1270">
        <w:rPr>
          <w:rFonts w:cs="Arial"/>
          <w:noProof/>
          <w:szCs w:val="22"/>
        </w:rPr>
        <w:t>)</w:t>
      </w:r>
    </w:p>
    <w:p w:rsidR="002A0180" w:rsidRPr="00FE1270" w:rsidRDefault="00566694" w:rsidP="002A0180">
      <w:pPr>
        <w:pStyle w:val="BodyText3"/>
        <w:rPr>
          <w:rFonts w:cs="Arial"/>
          <w:b w:val="0"/>
          <w:noProof/>
          <w:sz w:val="22"/>
          <w:szCs w:val="22"/>
        </w:rPr>
      </w:pPr>
      <w:r w:rsidRPr="00FE1270">
        <w:rPr>
          <w:rFonts w:cs="Arial"/>
          <w:b w:val="0"/>
          <w:noProof/>
          <w:sz w:val="22"/>
          <w:szCs w:val="22"/>
        </w:rPr>
        <w:t>Novčana sredstva na kraju razdoblja</w:t>
      </w:r>
      <w:r w:rsidR="002A0180" w:rsidRPr="00FE1270">
        <w:t xml:space="preserve"> </w:t>
      </w:r>
      <w:r w:rsidR="002A0180" w:rsidRPr="00FE1270">
        <w:rPr>
          <w:rFonts w:cs="Arial"/>
          <w:b w:val="0"/>
          <w:noProof/>
          <w:sz w:val="22"/>
          <w:szCs w:val="22"/>
        </w:rPr>
        <w:t xml:space="preserve">na svim računima </w:t>
      </w:r>
      <w:r w:rsidRPr="00FE1270">
        <w:rPr>
          <w:rFonts w:cs="Arial"/>
          <w:b w:val="0"/>
          <w:noProof/>
          <w:sz w:val="22"/>
          <w:szCs w:val="22"/>
        </w:rPr>
        <w:t xml:space="preserve">iznose </w:t>
      </w:r>
      <w:r w:rsidR="00FD6857" w:rsidRPr="00FE1270">
        <w:rPr>
          <w:rFonts w:cs="Arial"/>
          <w:b w:val="0"/>
          <w:noProof/>
          <w:sz w:val="22"/>
          <w:szCs w:val="22"/>
        </w:rPr>
        <w:t>48.876.180,56</w:t>
      </w:r>
      <w:r w:rsidR="0075583E" w:rsidRPr="00FE1270">
        <w:rPr>
          <w:rFonts w:cs="Arial"/>
          <w:b w:val="0"/>
          <w:noProof/>
          <w:sz w:val="22"/>
          <w:szCs w:val="22"/>
        </w:rPr>
        <w:t xml:space="preserve"> eura</w:t>
      </w:r>
      <w:r w:rsidRPr="00FE1270">
        <w:rPr>
          <w:rFonts w:cs="Arial"/>
          <w:b w:val="0"/>
          <w:noProof/>
          <w:sz w:val="22"/>
          <w:szCs w:val="22"/>
        </w:rPr>
        <w:t xml:space="preserve"> od čega</w:t>
      </w:r>
      <w:r w:rsidR="002A0180" w:rsidRPr="00FE1270">
        <w:rPr>
          <w:rFonts w:cs="Arial"/>
          <w:b w:val="0"/>
          <w:noProof/>
          <w:sz w:val="22"/>
          <w:szCs w:val="22"/>
        </w:rPr>
        <w:t xml:space="preserve"> </w:t>
      </w:r>
      <w:r w:rsidR="0006594A" w:rsidRPr="00FE1270">
        <w:rPr>
          <w:rFonts w:cs="Arial"/>
          <w:b w:val="0"/>
          <w:noProof/>
          <w:sz w:val="22"/>
          <w:szCs w:val="22"/>
        </w:rPr>
        <w:t xml:space="preserve">stanje na </w:t>
      </w:r>
      <w:r w:rsidR="002A0180" w:rsidRPr="00FE1270">
        <w:rPr>
          <w:rFonts w:cs="Arial"/>
          <w:b w:val="0"/>
          <w:noProof/>
          <w:sz w:val="22"/>
          <w:szCs w:val="22"/>
        </w:rPr>
        <w:t>jedinstven</w:t>
      </w:r>
      <w:r w:rsidR="0006594A" w:rsidRPr="00FE1270">
        <w:rPr>
          <w:rFonts w:cs="Arial"/>
          <w:b w:val="0"/>
          <w:noProof/>
          <w:sz w:val="22"/>
          <w:szCs w:val="22"/>
        </w:rPr>
        <w:t>om</w:t>
      </w:r>
      <w:r w:rsidR="002A0180" w:rsidRPr="00FE1270">
        <w:rPr>
          <w:rFonts w:cs="Arial"/>
          <w:b w:val="0"/>
          <w:noProof/>
          <w:sz w:val="22"/>
          <w:szCs w:val="22"/>
        </w:rPr>
        <w:t xml:space="preserve"> račun</w:t>
      </w:r>
      <w:r w:rsidR="0006594A" w:rsidRPr="00FE1270">
        <w:rPr>
          <w:rFonts w:cs="Arial"/>
          <w:b w:val="0"/>
          <w:noProof/>
          <w:sz w:val="22"/>
          <w:szCs w:val="22"/>
        </w:rPr>
        <w:t>u</w:t>
      </w:r>
      <w:r w:rsidR="002A0180" w:rsidRPr="00FE1270">
        <w:rPr>
          <w:rFonts w:cs="Arial"/>
          <w:b w:val="0"/>
          <w:noProof/>
          <w:sz w:val="22"/>
          <w:szCs w:val="22"/>
        </w:rPr>
        <w:t xml:space="preserve"> riznice Grada i proračunskih korisnika, račun</w:t>
      </w:r>
      <w:r w:rsidR="0006594A" w:rsidRPr="00FE1270">
        <w:rPr>
          <w:rFonts w:cs="Arial"/>
          <w:b w:val="0"/>
          <w:noProof/>
          <w:sz w:val="22"/>
          <w:szCs w:val="22"/>
        </w:rPr>
        <w:t>u</w:t>
      </w:r>
      <w:r w:rsidR="002A0180" w:rsidRPr="00FE1270">
        <w:rPr>
          <w:rFonts w:cs="Arial"/>
          <w:b w:val="0"/>
          <w:noProof/>
          <w:sz w:val="22"/>
          <w:szCs w:val="22"/>
        </w:rPr>
        <w:t xml:space="preserve"> depozita i posebne namjene te blagajn</w:t>
      </w:r>
      <w:r w:rsidR="0006594A" w:rsidRPr="00FE1270">
        <w:rPr>
          <w:rFonts w:cs="Arial"/>
          <w:b w:val="0"/>
          <w:noProof/>
          <w:sz w:val="22"/>
          <w:szCs w:val="22"/>
        </w:rPr>
        <w:t>i</w:t>
      </w:r>
      <w:r w:rsidR="002A0180" w:rsidRPr="00FE1270">
        <w:rPr>
          <w:rFonts w:cs="Arial"/>
          <w:b w:val="0"/>
          <w:noProof/>
          <w:sz w:val="22"/>
          <w:szCs w:val="22"/>
        </w:rPr>
        <w:t xml:space="preserve"> iznosi </w:t>
      </w:r>
      <w:r w:rsidR="00FD6857" w:rsidRPr="00FE1270">
        <w:rPr>
          <w:rFonts w:cs="Arial"/>
          <w:b w:val="0"/>
          <w:noProof/>
          <w:sz w:val="22"/>
          <w:szCs w:val="22"/>
        </w:rPr>
        <w:t>47.227.037,28</w:t>
      </w:r>
      <w:r w:rsidR="002A0180" w:rsidRPr="00FE1270">
        <w:rPr>
          <w:rFonts w:cs="Arial"/>
          <w:b w:val="0"/>
          <w:noProof/>
          <w:sz w:val="22"/>
          <w:szCs w:val="22"/>
        </w:rPr>
        <w:t xml:space="preserve"> eura, a stanje na posebnim računima svih korisnika, ukupno </w:t>
      </w:r>
      <w:r w:rsidR="00FD6857" w:rsidRPr="00FE1270">
        <w:rPr>
          <w:rFonts w:cs="Arial"/>
          <w:b w:val="0"/>
          <w:noProof/>
          <w:sz w:val="22"/>
          <w:szCs w:val="22"/>
        </w:rPr>
        <w:t>1.649.143,28</w:t>
      </w:r>
      <w:r w:rsidR="002A0180" w:rsidRPr="00FE1270">
        <w:rPr>
          <w:rFonts w:cs="Arial"/>
          <w:b w:val="0"/>
          <w:noProof/>
          <w:sz w:val="22"/>
          <w:szCs w:val="22"/>
        </w:rPr>
        <w:t xml:space="preserve"> eura.</w:t>
      </w:r>
    </w:p>
    <w:p w:rsidR="002A0180" w:rsidRPr="00FE1270" w:rsidRDefault="002A0180" w:rsidP="00BD6BBD">
      <w:pPr>
        <w:pStyle w:val="BodyText3"/>
        <w:rPr>
          <w:rFonts w:cs="Arial"/>
          <w:b w:val="0"/>
          <w:noProof/>
          <w:sz w:val="22"/>
          <w:szCs w:val="22"/>
        </w:rPr>
      </w:pPr>
    </w:p>
    <w:p w:rsidR="002A0180" w:rsidRPr="00FE1270" w:rsidRDefault="002A0180" w:rsidP="00BD6BBD">
      <w:pPr>
        <w:pStyle w:val="BodyText3"/>
        <w:rPr>
          <w:rFonts w:cs="Arial"/>
          <w:b w:val="0"/>
          <w:noProof/>
          <w:sz w:val="22"/>
          <w:szCs w:val="22"/>
        </w:rPr>
      </w:pPr>
    </w:p>
    <w:p w:rsidR="0071478B" w:rsidRPr="00FE1270" w:rsidRDefault="0071478B" w:rsidP="0024193C">
      <w:pPr>
        <w:pStyle w:val="BodyText3"/>
        <w:rPr>
          <w:rFonts w:cs="Arial"/>
          <w:b w:val="0"/>
          <w:noProof/>
          <w:sz w:val="22"/>
          <w:szCs w:val="22"/>
        </w:rPr>
      </w:pPr>
    </w:p>
    <w:p w:rsidR="00E96C3C" w:rsidRDefault="00E96C3C" w:rsidP="00936AB7">
      <w:pPr>
        <w:pStyle w:val="BodyText3"/>
        <w:rPr>
          <w:rFonts w:cs="Arial"/>
          <w:b w:val="0"/>
          <w:noProof/>
          <w:color w:val="1F3864"/>
          <w:sz w:val="22"/>
          <w:szCs w:val="22"/>
        </w:rPr>
      </w:pPr>
    </w:p>
    <w:p w:rsidR="00A06642" w:rsidRDefault="00A06642" w:rsidP="00936AB7">
      <w:pPr>
        <w:pStyle w:val="BodyText3"/>
        <w:rPr>
          <w:rFonts w:cs="Arial"/>
          <w:b w:val="0"/>
          <w:noProof/>
          <w:color w:val="1F3864"/>
          <w:sz w:val="22"/>
          <w:szCs w:val="22"/>
        </w:rPr>
      </w:pPr>
    </w:p>
    <w:p w:rsidR="00A06642" w:rsidRDefault="00A06642" w:rsidP="00936AB7">
      <w:pPr>
        <w:pStyle w:val="BodyText3"/>
        <w:rPr>
          <w:rFonts w:cs="Arial"/>
          <w:b w:val="0"/>
          <w:noProof/>
          <w:color w:val="1F3864"/>
          <w:sz w:val="22"/>
          <w:szCs w:val="22"/>
        </w:rPr>
      </w:pPr>
    </w:p>
    <w:p w:rsidR="00A06642" w:rsidRDefault="00A06642" w:rsidP="00936AB7">
      <w:pPr>
        <w:pStyle w:val="BodyText3"/>
        <w:rPr>
          <w:rFonts w:cs="Arial"/>
          <w:b w:val="0"/>
          <w:noProof/>
          <w:color w:val="1F3864"/>
          <w:sz w:val="22"/>
          <w:szCs w:val="22"/>
        </w:rPr>
      </w:pPr>
    </w:p>
    <w:p w:rsidR="00A06642" w:rsidRDefault="00A06642" w:rsidP="00936AB7">
      <w:pPr>
        <w:pStyle w:val="BodyText3"/>
        <w:rPr>
          <w:rFonts w:cs="Arial"/>
          <w:b w:val="0"/>
          <w:noProof/>
          <w:color w:val="1F3864"/>
          <w:sz w:val="22"/>
          <w:szCs w:val="22"/>
        </w:rPr>
      </w:pPr>
    </w:p>
    <w:p w:rsidR="00A06642" w:rsidRDefault="00A06642" w:rsidP="00936AB7">
      <w:pPr>
        <w:pStyle w:val="BodyText3"/>
        <w:rPr>
          <w:rFonts w:cs="Arial"/>
          <w:b w:val="0"/>
          <w:noProof/>
          <w:color w:val="1F3864"/>
          <w:sz w:val="22"/>
          <w:szCs w:val="22"/>
        </w:rPr>
      </w:pPr>
    </w:p>
    <w:p w:rsidR="00A06642" w:rsidRDefault="00A06642" w:rsidP="00936AB7">
      <w:pPr>
        <w:pStyle w:val="BodyText3"/>
        <w:rPr>
          <w:rFonts w:cs="Arial"/>
          <w:b w:val="0"/>
          <w:noProof/>
          <w:color w:val="1F3864"/>
          <w:sz w:val="22"/>
          <w:szCs w:val="22"/>
        </w:rPr>
      </w:pPr>
    </w:p>
    <w:p w:rsidR="00A06642" w:rsidRPr="00FE1270" w:rsidRDefault="00A06642" w:rsidP="00936AB7">
      <w:pPr>
        <w:pStyle w:val="BodyText3"/>
        <w:rPr>
          <w:rFonts w:cs="Arial"/>
          <w:b w:val="0"/>
          <w:noProof/>
          <w:color w:val="1F3864"/>
          <w:sz w:val="22"/>
          <w:szCs w:val="22"/>
        </w:rPr>
      </w:pPr>
    </w:p>
    <w:p w:rsidR="008C04FB" w:rsidRPr="00FE1270" w:rsidRDefault="005B1190" w:rsidP="008C04FB">
      <w:pPr>
        <w:pStyle w:val="BodyText3"/>
        <w:numPr>
          <w:ilvl w:val="0"/>
          <w:numId w:val="16"/>
        </w:numPr>
        <w:rPr>
          <w:noProof/>
          <w:color w:val="244061" w:themeColor="accent1" w:themeShade="80"/>
          <w:sz w:val="28"/>
          <w:szCs w:val="28"/>
        </w:rPr>
      </w:pPr>
      <w:r w:rsidRPr="00FE1270">
        <w:rPr>
          <w:noProof/>
          <w:color w:val="244061" w:themeColor="accent1" w:themeShade="80"/>
          <w:sz w:val="28"/>
          <w:szCs w:val="28"/>
        </w:rPr>
        <w:lastRenderedPageBreak/>
        <w:t xml:space="preserve">Izvještaj o promjenama u vrijednosti </w:t>
      </w:r>
      <w:r w:rsidR="004024A9" w:rsidRPr="00FE1270">
        <w:rPr>
          <w:noProof/>
          <w:color w:val="244061" w:themeColor="accent1" w:themeShade="80"/>
          <w:sz w:val="28"/>
          <w:szCs w:val="28"/>
        </w:rPr>
        <w:t xml:space="preserve">i obujmu </w:t>
      </w:r>
      <w:r w:rsidRPr="00FE1270">
        <w:rPr>
          <w:noProof/>
          <w:color w:val="244061" w:themeColor="accent1" w:themeShade="80"/>
          <w:sz w:val="28"/>
          <w:szCs w:val="28"/>
        </w:rPr>
        <w:t xml:space="preserve">imovine i obveza </w:t>
      </w:r>
    </w:p>
    <w:p w:rsidR="005B1190" w:rsidRPr="00FE1270" w:rsidRDefault="005B1190" w:rsidP="008C04FB">
      <w:pPr>
        <w:pStyle w:val="BodyText3"/>
        <w:ind w:left="360"/>
        <w:rPr>
          <w:noProof/>
          <w:color w:val="244061" w:themeColor="accent1" w:themeShade="80"/>
          <w:sz w:val="28"/>
          <w:szCs w:val="28"/>
        </w:rPr>
      </w:pPr>
      <w:r w:rsidRPr="00FE1270">
        <w:rPr>
          <w:noProof/>
          <w:color w:val="244061" w:themeColor="accent1" w:themeShade="80"/>
          <w:sz w:val="28"/>
          <w:szCs w:val="28"/>
        </w:rPr>
        <w:t>(Obrazac: P-VRIO)</w:t>
      </w:r>
      <w:r w:rsidR="002573ED" w:rsidRPr="00FE1270">
        <w:rPr>
          <w:noProof/>
          <w:color w:val="244061" w:themeColor="accent1" w:themeShade="80"/>
          <w:sz w:val="28"/>
          <w:szCs w:val="28"/>
        </w:rPr>
        <w:t xml:space="preserve"> </w:t>
      </w:r>
    </w:p>
    <w:p w:rsidR="00281175" w:rsidRPr="00FE1270" w:rsidRDefault="00281175" w:rsidP="00281175">
      <w:pPr>
        <w:rPr>
          <w:noProof/>
          <w:color w:val="1F3864"/>
        </w:rPr>
      </w:pPr>
    </w:p>
    <w:p w:rsidR="00E349D1" w:rsidRPr="00FE1270" w:rsidRDefault="00E349D1" w:rsidP="00281175">
      <w:pPr>
        <w:rPr>
          <w:noProof/>
          <w:color w:val="1F3864"/>
        </w:rPr>
      </w:pPr>
    </w:p>
    <w:p w:rsidR="005B1190" w:rsidRPr="00FE1270" w:rsidRDefault="00EA1772" w:rsidP="005B1190">
      <w:pPr>
        <w:pStyle w:val="Heading4"/>
        <w:rPr>
          <w:noProof/>
          <w:szCs w:val="22"/>
        </w:rPr>
      </w:pPr>
      <w:r w:rsidRPr="00FE1270">
        <w:rPr>
          <w:noProof/>
          <w:szCs w:val="22"/>
        </w:rPr>
        <w:t>Bilješka broj 1</w:t>
      </w:r>
      <w:r w:rsidR="00AA7BB6" w:rsidRPr="00FE1270">
        <w:rPr>
          <w:noProof/>
          <w:szCs w:val="22"/>
        </w:rPr>
        <w:t>4</w:t>
      </w:r>
      <w:r w:rsidR="005B1190" w:rsidRPr="00FE1270">
        <w:rPr>
          <w:noProof/>
          <w:szCs w:val="22"/>
        </w:rPr>
        <w:t xml:space="preserve"> – promjene na imovini i obvezama</w:t>
      </w:r>
    </w:p>
    <w:p w:rsidR="00BC0387" w:rsidRPr="00FE1270" w:rsidRDefault="005B1190" w:rsidP="005B1190">
      <w:pPr>
        <w:jc w:val="both"/>
        <w:rPr>
          <w:rFonts w:ascii="Arial" w:hAnsi="Arial"/>
          <w:noProof/>
          <w:sz w:val="22"/>
          <w:szCs w:val="22"/>
        </w:rPr>
      </w:pPr>
      <w:r w:rsidRPr="00FE1270">
        <w:rPr>
          <w:rFonts w:ascii="Arial" w:hAnsi="Arial"/>
          <w:noProof/>
          <w:sz w:val="22"/>
          <w:szCs w:val="22"/>
        </w:rPr>
        <w:t>U obrascu P-VRIO iskazane su promjene u vrijednosti i obujmu imovine i obveza koje nisu rezultat financijskih aktivnosti, odnosno transakcija</w:t>
      </w:r>
      <w:r w:rsidR="009C0801">
        <w:rPr>
          <w:rFonts w:ascii="Arial" w:hAnsi="Arial"/>
          <w:noProof/>
          <w:sz w:val="22"/>
          <w:szCs w:val="22"/>
        </w:rPr>
        <w:t xml:space="preserve"> (nisu posljedica prihoda, rashoda niti novčanog tijeka)</w:t>
      </w:r>
      <w:r w:rsidRPr="00FE1270">
        <w:rPr>
          <w:rFonts w:ascii="Arial" w:hAnsi="Arial"/>
          <w:noProof/>
          <w:sz w:val="22"/>
          <w:szCs w:val="22"/>
        </w:rPr>
        <w:t xml:space="preserve">. </w:t>
      </w:r>
    </w:p>
    <w:p w:rsidR="009C0801" w:rsidRDefault="009C0801" w:rsidP="005B1190">
      <w:pPr>
        <w:jc w:val="both"/>
        <w:rPr>
          <w:rFonts w:ascii="Arial" w:hAnsi="Arial"/>
          <w:noProof/>
          <w:sz w:val="22"/>
          <w:szCs w:val="22"/>
        </w:rPr>
      </w:pPr>
    </w:p>
    <w:p w:rsidR="00087DCA" w:rsidRPr="00FE1270" w:rsidRDefault="00BC0387" w:rsidP="005B1190">
      <w:pPr>
        <w:jc w:val="both"/>
        <w:rPr>
          <w:rFonts w:ascii="Arial" w:hAnsi="Arial"/>
          <w:noProof/>
          <w:sz w:val="22"/>
          <w:szCs w:val="22"/>
        </w:rPr>
      </w:pPr>
      <w:r w:rsidRPr="00FE1270">
        <w:rPr>
          <w:rFonts w:ascii="Arial" w:hAnsi="Arial"/>
          <w:noProof/>
          <w:sz w:val="22"/>
          <w:szCs w:val="22"/>
        </w:rPr>
        <w:t xml:space="preserve">Zbog prijenosa proizvedene dugotrajne imovine </w:t>
      </w:r>
      <w:r w:rsidR="00D901E0" w:rsidRPr="00FE1270">
        <w:rPr>
          <w:rFonts w:ascii="Arial" w:hAnsi="Arial"/>
          <w:noProof/>
          <w:sz w:val="22"/>
          <w:szCs w:val="22"/>
        </w:rPr>
        <w:t xml:space="preserve">Grada na </w:t>
      </w:r>
      <w:r w:rsidRPr="00FE1270">
        <w:rPr>
          <w:rFonts w:ascii="Arial" w:hAnsi="Arial"/>
          <w:noProof/>
          <w:sz w:val="22"/>
          <w:szCs w:val="22"/>
        </w:rPr>
        <w:t>korisni</w:t>
      </w:r>
      <w:r w:rsidR="00D901E0" w:rsidRPr="00FE1270">
        <w:rPr>
          <w:rFonts w:ascii="Arial" w:hAnsi="Arial"/>
          <w:noProof/>
          <w:sz w:val="22"/>
          <w:szCs w:val="22"/>
        </w:rPr>
        <w:t>ke</w:t>
      </w:r>
      <w:r w:rsidRPr="00FE1270">
        <w:rPr>
          <w:rFonts w:ascii="Arial" w:hAnsi="Arial"/>
          <w:noProof/>
          <w:sz w:val="22"/>
          <w:szCs w:val="22"/>
        </w:rPr>
        <w:t>, u procesu konsolidacije elim</w:t>
      </w:r>
      <w:r w:rsidR="009C0801">
        <w:rPr>
          <w:rFonts w:ascii="Arial" w:hAnsi="Arial"/>
          <w:noProof/>
          <w:sz w:val="22"/>
          <w:szCs w:val="22"/>
        </w:rPr>
        <w:t>i</w:t>
      </w:r>
      <w:r w:rsidRPr="00FE1270">
        <w:rPr>
          <w:rFonts w:ascii="Arial" w:hAnsi="Arial"/>
          <w:noProof/>
          <w:sz w:val="22"/>
          <w:szCs w:val="22"/>
        </w:rPr>
        <w:t>niran je i</w:t>
      </w:r>
      <w:r w:rsidR="0048362E" w:rsidRPr="00FE1270">
        <w:rPr>
          <w:rFonts w:ascii="Arial" w:hAnsi="Arial"/>
          <w:noProof/>
          <w:sz w:val="22"/>
          <w:szCs w:val="22"/>
        </w:rPr>
        <w:t xml:space="preserve">znos od </w:t>
      </w:r>
      <w:r w:rsidR="00087DCA" w:rsidRPr="00FE1270">
        <w:rPr>
          <w:rFonts w:ascii="Arial" w:hAnsi="Arial"/>
          <w:noProof/>
          <w:sz w:val="22"/>
          <w:szCs w:val="22"/>
        </w:rPr>
        <w:t>37.311,49</w:t>
      </w:r>
      <w:r w:rsidR="0048362E" w:rsidRPr="00FE1270">
        <w:rPr>
          <w:rFonts w:ascii="Arial" w:hAnsi="Arial"/>
          <w:noProof/>
          <w:sz w:val="22"/>
          <w:szCs w:val="22"/>
        </w:rPr>
        <w:t xml:space="preserve"> eura</w:t>
      </w:r>
      <w:r w:rsidR="00D901E0" w:rsidRPr="00FE1270">
        <w:rPr>
          <w:rFonts w:ascii="Arial" w:hAnsi="Arial"/>
          <w:noProof/>
          <w:sz w:val="22"/>
          <w:szCs w:val="22"/>
        </w:rPr>
        <w:t>. Grad je prenio</w:t>
      </w:r>
      <w:r w:rsidR="00662FC3" w:rsidRPr="00FE1270">
        <w:rPr>
          <w:rFonts w:ascii="Arial" w:hAnsi="Arial"/>
          <w:noProof/>
          <w:sz w:val="22"/>
          <w:szCs w:val="22"/>
        </w:rPr>
        <w:t xml:space="preserve"> </w:t>
      </w:r>
      <w:r w:rsidR="00087DCA" w:rsidRPr="00FE1270">
        <w:rPr>
          <w:rFonts w:ascii="Arial" w:hAnsi="Arial"/>
          <w:noProof/>
          <w:sz w:val="22"/>
          <w:szCs w:val="22"/>
        </w:rPr>
        <w:t>Art kinu kombi vozilo u iznosu od 4.469,83 eura,</w:t>
      </w:r>
      <w:r w:rsidR="00280D37" w:rsidRPr="00FE1270">
        <w:rPr>
          <w:rFonts w:ascii="Arial" w:hAnsi="Arial"/>
          <w:noProof/>
          <w:sz w:val="22"/>
          <w:szCs w:val="22"/>
        </w:rPr>
        <w:t xml:space="preserve"> </w:t>
      </w:r>
      <w:r w:rsidR="00280D37" w:rsidRPr="00FE1270">
        <w:t xml:space="preserve"> </w:t>
      </w:r>
      <w:r w:rsidR="00703F12" w:rsidRPr="00FE1270">
        <w:rPr>
          <w:rFonts w:ascii="Arial" w:hAnsi="Arial"/>
          <w:noProof/>
          <w:sz w:val="22"/>
          <w:szCs w:val="22"/>
        </w:rPr>
        <w:t>Domu mladih</w:t>
      </w:r>
      <w:r w:rsidR="00280D37" w:rsidRPr="00FE1270">
        <w:rPr>
          <w:rFonts w:ascii="Arial" w:hAnsi="Arial"/>
          <w:noProof/>
          <w:sz w:val="22"/>
          <w:szCs w:val="22"/>
        </w:rPr>
        <w:t xml:space="preserve"> stan po rješenju Općinskog su</w:t>
      </w:r>
      <w:r w:rsidR="00703F12" w:rsidRPr="00FE1270">
        <w:rPr>
          <w:rFonts w:ascii="Arial" w:hAnsi="Arial"/>
          <w:noProof/>
          <w:sz w:val="22"/>
          <w:szCs w:val="22"/>
        </w:rPr>
        <w:t>da u Rijeci u iznosu od 19.367,</w:t>
      </w:r>
      <w:r w:rsidR="00280D37" w:rsidRPr="00FE1270">
        <w:rPr>
          <w:rFonts w:ascii="Arial" w:hAnsi="Arial"/>
          <w:noProof/>
          <w:sz w:val="22"/>
          <w:szCs w:val="22"/>
        </w:rPr>
        <w:t>71 eur</w:t>
      </w:r>
      <w:r w:rsidR="00D901E0" w:rsidRPr="00FE1270">
        <w:rPr>
          <w:rFonts w:ascii="Arial" w:hAnsi="Arial"/>
          <w:noProof/>
          <w:sz w:val="22"/>
          <w:szCs w:val="22"/>
        </w:rPr>
        <w:t>a</w:t>
      </w:r>
      <w:r w:rsidR="00280D37" w:rsidRPr="00FE1270">
        <w:rPr>
          <w:rFonts w:ascii="Arial" w:hAnsi="Arial"/>
          <w:noProof/>
          <w:sz w:val="22"/>
          <w:szCs w:val="22"/>
        </w:rPr>
        <w:t xml:space="preserve"> te oprem</w:t>
      </w:r>
      <w:r w:rsidR="00D901E0" w:rsidRPr="00FE1270">
        <w:rPr>
          <w:rFonts w:ascii="Arial" w:hAnsi="Arial"/>
          <w:noProof/>
          <w:sz w:val="22"/>
          <w:szCs w:val="22"/>
        </w:rPr>
        <w:t>u</w:t>
      </w:r>
      <w:r w:rsidR="00280D37" w:rsidRPr="00FE1270">
        <w:rPr>
          <w:rFonts w:ascii="Arial" w:hAnsi="Arial"/>
          <w:noProof/>
          <w:sz w:val="22"/>
          <w:szCs w:val="22"/>
        </w:rPr>
        <w:t xml:space="preserve"> osnovnim školama i dječjim vrtićima u ukupnom iznosu od 13.473,95 eura.</w:t>
      </w:r>
    </w:p>
    <w:p w:rsidR="00703F12" w:rsidRPr="00FE1270" w:rsidRDefault="00703F12" w:rsidP="005B1190">
      <w:pPr>
        <w:jc w:val="both"/>
        <w:rPr>
          <w:rFonts w:ascii="Arial" w:hAnsi="Arial"/>
          <w:noProof/>
          <w:sz w:val="22"/>
          <w:szCs w:val="22"/>
        </w:rPr>
      </w:pPr>
    </w:p>
    <w:p w:rsidR="007830B7" w:rsidRDefault="005B1190" w:rsidP="005B1190">
      <w:pPr>
        <w:jc w:val="both"/>
        <w:rPr>
          <w:rFonts w:ascii="Arial" w:hAnsi="Arial"/>
          <w:noProof/>
          <w:sz w:val="22"/>
          <w:szCs w:val="22"/>
        </w:rPr>
      </w:pPr>
      <w:r w:rsidRPr="00FE1270">
        <w:rPr>
          <w:rFonts w:ascii="Arial" w:hAnsi="Arial"/>
          <w:noProof/>
          <w:sz w:val="22"/>
          <w:szCs w:val="22"/>
          <w:u w:val="single"/>
        </w:rPr>
        <w:t>Promjene u vrijednosti i obujmu imovine (</w:t>
      </w:r>
      <w:r w:rsidR="00C472B7" w:rsidRPr="00FE1270">
        <w:rPr>
          <w:rFonts w:ascii="Arial" w:hAnsi="Arial"/>
          <w:noProof/>
          <w:sz w:val="22"/>
          <w:szCs w:val="22"/>
          <w:u w:val="single"/>
        </w:rPr>
        <w:t>9151</w:t>
      </w:r>
      <w:r w:rsidRPr="00FE1270">
        <w:rPr>
          <w:rFonts w:ascii="Arial" w:hAnsi="Arial"/>
          <w:noProof/>
          <w:sz w:val="22"/>
          <w:szCs w:val="22"/>
        </w:rPr>
        <w:t xml:space="preserve">) – </w:t>
      </w:r>
      <w:r w:rsidR="00280D37" w:rsidRPr="00FE1270">
        <w:rPr>
          <w:rFonts w:ascii="Arial" w:hAnsi="Arial"/>
          <w:noProof/>
          <w:sz w:val="22"/>
          <w:szCs w:val="22"/>
        </w:rPr>
        <w:t>tijekom 2024</w:t>
      </w:r>
      <w:r w:rsidR="00492F89" w:rsidRPr="00FE1270">
        <w:rPr>
          <w:rFonts w:ascii="Arial" w:hAnsi="Arial"/>
          <w:noProof/>
          <w:sz w:val="22"/>
          <w:szCs w:val="22"/>
        </w:rPr>
        <w:t>.</w:t>
      </w:r>
      <w:r w:rsidR="00401C63" w:rsidRPr="00FE1270">
        <w:rPr>
          <w:rFonts w:ascii="Arial" w:hAnsi="Arial"/>
          <w:noProof/>
          <w:sz w:val="22"/>
          <w:szCs w:val="22"/>
        </w:rPr>
        <w:t xml:space="preserve"> godine vrijednost i obujam </w:t>
      </w:r>
      <w:r w:rsidRPr="00FE1270">
        <w:rPr>
          <w:rFonts w:ascii="Arial" w:hAnsi="Arial"/>
          <w:noProof/>
          <w:sz w:val="22"/>
          <w:szCs w:val="22"/>
        </w:rPr>
        <w:t>imovin</w:t>
      </w:r>
      <w:r w:rsidR="00401C63" w:rsidRPr="00FE1270">
        <w:rPr>
          <w:rFonts w:ascii="Arial" w:hAnsi="Arial"/>
          <w:noProof/>
          <w:sz w:val="22"/>
          <w:szCs w:val="22"/>
        </w:rPr>
        <w:t>e</w:t>
      </w:r>
      <w:r w:rsidRPr="00FE1270">
        <w:rPr>
          <w:rFonts w:ascii="Arial" w:hAnsi="Arial"/>
          <w:noProof/>
          <w:sz w:val="22"/>
          <w:szCs w:val="22"/>
        </w:rPr>
        <w:t xml:space="preserve"> </w:t>
      </w:r>
      <w:r w:rsidR="00401C63" w:rsidRPr="00FE1270">
        <w:rPr>
          <w:rFonts w:ascii="Arial" w:hAnsi="Arial"/>
          <w:noProof/>
          <w:sz w:val="22"/>
          <w:szCs w:val="22"/>
        </w:rPr>
        <w:t xml:space="preserve">povećana je </w:t>
      </w:r>
      <w:r w:rsidRPr="00FE1270">
        <w:rPr>
          <w:rFonts w:ascii="Arial" w:hAnsi="Arial"/>
          <w:noProof/>
          <w:sz w:val="22"/>
          <w:szCs w:val="22"/>
        </w:rPr>
        <w:t xml:space="preserve">za </w:t>
      </w:r>
      <w:r w:rsidR="0094757B" w:rsidRPr="009C0801">
        <w:rPr>
          <w:rFonts w:ascii="Arial" w:hAnsi="Arial"/>
          <w:noProof/>
          <w:sz w:val="22"/>
          <w:szCs w:val="22"/>
        </w:rPr>
        <w:t>19.112.107,94</w:t>
      </w:r>
      <w:r w:rsidR="00450A8D" w:rsidRPr="009C0801">
        <w:rPr>
          <w:rFonts w:ascii="Arial" w:hAnsi="Arial"/>
          <w:noProof/>
          <w:sz w:val="22"/>
          <w:szCs w:val="22"/>
        </w:rPr>
        <w:t xml:space="preserve"> eura</w:t>
      </w:r>
      <w:r w:rsidR="00E76FA9" w:rsidRPr="009C0801">
        <w:rPr>
          <w:rFonts w:ascii="Arial" w:hAnsi="Arial"/>
          <w:noProof/>
          <w:sz w:val="22"/>
          <w:szCs w:val="22"/>
        </w:rPr>
        <w:t>.</w:t>
      </w:r>
      <w:r w:rsidR="00E96C3C" w:rsidRPr="009C0801">
        <w:rPr>
          <w:rFonts w:ascii="Arial" w:hAnsi="Arial"/>
          <w:noProof/>
          <w:sz w:val="22"/>
          <w:szCs w:val="22"/>
        </w:rPr>
        <w:t xml:space="preserve"> </w:t>
      </w:r>
      <w:r w:rsidR="004D67EF" w:rsidRPr="009C0801">
        <w:rPr>
          <w:rFonts w:ascii="Arial" w:hAnsi="Arial"/>
          <w:noProof/>
          <w:sz w:val="22"/>
          <w:szCs w:val="22"/>
        </w:rPr>
        <w:t>U</w:t>
      </w:r>
      <w:r w:rsidR="00853405" w:rsidRPr="009C0801">
        <w:rPr>
          <w:rFonts w:ascii="Arial" w:hAnsi="Arial"/>
          <w:noProof/>
          <w:sz w:val="22"/>
          <w:szCs w:val="22"/>
        </w:rPr>
        <w:t xml:space="preserve"> Grad</w:t>
      </w:r>
      <w:r w:rsidR="006C3862" w:rsidRPr="009C0801">
        <w:rPr>
          <w:rFonts w:ascii="Arial" w:hAnsi="Arial"/>
          <w:noProof/>
          <w:sz w:val="22"/>
          <w:szCs w:val="22"/>
        </w:rPr>
        <w:t>u</w:t>
      </w:r>
      <w:r w:rsidR="006C3862" w:rsidRPr="00FE1270">
        <w:rPr>
          <w:rFonts w:ascii="Arial" w:hAnsi="Arial"/>
          <w:noProof/>
          <w:sz w:val="22"/>
          <w:szCs w:val="22"/>
        </w:rPr>
        <w:t xml:space="preserve"> je</w:t>
      </w:r>
      <w:r w:rsidR="004D67EF" w:rsidRPr="00FE1270">
        <w:rPr>
          <w:rFonts w:ascii="Arial" w:hAnsi="Arial"/>
          <w:noProof/>
          <w:sz w:val="22"/>
          <w:szCs w:val="22"/>
        </w:rPr>
        <w:t xml:space="preserve"> </w:t>
      </w:r>
      <w:r w:rsidR="003B079A" w:rsidRPr="00FE1270">
        <w:rPr>
          <w:rFonts w:ascii="Arial" w:hAnsi="Arial"/>
          <w:noProof/>
          <w:sz w:val="22"/>
          <w:szCs w:val="22"/>
        </w:rPr>
        <w:t xml:space="preserve">tijekom izvještajnog razdoblja </w:t>
      </w:r>
      <w:r w:rsidR="002472B1" w:rsidRPr="00FE1270">
        <w:rPr>
          <w:rFonts w:ascii="Arial" w:hAnsi="Arial" w:cs="Arial"/>
          <w:noProof/>
          <w:sz w:val="22"/>
          <w:szCs w:val="22"/>
        </w:rPr>
        <w:t>povećan</w:t>
      </w:r>
      <w:r w:rsidR="006C3862" w:rsidRPr="00FE1270">
        <w:rPr>
          <w:rFonts w:ascii="Arial" w:hAnsi="Arial" w:cs="Arial"/>
          <w:noProof/>
          <w:sz w:val="22"/>
          <w:szCs w:val="22"/>
        </w:rPr>
        <w:t>a</w:t>
      </w:r>
      <w:r w:rsidR="002472B1" w:rsidRPr="00FE1270">
        <w:rPr>
          <w:rFonts w:ascii="Arial" w:hAnsi="Arial" w:cs="Arial"/>
          <w:noProof/>
          <w:sz w:val="22"/>
          <w:szCs w:val="22"/>
        </w:rPr>
        <w:t xml:space="preserve"> </w:t>
      </w:r>
      <w:r w:rsidR="002472B1" w:rsidRPr="00FE1270">
        <w:rPr>
          <w:rFonts w:ascii="Arial" w:hAnsi="Arial" w:cs="Arial"/>
          <w:i/>
          <w:noProof/>
          <w:sz w:val="22"/>
          <w:szCs w:val="22"/>
        </w:rPr>
        <w:t>vrijednost</w:t>
      </w:r>
      <w:r w:rsidR="002472B1" w:rsidRPr="00FE1270">
        <w:rPr>
          <w:rFonts w:ascii="Arial" w:hAnsi="Arial" w:cs="Arial"/>
          <w:noProof/>
          <w:sz w:val="22"/>
          <w:szCs w:val="22"/>
        </w:rPr>
        <w:t xml:space="preserve"> imovine </w:t>
      </w:r>
      <w:r w:rsidR="004D67EF" w:rsidRPr="00FE1270">
        <w:rPr>
          <w:rFonts w:ascii="Arial" w:hAnsi="Arial" w:cs="Arial"/>
          <w:noProof/>
          <w:sz w:val="22"/>
          <w:szCs w:val="22"/>
        </w:rPr>
        <w:t>za</w:t>
      </w:r>
      <w:r w:rsidR="002472B1" w:rsidRPr="00FE1270">
        <w:rPr>
          <w:rFonts w:ascii="Arial" w:hAnsi="Arial" w:cs="Arial"/>
          <w:noProof/>
          <w:sz w:val="22"/>
          <w:szCs w:val="22"/>
        </w:rPr>
        <w:t xml:space="preserve"> </w:t>
      </w:r>
      <w:r w:rsidR="00280D37" w:rsidRPr="00FE1270">
        <w:rPr>
          <w:rFonts w:ascii="Arial" w:hAnsi="Arial" w:cs="Arial"/>
          <w:noProof/>
          <w:sz w:val="22"/>
          <w:szCs w:val="22"/>
        </w:rPr>
        <w:t>10.811.043,65</w:t>
      </w:r>
      <w:r w:rsidR="00E76FA9" w:rsidRPr="00FE1270">
        <w:rPr>
          <w:rFonts w:ascii="Arial" w:hAnsi="Arial" w:cs="Arial"/>
          <w:noProof/>
          <w:sz w:val="22"/>
          <w:szCs w:val="22"/>
        </w:rPr>
        <w:t xml:space="preserve"> eura</w:t>
      </w:r>
      <w:r w:rsidR="003B079A" w:rsidRPr="00FE1270">
        <w:rPr>
          <w:rFonts w:ascii="Arial" w:hAnsi="Arial" w:cs="Arial"/>
          <w:noProof/>
          <w:sz w:val="22"/>
          <w:szCs w:val="22"/>
        </w:rPr>
        <w:t xml:space="preserve"> dok je </w:t>
      </w:r>
      <w:r w:rsidR="002472B1" w:rsidRPr="00FE1270">
        <w:rPr>
          <w:rFonts w:ascii="Arial" w:hAnsi="Arial" w:cs="Arial"/>
          <w:i/>
          <w:noProof/>
          <w:sz w:val="22"/>
          <w:szCs w:val="22"/>
        </w:rPr>
        <w:t>obuj</w:t>
      </w:r>
      <w:r w:rsidR="003B079A" w:rsidRPr="00FE1270">
        <w:rPr>
          <w:rFonts w:ascii="Arial" w:hAnsi="Arial" w:cs="Arial"/>
          <w:i/>
          <w:noProof/>
          <w:sz w:val="22"/>
          <w:szCs w:val="22"/>
        </w:rPr>
        <w:t>a</w:t>
      </w:r>
      <w:r w:rsidR="002472B1" w:rsidRPr="00FE1270">
        <w:rPr>
          <w:rFonts w:ascii="Arial" w:hAnsi="Arial" w:cs="Arial"/>
          <w:i/>
          <w:noProof/>
          <w:sz w:val="22"/>
          <w:szCs w:val="22"/>
        </w:rPr>
        <w:t>m</w:t>
      </w:r>
      <w:r w:rsidR="002472B1" w:rsidRPr="00FE1270">
        <w:rPr>
          <w:rFonts w:ascii="Arial" w:hAnsi="Arial" w:cs="Arial"/>
          <w:noProof/>
          <w:sz w:val="22"/>
          <w:szCs w:val="22"/>
        </w:rPr>
        <w:t xml:space="preserve"> imovine </w:t>
      </w:r>
      <w:r w:rsidR="003B079A" w:rsidRPr="00FE1270">
        <w:rPr>
          <w:rFonts w:ascii="Arial" w:hAnsi="Arial" w:cs="Arial"/>
          <w:noProof/>
          <w:sz w:val="22"/>
          <w:szCs w:val="22"/>
        </w:rPr>
        <w:t xml:space="preserve">povećan za </w:t>
      </w:r>
      <w:r w:rsidR="00280D37" w:rsidRPr="00FE1270">
        <w:rPr>
          <w:rFonts w:ascii="Arial" w:hAnsi="Arial" w:cs="Arial"/>
          <w:noProof/>
          <w:sz w:val="22"/>
          <w:szCs w:val="22"/>
        </w:rPr>
        <w:t>7.513.914,79</w:t>
      </w:r>
      <w:r w:rsidR="00E76FA9" w:rsidRPr="00FE1270">
        <w:rPr>
          <w:rFonts w:ascii="Arial" w:hAnsi="Arial" w:cs="Arial"/>
          <w:noProof/>
          <w:sz w:val="22"/>
          <w:szCs w:val="22"/>
        </w:rPr>
        <w:t xml:space="preserve"> eura</w:t>
      </w:r>
      <w:r w:rsidR="00FE6B33" w:rsidRPr="00FE1270">
        <w:rPr>
          <w:rFonts w:ascii="Arial" w:hAnsi="Arial" w:cs="Arial"/>
          <w:noProof/>
          <w:sz w:val="22"/>
          <w:szCs w:val="22"/>
        </w:rPr>
        <w:t>.</w:t>
      </w:r>
      <w:r w:rsidR="00310D92" w:rsidRPr="00FE1270">
        <w:rPr>
          <w:rFonts w:ascii="Arial" w:hAnsi="Arial"/>
          <w:noProof/>
          <w:sz w:val="22"/>
          <w:szCs w:val="22"/>
        </w:rPr>
        <w:t xml:space="preserve"> </w:t>
      </w:r>
      <w:r w:rsidR="00D73B29" w:rsidRPr="00FE1270">
        <w:rPr>
          <w:rFonts w:ascii="Arial" w:hAnsi="Arial"/>
          <w:noProof/>
          <w:sz w:val="22"/>
          <w:szCs w:val="22"/>
        </w:rPr>
        <w:t>P</w:t>
      </w:r>
      <w:r w:rsidR="00821A2A" w:rsidRPr="00FE1270">
        <w:rPr>
          <w:rFonts w:ascii="Arial" w:hAnsi="Arial"/>
          <w:noProof/>
          <w:sz w:val="22"/>
          <w:szCs w:val="22"/>
        </w:rPr>
        <w:t>ovećanje</w:t>
      </w:r>
      <w:r w:rsidR="003678DF" w:rsidRPr="00FE1270">
        <w:rPr>
          <w:rFonts w:ascii="Arial" w:hAnsi="Arial"/>
          <w:noProof/>
          <w:sz w:val="22"/>
          <w:szCs w:val="22"/>
        </w:rPr>
        <w:t xml:space="preserve"> vrijednosti i obujma imovine</w:t>
      </w:r>
      <w:r w:rsidR="00D73B29" w:rsidRPr="00FE1270">
        <w:rPr>
          <w:rFonts w:ascii="Arial" w:hAnsi="Arial"/>
          <w:noProof/>
          <w:sz w:val="22"/>
          <w:szCs w:val="22"/>
        </w:rPr>
        <w:t xml:space="preserve"> kod korisnika iznosi </w:t>
      </w:r>
      <w:r w:rsidR="00E036B4" w:rsidRPr="00FE1270">
        <w:rPr>
          <w:rFonts w:ascii="Arial" w:hAnsi="Arial"/>
          <w:noProof/>
          <w:sz w:val="22"/>
          <w:szCs w:val="22"/>
        </w:rPr>
        <w:t>787.149,50</w:t>
      </w:r>
      <w:r w:rsidR="00E76FA9" w:rsidRPr="00FE1270">
        <w:rPr>
          <w:rFonts w:ascii="Arial" w:hAnsi="Arial"/>
          <w:b/>
          <w:noProof/>
          <w:sz w:val="22"/>
          <w:szCs w:val="22"/>
        </w:rPr>
        <w:t xml:space="preserve"> </w:t>
      </w:r>
      <w:r w:rsidR="00E76FA9" w:rsidRPr="00FE1270">
        <w:rPr>
          <w:rFonts w:ascii="Arial" w:hAnsi="Arial"/>
          <w:noProof/>
          <w:sz w:val="22"/>
          <w:szCs w:val="22"/>
        </w:rPr>
        <w:t>eura</w:t>
      </w:r>
      <w:r w:rsidR="007830B7">
        <w:rPr>
          <w:rFonts w:ascii="Arial" w:hAnsi="Arial"/>
          <w:noProof/>
          <w:sz w:val="22"/>
          <w:szCs w:val="22"/>
        </w:rPr>
        <w:t>.</w:t>
      </w:r>
      <w:r w:rsidR="003678DF" w:rsidRPr="00FE1270">
        <w:rPr>
          <w:rFonts w:ascii="Arial" w:hAnsi="Arial"/>
          <w:noProof/>
          <w:sz w:val="22"/>
          <w:szCs w:val="22"/>
        </w:rPr>
        <w:t xml:space="preserve"> </w:t>
      </w:r>
    </w:p>
    <w:p w:rsidR="005B1190" w:rsidRPr="00FE1270" w:rsidRDefault="007830B7" w:rsidP="005B1190">
      <w:pPr>
        <w:jc w:val="both"/>
        <w:rPr>
          <w:rFonts w:ascii="Arial" w:hAnsi="Arial"/>
          <w:noProof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w:t>V</w:t>
      </w:r>
      <w:r w:rsidR="00D022F3" w:rsidRPr="00FE1270">
        <w:rPr>
          <w:rFonts w:ascii="Arial" w:hAnsi="Arial"/>
          <w:noProof/>
          <w:sz w:val="22"/>
          <w:szCs w:val="22"/>
        </w:rPr>
        <w:t>rijednost i obuj</w:t>
      </w:r>
      <w:r w:rsidR="005D4105" w:rsidRPr="00FE1270">
        <w:rPr>
          <w:rFonts w:ascii="Arial" w:hAnsi="Arial"/>
          <w:noProof/>
          <w:sz w:val="22"/>
          <w:szCs w:val="22"/>
        </w:rPr>
        <w:t>a</w:t>
      </w:r>
      <w:r w:rsidR="00D022F3" w:rsidRPr="00FE1270">
        <w:rPr>
          <w:rFonts w:ascii="Arial" w:hAnsi="Arial"/>
          <w:noProof/>
          <w:sz w:val="22"/>
          <w:szCs w:val="22"/>
        </w:rPr>
        <w:t xml:space="preserve">m imovine </w:t>
      </w:r>
      <w:r>
        <w:rPr>
          <w:rFonts w:ascii="Arial" w:hAnsi="Arial"/>
          <w:noProof/>
          <w:sz w:val="22"/>
          <w:szCs w:val="22"/>
        </w:rPr>
        <w:t xml:space="preserve">je u ovom izvještajnom razdoblju smanjena je </w:t>
      </w:r>
      <w:r w:rsidR="005D4105" w:rsidRPr="009C0801">
        <w:rPr>
          <w:rFonts w:ascii="Arial" w:hAnsi="Arial"/>
          <w:noProof/>
          <w:sz w:val="22"/>
          <w:szCs w:val="22"/>
        </w:rPr>
        <w:t>za</w:t>
      </w:r>
      <w:r w:rsidR="00D022F3" w:rsidRPr="009C0801">
        <w:rPr>
          <w:rFonts w:ascii="Arial" w:hAnsi="Arial"/>
          <w:noProof/>
          <w:sz w:val="22"/>
          <w:szCs w:val="22"/>
        </w:rPr>
        <w:t xml:space="preserve"> </w:t>
      </w:r>
      <w:r w:rsidR="0094757B" w:rsidRPr="009C0801">
        <w:rPr>
          <w:rFonts w:ascii="Arial" w:hAnsi="Arial"/>
          <w:noProof/>
          <w:sz w:val="22"/>
          <w:szCs w:val="22"/>
        </w:rPr>
        <w:t>4.957.464,93</w:t>
      </w:r>
      <w:r w:rsidR="00E76FA9" w:rsidRPr="009C0801">
        <w:rPr>
          <w:rFonts w:ascii="Arial" w:hAnsi="Arial"/>
          <w:noProof/>
          <w:sz w:val="22"/>
          <w:szCs w:val="22"/>
        </w:rPr>
        <w:t xml:space="preserve"> eur</w:t>
      </w:r>
      <w:r w:rsidR="006C3862" w:rsidRPr="009C0801">
        <w:rPr>
          <w:rFonts w:ascii="Arial" w:hAnsi="Arial"/>
          <w:noProof/>
          <w:sz w:val="22"/>
          <w:szCs w:val="22"/>
        </w:rPr>
        <w:t>a</w:t>
      </w:r>
      <w:r w:rsidR="00FC2AA3" w:rsidRPr="00FE1270">
        <w:rPr>
          <w:rFonts w:ascii="Arial" w:hAnsi="Arial"/>
          <w:noProof/>
          <w:sz w:val="22"/>
          <w:szCs w:val="22"/>
        </w:rPr>
        <w:t xml:space="preserve"> od čega </w:t>
      </w:r>
      <w:r w:rsidR="005D4105" w:rsidRPr="00FE1270">
        <w:rPr>
          <w:rFonts w:ascii="Arial" w:hAnsi="Arial"/>
          <w:noProof/>
          <w:sz w:val="22"/>
          <w:szCs w:val="22"/>
        </w:rPr>
        <w:t>u</w:t>
      </w:r>
      <w:r w:rsidR="00FC2AA3" w:rsidRPr="00FE1270">
        <w:rPr>
          <w:rFonts w:ascii="Arial" w:hAnsi="Arial"/>
          <w:noProof/>
          <w:sz w:val="22"/>
          <w:szCs w:val="22"/>
        </w:rPr>
        <w:t xml:space="preserve"> Grad</w:t>
      </w:r>
      <w:r w:rsidR="005D4105" w:rsidRPr="00FE1270">
        <w:rPr>
          <w:rFonts w:ascii="Arial" w:hAnsi="Arial"/>
          <w:noProof/>
          <w:sz w:val="22"/>
          <w:szCs w:val="22"/>
        </w:rPr>
        <w:t>u za</w:t>
      </w:r>
      <w:r w:rsidR="00FC2AA3" w:rsidRPr="00FE1270">
        <w:rPr>
          <w:rFonts w:ascii="Arial" w:hAnsi="Arial"/>
          <w:noProof/>
          <w:sz w:val="22"/>
          <w:szCs w:val="22"/>
        </w:rPr>
        <w:t xml:space="preserve"> </w:t>
      </w:r>
      <w:r w:rsidR="0094757B" w:rsidRPr="00FE1270">
        <w:rPr>
          <w:rFonts w:ascii="Arial" w:hAnsi="Arial"/>
          <w:noProof/>
          <w:sz w:val="22"/>
          <w:szCs w:val="22"/>
        </w:rPr>
        <w:t>4.829.785,32</w:t>
      </w:r>
      <w:r w:rsidR="00E76FA9" w:rsidRPr="00FE1270">
        <w:rPr>
          <w:rFonts w:ascii="Arial" w:hAnsi="Arial"/>
          <w:noProof/>
          <w:sz w:val="22"/>
          <w:szCs w:val="22"/>
        </w:rPr>
        <w:t xml:space="preserve"> eura</w:t>
      </w:r>
      <w:r w:rsidR="003678DF" w:rsidRPr="00FE1270">
        <w:rPr>
          <w:rFonts w:ascii="Arial" w:hAnsi="Arial"/>
          <w:noProof/>
          <w:sz w:val="22"/>
          <w:szCs w:val="22"/>
        </w:rPr>
        <w:t xml:space="preserve"> (smanjenje </w:t>
      </w:r>
      <w:r w:rsidR="003D3D7E" w:rsidRPr="00FE1270">
        <w:rPr>
          <w:rFonts w:ascii="Arial" w:hAnsi="Arial"/>
          <w:noProof/>
          <w:sz w:val="22"/>
          <w:szCs w:val="22"/>
        </w:rPr>
        <w:t>vrijednosti</w:t>
      </w:r>
      <w:r w:rsidR="003678DF" w:rsidRPr="00FE1270">
        <w:rPr>
          <w:rFonts w:ascii="Arial" w:hAnsi="Arial"/>
          <w:noProof/>
          <w:sz w:val="22"/>
          <w:szCs w:val="22"/>
        </w:rPr>
        <w:t xml:space="preserve"> nefinancijske imovine u iznosu od </w:t>
      </w:r>
      <w:r w:rsidR="0094757B" w:rsidRPr="00FE1270">
        <w:rPr>
          <w:rFonts w:ascii="Arial" w:hAnsi="Arial"/>
          <w:noProof/>
          <w:sz w:val="22"/>
          <w:szCs w:val="22"/>
        </w:rPr>
        <w:t>304.663,59</w:t>
      </w:r>
      <w:r w:rsidR="00C60257" w:rsidRPr="00FE1270">
        <w:rPr>
          <w:rFonts w:ascii="Arial" w:hAnsi="Arial"/>
          <w:noProof/>
          <w:sz w:val="22"/>
          <w:szCs w:val="22"/>
        </w:rPr>
        <w:t xml:space="preserve"> eura</w:t>
      </w:r>
      <w:r w:rsidR="00BB683A" w:rsidRPr="00FE1270">
        <w:rPr>
          <w:rFonts w:ascii="Arial" w:hAnsi="Arial"/>
          <w:noProof/>
          <w:sz w:val="22"/>
          <w:szCs w:val="22"/>
        </w:rPr>
        <w:t xml:space="preserve"> i</w:t>
      </w:r>
      <w:r w:rsidR="003D3D7E" w:rsidRPr="00FE1270">
        <w:rPr>
          <w:rFonts w:ascii="Arial" w:hAnsi="Arial"/>
          <w:noProof/>
          <w:sz w:val="22"/>
          <w:szCs w:val="22"/>
        </w:rPr>
        <w:t xml:space="preserve"> vrijednosti</w:t>
      </w:r>
      <w:r w:rsidR="003678DF" w:rsidRPr="00FE1270">
        <w:rPr>
          <w:rFonts w:ascii="Arial" w:hAnsi="Arial"/>
          <w:noProof/>
          <w:sz w:val="22"/>
          <w:szCs w:val="22"/>
        </w:rPr>
        <w:t xml:space="preserve"> financijske imovine </w:t>
      </w:r>
      <w:r w:rsidR="0094757B" w:rsidRPr="00FE1270">
        <w:rPr>
          <w:rFonts w:ascii="Arial" w:hAnsi="Arial"/>
          <w:noProof/>
          <w:sz w:val="22"/>
          <w:szCs w:val="22"/>
        </w:rPr>
        <w:t>199.635,45</w:t>
      </w:r>
      <w:r w:rsidR="00C60257" w:rsidRPr="00FE1270">
        <w:rPr>
          <w:rFonts w:ascii="Arial" w:hAnsi="Arial"/>
          <w:noProof/>
          <w:sz w:val="22"/>
          <w:szCs w:val="22"/>
        </w:rPr>
        <w:t xml:space="preserve"> eura</w:t>
      </w:r>
      <w:r w:rsidR="003678DF" w:rsidRPr="00FE1270">
        <w:rPr>
          <w:rFonts w:ascii="Arial" w:hAnsi="Arial"/>
          <w:noProof/>
          <w:sz w:val="22"/>
          <w:szCs w:val="22"/>
        </w:rPr>
        <w:t xml:space="preserve"> te smanjenje </w:t>
      </w:r>
      <w:r w:rsidR="003D3D7E" w:rsidRPr="00FE1270">
        <w:rPr>
          <w:rFonts w:ascii="Arial" w:hAnsi="Arial"/>
          <w:noProof/>
          <w:sz w:val="22"/>
          <w:szCs w:val="22"/>
        </w:rPr>
        <w:t>u obujmu</w:t>
      </w:r>
      <w:r w:rsidR="003678DF" w:rsidRPr="00FE1270">
        <w:rPr>
          <w:rFonts w:ascii="Arial" w:hAnsi="Arial"/>
          <w:noProof/>
          <w:sz w:val="22"/>
          <w:szCs w:val="22"/>
        </w:rPr>
        <w:t xml:space="preserve"> nefinancijske imovine </w:t>
      </w:r>
      <w:r w:rsidR="0094757B" w:rsidRPr="00FE1270">
        <w:rPr>
          <w:rFonts w:ascii="Arial" w:hAnsi="Arial"/>
          <w:noProof/>
          <w:sz w:val="22"/>
          <w:szCs w:val="22"/>
        </w:rPr>
        <w:t>2.566.612,05</w:t>
      </w:r>
      <w:r w:rsidR="00C60257" w:rsidRPr="00FE1270">
        <w:rPr>
          <w:rFonts w:ascii="Arial" w:hAnsi="Arial"/>
          <w:noProof/>
          <w:sz w:val="22"/>
          <w:szCs w:val="22"/>
        </w:rPr>
        <w:t xml:space="preserve"> eura</w:t>
      </w:r>
      <w:r w:rsidR="003678DF" w:rsidRPr="00FE1270">
        <w:rPr>
          <w:rFonts w:ascii="Arial" w:hAnsi="Arial"/>
          <w:noProof/>
          <w:sz w:val="22"/>
          <w:szCs w:val="22"/>
        </w:rPr>
        <w:t xml:space="preserve"> i </w:t>
      </w:r>
      <w:r w:rsidR="00565492" w:rsidRPr="00FE1270">
        <w:rPr>
          <w:rFonts w:ascii="Arial" w:hAnsi="Arial"/>
          <w:noProof/>
          <w:sz w:val="22"/>
          <w:szCs w:val="22"/>
        </w:rPr>
        <w:t>obujmu</w:t>
      </w:r>
      <w:r w:rsidR="003678DF" w:rsidRPr="00FE1270">
        <w:rPr>
          <w:rFonts w:ascii="Arial" w:hAnsi="Arial"/>
          <w:noProof/>
          <w:sz w:val="22"/>
          <w:szCs w:val="22"/>
        </w:rPr>
        <w:t xml:space="preserve"> financijske imovine </w:t>
      </w:r>
      <w:r w:rsidR="0094757B" w:rsidRPr="00FE1270">
        <w:rPr>
          <w:rFonts w:ascii="Arial" w:hAnsi="Arial"/>
          <w:noProof/>
          <w:sz w:val="22"/>
          <w:szCs w:val="22"/>
        </w:rPr>
        <w:t>1.758</w:t>
      </w:r>
      <w:r w:rsidR="004147C2" w:rsidRPr="00FE1270">
        <w:rPr>
          <w:rFonts w:ascii="Arial" w:hAnsi="Arial"/>
          <w:noProof/>
          <w:sz w:val="22"/>
          <w:szCs w:val="22"/>
        </w:rPr>
        <w:t>.</w:t>
      </w:r>
      <w:r w:rsidR="0094757B" w:rsidRPr="00FE1270">
        <w:rPr>
          <w:rFonts w:ascii="Arial" w:hAnsi="Arial"/>
          <w:noProof/>
          <w:sz w:val="22"/>
          <w:szCs w:val="22"/>
        </w:rPr>
        <w:t>874,23</w:t>
      </w:r>
      <w:r w:rsidR="00C60257" w:rsidRPr="00FE1270">
        <w:rPr>
          <w:rFonts w:ascii="Arial" w:hAnsi="Arial"/>
          <w:noProof/>
          <w:sz w:val="22"/>
          <w:szCs w:val="22"/>
        </w:rPr>
        <w:t xml:space="preserve"> eura</w:t>
      </w:r>
      <w:r>
        <w:rPr>
          <w:rFonts w:ascii="Arial" w:hAnsi="Arial"/>
          <w:noProof/>
          <w:sz w:val="22"/>
          <w:szCs w:val="22"/>
        </w:rPr>
        <w:t>), k</w:t>
      </w:r>
      <w:r w:rsidR="00A12EF1" w:rsidRPr="00FE1270">
        <w:rPr>
          <w:rFonts w:ascii="Arial" w:hAnsi="Arial"/>
          <w:noProof/>
          <w:sz w:val="22"/>
          <w:szCs w:val="22"/>
        </w:rPr>
        <w:t>od ustanova odgoja</w:t>
      </w:r>
      <w:r w:rsidR="007E52C6" w:rsidRPr="00FE1270">
        <w:rPr>
          <w:rFonts w:ascii="Arial" w:hAnsi="Arial"/>
          <w:noProof/>
          <w:sz w:val="22"/>
          <w:szCs w:val="22"/>
        </w:rPr>
        <w:t xml:space="preserve">, </w:t>
      </w:r>
      <w:r w:rsidR="00B911B9" w:rsidRPr="00FE1270">
        <w:rPr>
          <w:rFonts w:ascii="Arial" w:hAnsi="Arial"/>
          <w:noProof/>
          <w:sz w:val="22"/>
          <w:szCs w:val="22"/>
        </w:rPr>
        <w:t>obrazovanja</w:t>
      </w:r>
      <w:r w:rsidR="007E52C6" w:rsidRPr="00FE1270">
        <w:rPr>
          <w:rFonts w:ascii="Arial" w:hAnsi="Arial"/>
          <w:noProof/>
          <w:sz w:val="22"/>
          <w:szCs w:val="22"/>
        </w:rPr>
        <w:t xml:space="preserve"> i mladih</w:t>
      </w:r>
      <w:r w:rsidR="003678DF" w:rsidRPr="00FE1270">
        <w:rPr>
          <w:rFonts w:ascii="Arial" w:hAnsi="Arial"/>
          <w:noProof/>
          <w:sz w:val="22"/>
          <w:szCs w:val="22"/>
        </w:rPr>
        <w:t xml:space="preserve"> </w:t>
      </w:r>
      <w:r>
        <w:rPr>
          <w:rFonts w:ascii="Arial" w:hAnsi="Arial"/>
          <w:noProof/>
          <w:sz w:val="22"/>
          <w:szCs w:val="22"/>
        </w:rPr>
        <w:t xml:space="preserve">za </w:t>
      </w:r>
      <w:r w:rsidR="004147C2" w:rsidRPr="00FE1270">
        <w:rPr>
          <w:rFonts w:ascii="Arial" w:hAnsi="Arial"/>
          <w:noProof/>
          <w:sz w:val="22"/>
          <w:szCs w:val="22"/>
        </w:rPr>
        <w:t>113.569,41</w:t>
      </w:r>
      <w:r w:rsidR="00C60257" w:rsidRPr="00FE1270">
        <w:rPr>
          <w:rFonts w:ascii="Arial" w:hAnsi="Arial"/>
          <w:noProof/>
          <w:sz w:val="22"/>
          <w:szCs w:val="22"/>
        </w:rPr>
        <w:t xml:space="preserve"> eura</w:t>
      </w:r>
      <w:r w:rsidR="004147C2" w:rsidRPr="00FE1270">
        <w:rPr>
          <w:rFonts w:ascii="Arial" w:hAnsi="Arial"/>
          <w:noProof/>
          <w:sz w:val="22"/>
          <w:szCs w:val="22"/>
        </w:rPr>
        <w:t xml:space="preserve">, </w:t>
      </w:r>
      <w:r>
        <w:rPr>
          <w:rFonts w:ascii="Arial" w:hAnsi="Arial"/>
          <w:noProof/>
          <w:sz w:val="22"/>
          <w:szCs w:val="22"/>
        </w:rPr>
        <w:t>u</w:t>
      </w:r>
      <w:r w:rsidR="00401C63" w:rsidRPr="00FE1270">
        <w:rPr>
          <w:rFonts w:ascii="Arial" w:hAnsi="Arial"/>
          <w:noProof/>
          <w:sz w:val="22"/>
          <w:szCs w:val="22"/>
        </w:rPr>
        <w:t xml:space="preserve"> </w:t>
      </w:r>
      <w:r w:rsidR="00D204B5" w:rsidRPr="00FE1270">
        <w:rPr>
          <w:rFonts w:ascii="Arial" w:hAnsi="Arial"/>
          <w:noProof/>
          <w:sz w:val="22"/>
          <w:szCs w:val="22"/>
        </w:rPr>
        <w:t>JVP</w:t>
      </w:r>
      <w:r w:rsidR="00401C63" w:rsidRPr="00FE1270">
        <w:rPr>
          <w:rFonts w:ascii="Arial" w:hAnsi="Arial"/>
          <w:noProof/>
          <w:sz w:val="22"/>
          <w:szCs w:val="22"/>
        </w:rPr>
        <w:t>-</w:t>
      </w:r>
      <w:r>
        <w:rPr>
          <w:rFonts w:ascii="Arial" w:hAnsi="Arial"/>
          <w:noProof/>
          <w:sz w:val="22"/>
          <w:szCs w:val="22"/>
        </w:rPr>
        <w:t>u</w:t>
      </w:r>
      <w:r w:rsidR="00D204B5" w:rsidRPr="00FE1270">
        <w:rPr>
          <w:rFonts w:ascii="Arial" w:hAnsi="Arial"/>
          <w:noProof/>
          <w:sz w:val="22"/>
          <w:szCs w:val="22"/>
        </w:rPr>
        <w:t xml:space="preserve"> </w:t>
      </w:r>
      <w:r>
        <w:rPr>
          <w:rFonts w:ascii="Arial" w:hAnsi="Arial"/>
          <w:noProof/>
          <w:sz w:val="22"/>
          <w:szCs w:val="22"/>
        </w:rPr>
        <w:t xml:space="preserve">za </w:t>
      </w:r>
      <w:r w:rsidR="004147C2" w:rsidRPr="00FE1270">
        <w:rPr>
          <w:rFonts w:ascii="Arial" w:hAnsi="Arial"/>
          <w:noProof/>
          <w:sz w:val="22"/>
          <w:szCs w:val="22"/>
        </w:rPr>
        <w:t>11.251,47</w:t>
      </w:r>
      <w:r w:rsidR="00990807" w:rsidRPr="00FE1270">
        <w:rPr>
          <w:rFonts w:ascii="Arial" w:hAnsi="Arial"/>
          <w:noProof/>
          <w:sz w:val="22"/>
          <w:szCs w:val="22"/>
        </w:rPr>
        <w:t xml:space="preserve"> eura</w:t>
      </w:r>
      <w:r w:rsidR="002263CB" w:rsidRPr="00FE1270">
        <w:rPr>
          <w:rFonts w:ascii="Arial" w:hAnsi="Arial"/>
          <w:noProof/>
          <w:sz w:val="22"/>
          <w:szCs w:val="22"/>
        </w:rPr>
        <w:t xml:space="preserve"> </w:t>
      </w:r>
      <w:r w:rsidR="004147C2" w:rsidRPr="00FE1270">
        <w:rPr>
          <w:rFonts w:ascii="Arial" w:hAnsi="Arial"/>
          <w:noProof/>
          <w:sz w:val="22"/>
          <w:szCs w:val="22"/>
        </w:rPr>
        <w:t>i kod vijeća nacionalnih manjina 2.858,73 eura.</w:t>
      </w:r>
    </w:p>
    <w:p w:rsidR="003B079A" w:rsidRPr="00FE1270" w:rsidRDefault="003B079A" w:rsidP="00D73B29">
      <w:pPr>
        <w:jc w:val="both"/>
        <w:rPr>
          <w:rFonts w:ascii="Arial" w:hAnsi="Arial"/>
          <w:noProof/>
          <w:sz w:val="22"/>
          <w:szCs w:val="22"/>
        </w:rPr>
      </w:pPr>
    </w:p>
    <w:p w:rsidR="006C3862" w:rsidRPr="00FE1270" w:rsidRDefault="00C71785" w:rsidP="00870DF1">
      <w:pPr>
        <w:jc w:val="both"/>
        <w:rPr>
          <w:rFonts w:ascii="Arial" w:hAnsi="Arial"/>
          <w:noProof/>
          <w:sz w:val="22"/>
          <w:szCs w:val="22"/>
        </w:rPr>
      </w:pPr>
      <w:r w:rsidRPr="00FE1270">
        <w:rPr>
          <w:rFonts w:ascii="Arial" w:hAnsi="Arial"/>
          <w:noProof/>
          <w:sz w:val="22"/>
          <w:szCs w:val="22"/>
        </w:rPr>
        <w:t>V</w:t>
      </w:r>
      <w:r w:rsidR="00D73B29" w:rsidRPr="00FE1270">
        <w:rPr>
          <w:rFonts w:ascii="Arial" w:hAnsi="Arial"/>
          <w:noProof/>
          <w:sz w:val="22"/>
          <w:szCs w:val="22"/>
        </w:rPr>
        <w:t xml:space="preserve">rijednosti </w:t>
      </w:r>
      <w:r w:rsidRPr="00FE1270">
        <w:rPr>
          <w:rFonts w:ascii="Arial" w:hAnsi="Arial"/>
          <w:noProof/>
          <w:sz w:val="22"/>
          <w:szCs w:val="22"/>
        </w:rPr>
        <w:t xml:space="preserve">obveza za kredite i zajmove (šifra P034) povećane su za </w:t>
      </w:r>
      <w:r w:rsidR="004147C2" w:rsidRPr="00FE1270">
        <w:rPr>
          <w:rFonts w:ascii="Arial" w:hAnsi="Arial"/>
          <w:noProof/>
          <w:sz w:val="22"/>
          <w:szCs w:val="22"/>
        </w:rPr>
        <w:t>52.326,75</w:t>
      </w:r>
      <w:r w:rsidR="00D32152" w:rsidRPr="00FE1270">
        <w:rPr>
          <w:rFonts w:ascii="Arial" w:hAnsi="Arial"/>
          <w:noProof/>
          <w:sz w:val="22"/>
          <w:szCs w:val="22"/>
        </w:rPr>
        <w:t xml:space="preserve"> eura</w:t>
      </w:r>
      <w:r w:rsidRPr="00FE1270">
        <w:rPr>
          <w:rFonts w:ascii="Arial" w:hAnsi="Arial"/>
          <w:noProof/>
          <w:sz w:val="22"/>
          <w:szCs w:val="22"/>
        </w:rPr>
        <w:t xml:space="preserve"> u APOS-u dok su vrijednosti obveza za rashode poslovanja </w:t>
      </w:r>
      <w:r w:rsidR="002C0562" w:rsidRPr="00FE1270">
        <w:rPr>
          <w:rFonts w:ascii="Arial" w:hAnsi="Arial"/>
          <w:noProof/>
          <w:sz w:val="22"/>
          <w:szCs w:val="22"/>
        </w:rPr>
        <w:t>(šifra 031) povećane kod</w:t>
      </w:r>
      <w:r w:rsidR="00510C57" w:rsidRPr="00FE1270">
        <w:rPr>
          <w:rFonts w:ascii="Arial" w:hAnsi="Arial"/>
          <w:noProof/>
          <w:sz w:val="22"/>
          <w:szCs w:val="22"/>
        </w:rPr>
        <w:t xml:space="preserve"> ustanova</w:t>
      </w:r>
      <w:r w:rsidRPr="00FE1270">
        <w:rPr>
          <w:rFonts w:ascii="Arial" w:hAnsi="Arial"/>
          <w:noProof/>
          <w:sz w:val="22"/>
          <w:szCs w:val="22"/>
        </w:rPr>
        <w:t xml:space="preserve"> odgoja</w:t>
      </w:r>
      <w:r w:rsidR="00510C57" w:rsidRPr="00FE1270">
        <w:rPr>
          <w:rFonts w:ascii="Arial" w:hAnsi="Arial"/>
          <w:noProof/>
          <w:sz w:val="22"/>
          <w:szCs w:val="22"/>
        </w:rPr>
        <w:t xml:space="preserve">, obrazovanja i mladih </w:t>
      </w:r>
      <w:r w:rsidRPr="00FE1270">
        <w:rPr>
          <w:rFonts w:ascii="Arial" w:hAnsi="Arial"/>
          <w:noProof/>
          <w:sz w:val="22"/>
          <w:szCs w:val="22"/>
        </w:rPr>
        <w:t xml:space="preserve">za </w:t>
      </w:r>
      <w:r w:rsidR="00510C57" w:rsidRPr="00FE1270">
        <w:rPr>
          <w:rFonts w:ascii="Arial" w:hAnsi="Arial"/>
          <w:noProof/>
          <w:sz w:val="22"/>
          <w:szCs w:val="22"/>
        </w:rPr>
        <w:t xml:space="preserve">447,82 eura, </w:t>
      </w:r>
      <w:r w:rsidR="002C0562" w:rsidRPr="00FE1270">
        <w:rPr>
          <w:rFonts w:ascii="Arial" w:hAnsi="Arial"/>
          <w:noProof/>
          <w:sz w:val="22"/>
          <w:szCs w:val="22"/>
        </w:rPr>
        <w:t xml:space="preserve">u </w:t>
      </w:r>
      <w:r w:rsidR="00510C57" w:rsidRPr="00FE1270">
        <w:rPr>
          <w:rFonts w:ascii="Arial" w:hAnsi="Arial"/>
          <w:noProof/>
          <w:sz w:val="22"/>
          <w:szCs w:val="22"/>
        </w:rPr>
        <w:t>vijeć</w:t>
      </w:r>
      <w:r w:rsidRPr="00FE1270">
        <w:rPr>
          <w:rFonts w:ascii="Arial" w:hAnsi="Arial"/>
          <w:noProof/>
          <w:sz w:val="22"/>
          <w:szCs w:val="22"/>
        </w:rPr>
        <w:t>u</w:t>
      </w:r>
      <w:r w:rsidR="004A6981" w:rsidRPr="00FE1270">
        <w:rPr>
          <w:rFonts w:ascii="Arial" w:hAnsi="Arial"/>
          <w:noProof/>
          <w:sz w:val="22"/>
          <w:szCs w:val="22"/>
        </w:rPr>
        <w:t xml:space="preserve"> srpske</w:t>
      </w:r>
      <w:r w:rsidR="00510C57" w:rsidRPr="00FE1270">
        <w:rPr>
          <w:rFonts w:ascii="Arial" w:hAnsi="Arial"/>
          <w:noProof/>
          <w:sz w:val="22"/>
          <w:szCs w:val="22"/>
        </w:rPr>
        <w:t xml:space="preserve"> nacionalne manjine </w:t>
      </w:r>
      <w:r w:rsidR="002C0562" w:rsidRPr="00FE1270">
        <w:rPr>
          <w:rFonts w:ascii="Arial" w:hAnsi="Arial"/>
          <w:noProof/>
          <w:sz w:val="22"/>
          <w:szCs w:val="22"/>
        </w:rPr>
        <w:t xml:space="preserve">za </w:t>
      </w:r>
      <w:r w:rsidR="00510C57" w:rsidRPr="00FE1270">
        <w:rPr>
          <w:rFonts w:ascii="Arial" w:hAnsi="Arial"/>
          <w:noProof/>
          <w:sz w:val="22"/>
          <w:szCs w:val="22"/>
        </w:rPr>
        <w:t xml:space="preserve">4,82 eura i </w:t>
      </w:r>
      <w:r w:rsidRPr="00FE1270">
        <w:rPr>
          <w:rFonts w:ascii="Arial" w:hAnsi="Arial"/>
          <w:noProof/>
          <w:sz w:val="22"/>
          <w:szCs w:val="22"/>
        </w:rPr>
        <w:t>u</w:t>
      </w:r>
      <w:r w:rsidR="00510C57" w:rsidRPr="00FE1270">
        <w:rPr>
          <w:rFonts w:ascii="Arial" w:hAnsi="Arial"/>
          <w:noProof/>
          <w:sz w:val="22"/>
          <w:szCs w:val="22"/>
        </w:rPr>
        <w:t xml:space="preserve"> </w:t>
      </w:r>
      <w:r w:rsidR="004A6981" w:rsidRPr="00FE1270">
        <w:rPr>
          <w:rFonts w:ascii="Arial" w:hAnsi="Arial"/>
          <w:noProof/>
          <w:sz w:val="22"/>
          <w:szCs w:val="22"/>
        </w:rPr>
        <w:t xml:space="preserve">HNK I. pl. Zajca </w:t>
      </w:r>
      <w:r w:rsidR="00510C57" w:rsidRPr="00FE1270">
        <w:rPr>
          <w:rFonts w:ascii="Arial" w:hAnsi="Arial"/>
          <w:noProof/>
          <w:sz w:val="22"/>
          <w:szCs w:val="22"/>
        </w:rPr>
        <w:t xml:space="preserve"> </w:t>
      </w:r>
      <w:r w:rsidR="002C0562" w:rsidRPr="00FE1270">
        <w:rPr>
          <w:rFonts w:ascii="Arial" w:hAnsi="Arial"/>
          <w:noProof/>
          <w:sz w:val="22"/>
          <w:szCs w:val="22"/>
        </w:rPr>
        <w:t xml:space="preserve">za </w:t>
      </w:r>
      <w:r w:rsidR="00510C57" w:rsidRPr="00FE1270">
        <w:rPr>
          <w:rFonts w:ascii="Arial" w:hAnsi="Arial"/>
          <w:noProof/>
          <w:sz w:val="22"/>
          <w:szCs w:val="22"/>
        </w:rPr>
        <w:t>13.084,87 eura</w:t>
      </w:r>
      <w:r w:rsidR="002C0562" w:rsidRPr="00FE1270">
        <w:rPr>
          <w:rFonts w:ascii="Arial" w:hAnsi="Arial"/>
          <w:noProof/>
          <w:sz w:val="22"/>
          <w:szCs w:val="22"/>
        </w:rPr>
        <w:t>.</w:t>
      </w:r>
      <w:r w:rsidR="00510C57" w:rsidRPr="00FE1270">
        <w:rPr>
          <w:rFonts w:ascii="Arial" w:hAnsi="Arial"/>
          <w:noProof/>
          <w:sz w:val="22"/>
          <w:szCs w:val="22"/>
        </w:rPr>
        <w:t xml:space="preserve"> </w:t>
      </w:r>
      <w:r w:rsidR="002C0562" w:rsidRPr="00FE1270">
        <w:rPr>
          <w:rFonts w:ascii="Arial" w:hAnsi="Arial"/>
          <w:noProof/>
          <w:sz w:val="22"/>
          <w:szCs w:val="22"/>
        </w:rPr>
        <w:t>Grad bilježi s</w:t>
      </w:r>
      <w:r w:rsidR="00510C57" w:rsidRPr="00FE1270">
        <w:rPr>
          <w:rFonts w:ascii="Arial" w:hAnsi="Arial"/>
          <w:noProof/>
          <w:sz w:val="22"/>
          <w:szCs w:val="22"/>
        </w:rPr>
        <w:t xml:space="preserve">manjenje </w:t>
      </w:r>
      <w:r w:rsidR="00546B55" w:rsidRPr="00FE1270">
        <w:rPr>
          <w:rFonts w:ascii="Arial" w:hAnsi="Arial"/>
          <w:noProof/>
          <w:sz w:val="22"/>
          <w:szCs w:val="22"/>
        </w:rPr>
        <w:t xml:space="preserve">u obujmu obveza za rashode poslovanja za </w:t>
      </w:r>
      <w:r w:rsidR="00510C57" w:rsidRPr="00FE1270">
        <w:rPr>
          <w:rFonts w:ascii="Arial" w:hAnsi="Arial"/>
          <w:noProof/>
          <w:sz w:val="22"/>
          <w:szCs w:val="22"/>
        </w:rPr>
        <w:t xml:space="preserve">20.672,92 </w:t>
      </w:r>
      <w:r w:rsidR="00546B55" w:rsidRPr="00FE1270">
        <w:rPr>
          <w:rFonts w:ascii="Arial" w:hAnsi="Arial"/>
          <w:noProof/>
          <w:sz w:val="22"/>
          <w:szCs w:val="22"/>
        </w:rPr>
        <w:t>eura</w:t>
      </w:r>
      <w:r w:rsidR="00A05737">
        <w:rPr>
          <w:rFonts w:ascii="Arial" w:hAnsi="Arial"/>
          <w:noProof/>
          <w:sz w:val="22"/>
          <w:szCs w:val="22"/>
        </w:rPr>
        <w:t xml:space="preserve"> zbog</w:t>
      </w:r>
      <w:r w:rsidR="00FD036F" w:rsidRPr="00FE1270">
        <w:rPr>
          <w:rFonts w:ascii="Arial" w:hAnsi="Arial"/>
          <w:noProof/>
          <w:sz w:val="22"/>
          <w:szCs w:val="22"/>
        </w:rPr>
        <w:t xml:space="preserve"> otpisa </w:t>
      </w:r>
      <w:r w:rsidR="009C0801">
        <w:rPr>
          <w:rFonts w:ascii="Arial" w:hAnsi="Arial"/>
          <w:noProof/>
          <w:sz w:val="22"/>
          <w:szCs w:val="22"/>
        </w:rPr>
        <w:t xml:space="preserve">obveza </w:t>
      </w:r>
      <w:r w:rsidR="00FD036F" w:rsidRPr="00FE1270">
        <w:rPr>
          <w:rFonts w:ascii="Arial" w:hAnsi="Arial"/>
          <w:noProof/>
          <w:sz w:val="22"/>
          <w:szCs w:val="22"/>
        </w:rPr>
        <w:t>od strane dobavljača</w:t>
      </w:r>
      <w:r w:rsidR="00510C57" w:rsidRPr="00FE1270">
        <w:rPr>
          <w:rFonts w:ascii="Arial" w:hAnsi="Arial"/>
          <w:noProof/>
          <w:sz w:val="22"/>
          <w:szCs w:val="22"/>
        </w:rPr>
        <w:t>.</w:t>
      </w:r>
    </w:p>
    <w:p w:rsidR="006C3862" w:rsidRDefault="006C3862" w:rsidP="00427F46">
      <w:pPr>
        <w:rPr>
          <w:noProof/>
          <w:color w:val="1F3864"/>
        </w:rPr>
      </w:pPr>
    </w:p>
    <w:p w:rsidR="00A06642" w:rsidRDefault="00A06642" w:rsidP="00427F46">
      <w:pPr>
        <w:rPr>
          <w:noProof/>
          <w:color w:val="1F3864"/>
        </w:rPr>
      </w:pPr>
    </w:p>
    <w:p w:rsidR="00A06642" w:rsidRDefault="00A06642" w:rsidP="00427F46">
      <w:pPr>
        <w:rPr>
          <w:noProof/>
          <w:color w:val="1F3864"/>
        </w:rPr>
      </w:pPr>
    </w:p>
    <w:p w:rsidR="00A06642" w:rsidRDefault="00A06642" w:rsidP="00427F46">
      <w:pPr>
        <w:rPr>
          <w:noProof/>
          <w:color w:val="1F3864"/>
        </w:rPr>
      </w:pPr>
    </w:p>
    <w:p w:rsidR="00A06642" w:rsidRDefault="00A06642" w:rsidP="00427F46">
      <w:pPr>
        <w:rPr>
          <w:noProof/>
          <w:color w:val="1F3864"/>
        </w:rPr>
      </w:pPr>
    </w:p>
    <w:p w:rsidR="00A06642" w:rsidRDefault="00A06642" w:rsidP="00427F46">
      <w:pPr>
        <w:rPr>
          <w:noProof/>
          <w:color w:val="1F3864"/>
        </w:rPr>
      </w:pPr>
    </w:p>
    <w:p w:rsidR="00A06642" w:rsidRDefault="00A06642" w:rsidP="00427F46">
      <w:pPr>
        <w:rPr>
          <w:noProof/>
          <w:color w:val="1F3864"/>
        </w:rPr>
      </w:pPr>
    </w:p>
    <w:p w:rsidR="00A06642" w:rsidRDefault="00A06642" w:rsidP="00427F46">
      <w:pPr>
        <w:rPr>
          <w:noProof/>
          <w:color w:val="1F3864"/>
        </w:rPr>
      </w:pPr>
    </w:p>
    <w:p w:rsidR="00A06642" w:rsidRDefault="00A06642" w:rsidP="00427F46">
      <w:pPr>
        <w:rPr>
          <w:noProof/>
          <w:color w:val="1F3864"/>
        </w:rPr>
      </w:pPr>
    </w:p>
    <w:p w:rsidR="00A06642" w:rsidRDefault="00A06642" w:rsidP="00427F46">
      <w:pPr>
        <w:rPr>
          <w:noProof/>
          <w:color w:val="1F3864"/>
        </w:rPr>
      </w:pPr>
    </w:p>
    <w:p w:rsidR="00A06642" w:rsidRDefault="00A06642" w:rsidP="00427F46">
      <w:pPr>
        <w:rPr>
          <w:noProof/>
          <w:color w:val="1F3864"/>
        </w:rPr>
      </w:pPr>
    </w:p>
    <w:p w:rsidR="00A06642" w:rsidRDefault="00A06642" w:rsidP="00427F46">
      <w:pPr>
        <w:rPr>
          <w:noProof/>
          <w:color w:val="1F3864"/>
        </w:rPr>
      </w:pPr>
    </w:p>
    <w:p w:rsidR="00A06642" w:rsidRDefault="00A06642" w:rsidP="00427F46">
      <w:pPr>
        <w:rPr>
          <w:noProof/>
          <w:color w:val="1F3864"/>
        </w:rPr>
      </w:pPr>
    </w:p>
    <w:p w:rsidR="00A06642" w:rsidRDefault="00A06642" w:rsidP="00427F46">
      <w:pPr>
        <w:rPr>
          <w:noProof/>
          <w:color w:val="1F3864"/>
        </w:rPr>
      </w:pPr>
    </w:p>
    <w:p w:rsidR="00A06642" w:rsidRDefault="00A06642" w:rsidP="00427F46">
      <w:pPr>
        <w:rPr>
          <w:noProof/>
          <w:color w:val="1F3864"/>
        </w:rPr>
      </w:pPr>
    </w:p>
    <w:p w:rsidR="00A06642" w:rsidRDefault="00A06642" w:rsidP="00427F46">
      <w:pPr>
        <w:rPr>
          <w:noProof/>
          <w:color w:val="1F3864"/>
        </w:rPr>
      </w:pPr>
    </w:p>
    <w:p w:rsidR="00A06642" w:rsidRDefault="00A06642" w:rsidP="00427F46">
      <w:pPr>
        <w:rPr>
          <w:noProof/>
          <w:color w:val="1F3864"/>
        </w:rPr>
      </w:pPr>
    </w:p>
    <w:p w:rsidR="00A06642" w:rsidRDefault="00A06642" w:rsidP="00427F46">
      <w:pPr>
        <w:rPr>
          <w:noProof/>
          <w:color w:val="1F3864"/>
        </w:rPr>
      </w:pPr>
    </w:p>
    <w:p w:rsidR="00A06642" w:rsidRDefault="00A06642" w:rsidP="00427F46">
      <w:pPr>
        <w:rPr>
          <w:noProof/>
          <w:color w:val="1F3864"/>
        </w:rPr>
      </w:pPr>
    </w:p>
    <w:p w:rsidR="00A06642" w:rsidRDefault="00A06642" w:rsidP="00427F46">
      <w:pPr>
        <w:rPr>
          <w:noProof/>
          <w:color w:val="1F3864"/>
        </w:rPr>
      </w:pPr>
    </w:p>
    <w:p w:rsidR="00A06642" w:rsidRDefault="00A06642" w:rsidP="00427F46">
      <w:pPr>
        <w:rPr>
          <w:noProof/>
          <w:color w:val="1F3864"/>
        </w:rPr>
      </w:pPr>
    </w:p>
    <w:p w:rsidR="00A06642" w:rsidRDefault="00A06642" w:rsidP="00427F46">
      <w:pPr>
        <w:rPr>
          <w:noProof/>
          <w:color w:val="1F3864"/>
        </w:rPr>
      </w:pPr>
    </w:p>
    <w:p w:rsidR="00A06642" w:rsidRDefault="00A06642" w:rsidP="00427F46">
      <w:pPr>
        <w:rPr>
          <w:noProof/>
          <w:color w:val="1F3864"/>
        </w:rPr>
      </w:pPr>
    </w:p>
    <w:p w:rsidR="00A06642" w:rsidRDefault="00A06642" w:rsidP="00427F46">
      <w:pPr>
        <w:rPr>
          <w:noProof/>
          <w:color w:val="1F3864"/>
        </w:rPr>
      </w:pPr>
    </w:p>
    <w:p w:rsidR="00A06642" w:rsidRDefault="00A06642" w:rsidP="00427F46">
      <w:pPr>
        <w:rPr>
          <w:noProof/>
          <w:color w:val="1F3864"/>
        </w:rPr>
      </w:pPr>
    </w:p>
    <w:p w:rsidR="00A06642" w:rsidRDefault="00A06642" w:rsidP="00427F46">
      <w:pPr>
        <w:rPr>
          <w:noProof/>
          <w:color w:val="1F3864"/>
        </w:rPr>
      </w:pPr>
    </w:p>
    <w:p w:rsidR="00A06642" w:rsidRDefault="00A06642" w:rsidP="00427F46">
      <w:pPr>
        <w:rPr>
          <w:noProof/>
          <w:color w:val="1F3864"/>
        </w:rPr>
      </w:pPr>
    </w:p>
    <w:p w:rsidR="00A06642" w:rsidRDefault="00A06642" w:rsidP="00427F46">
      <w:pPr>
        <w:rPr>
          <w:noProof/>
          <w:color w:val="1F3864"/>
        </w:rPr>
      </w:pPr>
    </w:p>
    <w:p w:rsidR="00A06642" w:rsidRDefault="00A06642" w:rsidP="00427F46">
      <w:pPr>
        <w:rPr>
          <w:noProof/>
          <w:color w:val="1F3864"/>
        </w:rPr>
      </w:pPr>
    </w:p>
    <w:p w:rsidR="00A06642" w:rsidRPr="00FE1270" w:rsidRDefault="00A06642" w:rsidP="00427F46">
      <w:pPr>
        <w:rPr>
          <w:noProof/>
          <w:color w:val="1F3864"/>
        </w:rPr>
      </w:pPr>
    </w:p>
    <w:p w:rsidR="00422191" w:rsidRPr="00FE1270" w:rsidRDefault="00422191" w:rsidP="00427F46">
      <w:pPr>
        <w:rPr>
          <w:noProof/>
          <w:color w:val="1F3864"/>
        </w:rPr>
      </w:pPr>
    </w:p>
    <w:p w:rsidR="00422191" w:rsidRPr="00FE1270" w:rsidRDefault="00422191" w:rsidP="00427F46">
      <w:pPr>
        <w:rPr>
          <w:noProof/>
          <w:color w:val="1F3864"/>
        </w:rPr>
      </w:pPr>
    </w:p>
    <w:p w:rsidR="0024193C" w:rsidRPr="00FE1270" w:rsidRDefault="008C6262" w:rsidP="0024193C">
      <w:pPr>
        <w:pStyle w:val="Heading2"/>
        <w:numPr>
          <w:ilvl w:val="0"/>
          <w:numId w:val="15"/>
        </w:numPr>
        <w:rPr>
          <w:rFonts w:cs="Arial"/>
          <w:noProof/>
          <w:color w:val="1F3864"/>
          <w:sz w:val="28"/>
          <w:szCs w:val="28"/>
        </w:rPr>
      </w:pPr>
      <w:r w:rsidRPr="00FE1270">
        <w:rPr>
          <w:rFonts w:cs="Arial"/>
          <w:noProof/>
          <w:color w:val="1F3864"/>
          <w:sz w:val="28"/>
          <w:szCs w:val="28"/>
        </w:rPr>
        <w:lastRenderedPageBreak/>
        <w:t>Izvješ</w:t>
      </w:r>
      <w:r w:rsidR="0024193C" w:rsidRPr="00FE1270">
        <w:rPr>
          <w:rFonts w:cs="Arial"/>
          <w:noProof/>
          <w:color w:val="1F3864"/>
          <w:sz w:val="28"/>
          <w:szCs w:val="28"/>
        </w:rPr>
        <w:t>taj o obvezama (Obrazac: OBV</w:t>
      </w:r>
      <w:r w:rsidR="00217788" w:rsidRPr="00FE1270">
        <w:rPr>
          <w:rFonts w:cs="Arial"/>
          <w:noProof/>
          <w:color w:val="1F3864"/>
          <w:sz w:val="28"/>
          <w:szCs w:val="28"/>
        </w:rPr>
        <w:t>)</w:t>
      </w:r>
      <w:r w:rsidR="009D5820" w:rsidRPr="00FE1270">
        <w:rPr>
          <w:rFonts w:cs="Arial"/>
          <w:noProof/>
          <w:color w:val="1F3864"/>
          <w:sz w:val="28"/>
          <w:szCs w:val="28"/>
        </w:rPr>
        <w:t xml:space="preserve"> </w:t>
      </w:r>
    </w:p>
    <w:p w:rsidR="009F2DC1" w:rsidRPr="00FE1270" w:rsidRDefault="009F2DC1" w:rsidP="009F2DC1">
      <w:pPr>
        <w:rPr>
          <w:noProof/>
        </w:rPr>
      </w:pPr>
    </w:p>
    <w:p w:rsidR="00E349D1" w:rsidRPr="00FE1270" w:rsidRDefault="00E349D1" w:rsidP="009F2DC1">
      <w:pPr>
        <w:rPr>
          <w:noProof/>
        </w:rPr>
      </w:pPr>
    </w:p>
    <w:p w:rsidR="00853405" w:rsidRPr="00FE1270" w:rsidRDefault="00566694">
      <w:pPr>
        <w:pStyle w:val="Heading4"/>
        <w:rPr>
          <w:rFonts w:cs="Arial"/>
          <w:noProof/>
          <w:szCs w:val="22"/>
        </w:rPr>
      </w:pPr>
      <w:r w:rsidRPr="00FE1270">
        <w:rPr>
          <w:rFonts w:cs="Arial"/>
          <w:noProof/>
          <w:szCs w:val="22"/>
        </w:rPr>
        <w:t xml:space="preserve">Bilješka broj </w:t>
      </w:r>
      <w:r w:rsidR="00EA1772" w:rsidRPr="00FE1270">
        <w:rPr>
          <w:rFonts w:cs="Arial"/>
          <w:noProof/>
          <w:szCs w:val="22"/>
        </w:rPr>
        <w:t>1</w:t>
      </w:r>
      <w:r w:rsidR="00AA7BB6" w:rsidRPr="00FE1270">
        <w:rPr>
          <w:rFonts w:cs="Arial"/>
          <w:noProof/>
          <w:szCs w:val="22"/>
        </w:rPr>
        <w:t>5</w:t>
      </w:r>
      <w:r w:rsidRPr="00FE1270">
        <w:rPr>
          <w:rFonts w:cs="Arial"/>
          <w:noProof/>
          <w:szCs w:val="22"/>
        </w:rPr>
        <w:t xml:space="preserve"> - stanje obveza</w:t>
      </w:r>
    </w:p>
    <w:p w:rsidR="00124D10" w:rsidRPr="00FE1270" w:rsidRDefault="000579F4" w:rsidP="00124D10">
      <w:pPr>
        <w:pStyle w:val="Heading4"/>
        <w:rPr>
          <w:rFonts w:cs="Arial"/>
          <w:b w:val="0"/>
          <w:noProof/>
          <w:szCs w:val="22"/>
        </w:rPr>
      </w:pPr>
      <w:r w:rsidRPr="00FE1270">
        <w:rPr>
          <w:rFonts w:cs="Arial"/>
          <w:b w:val="0"/>
          <w:noProof/>
          <w:szCs w:val="22"/>
        </w:rPr>
        <w:t>Nakon</w:t>
      </w:r>
      <w:r w:rsidR="00853405" w:rsidRPr="00FE1270">
        <w:rPr>
          <w:rFonts w:cs="Arial"/>
          <w:b w:val="0"/>
          <w:noProof/>
          <w:szCs w:val="22"/>
        </w:rPr>
        <w:t xml:space="preserve"> </w:t>
      </w:r>
      <w:r w:rsidR="00025FE0" w:rsidRPr="00FE1270">
        <w:rPr>
          <w:rFonts w:cs="Arial"/>
          <w:b w:val="0"/>
          <w:noProof/>
          <w:szCs w:val="22"/>
        </w:rPr>
        <w:t>propisan</w:t>
      </w:r>
      <w:r w:rsidR="006B79FB" w:rsidRPr="00FE1270">
        <w:rPr>
          <w:rFonts w:cs="Arial"/>
          <w:b w:val="0"/>
          <w:noProof/>
          <w:szCs w:val="22"/>
        </w:rPr>
        <w:t>e</w:t>
      </w:r>
      <w:r w:rsidR="00025FE0" w:rsidRPr="00FE1270">
        <w:rPr>
          <w:rFonts w:cs="Arial"/>
          <w:b w:val="0"/>
          <w:noProof/>
          <w:szCs w:val="22"/>
        </w:rPr>
        <w:t xml:space="preserve"> </w:t>
      </w:r>
      <w:r w:rsidRPr="00FE1270">
        <w:rPr>
          <w:rFonts w:cs="Arial"/>
          <w:b w:val="0"/>
          <w:noProof/>
          <w:szCs w:val="22"/>
        </w:rPr>
        <w:t>elimin</w:t>
      </w:r>
      <w:r w:rsidR="006B79FB" w:rsidRPr="00FE1270">
        <w:rPr>
          <w:rFonts w:cs="Arial"/>
          <w:b w:val="0"/>
          <w:noProof/>
          <w:szCs w:val="22"/>
        </w:rPr>
        <w:t>acije</w:t>
      </w:r>
      <w:r w:rsidR="00853405" w:rsidRPr="00FE1270">
        <w:rPr>
          <w:rFonts w:cs="Arial"/>
          <w:b w:val="0"/>
          <w:noProof/>
          <w:szCs w:val="22"/>
        </w:rPr>
        <w:t xml:space="preserve"> </w:t>
      </w:r>
      <w:r w:rsidR="006B79FB" w:rsidRPr="00FE1270">
        <w:rPr>
          <w:rFonts w:cs="Arial"/>
          <w:b w:val="0"/>
          <w:noProof/>
          <w:szCs w:val="22"/>
        </w:rPr>
        <w:t xml:space="preserve">međusobnih </w:t>
      </w:r>
      <w:r w:rsidR="00853405" w:rsidRPr="00FE1270">
        <w:rPr>
          <w:rFonts w:cs="Arial"/>
          <w:b w:val="0"/>
          <w:noProof/>
          <w:szCs w:val="22"/>
        </w:rPr>
        <w:t xml:space="preserve">obveza </w:t>
      </w:r>
      <w:r w:rsidR="006B79FB" w:rsidRPr="00FE1270">
        <w:rPr>
          <w:rFonts w:cs="Arial"/>
          <w:b w:val="0"/>
          <w:noProof/>
          <w:szCs w:val="22"/>
        </w:rPr>
        <w:t xml:space="preserve">nastalih između Grada i proračunskih korisnika </w:t>
      </w:r>
      <w:r w:rsidR="00025FE0" w:rsidRPr="00FE1270">
        <w:rPr>
          <w:rFonts w:cs="Arial"/>
          <w:b w:val="0"/>
          <w:noProof/>
          <w:szCs w:val="22"/>
        </w:rPr>
        <w:t xml:space="preserve">(na računima </w:t>
      </w:r>
      <w:r w:rsidR="00853405" w:rsidRPr="00FE1270">
        <w:rPr>
          <w:rFonts w:cs="Arial"/>
          <w:b w:val="0"/>
          <w:noProof/>
          <w:szCs w:val="22"/>
        </w:rPr>
        <w:t>23956</w:t>
      </w:r>
      <w:r w:rsidR="000B7D4D" w:rsidRPr="00FE1270">
        <w:rPr>
          <w:rFonts w:cs="Arial"/>
          <w:b w:val="0"/>
          <w:noProof/>
          <w:szCs w:val="22"/>
        </w:rPr>
        <w:t xml:space="preserve"> </w:t>
      </w:r>
      <w:r w:rsidR="001C39BF" w:rsidRPr="00FE1270">
        <w:rPr>
          <w:rFonts w:cs="Arial"/>
          <w:b w:val="0"/>
          <w:noProof/>
          <w:szCs w:val="22"/>
        </w:rPr>
        <w:t>=</w:t>
      </w:r>
      <w:r w:rsidR="00481E0C" w:rsidRPr="00FE1270">
        <w:rPr>
          <w:rFonts w:cs="Arial"/>
          <w:b w:val="0"/>
          <w:noProof/>
          <w:szCs w:val="22"/>
        </w:rPr>
        <w:t>2.838.008,38</w:t>
      </w:r>
      <w:r w:rsidR="00C73EFD" w:rsidRPr="00FE1270">
        <w:rPr>
          <w:rFonts w:cs="Arial"/>
          <w:b w:val="0"/>
          <w:noProof/>
          <w:szCs w:val="22"/>
        </w:rPr>
        <w:t xml:space="preserve"> eura</w:t>
      </w:r>
      <w:r w:rsidR="006B79FB" w:rsidRPr="00FE1270">
        <w:rPr>
          <w:rFonts w:cs="Arial"/>
          <w:b w:val="0"/>
          <w:noProof/>
          <w:szCs w:val="22"/>
        </w:rPr>
        <w:t xml:space="preserve"> i</w:t>
      </w:r>
      <w:r w:rsidR="00853405" w:rsidRPr="00FE1270">
        <w:rPr>
          <w:rFonts w:cs="Arial"/>
          <w:b w:val="0"/>
          <w:noProof/>
          <w:szCs w:val="22"/>
        </w:rPr>
        <w:t xml:space="preserve"> 23958</w:t>
      </w:r>
      <w:r w:rsidR="000B7D4D" w:rsidRPr="00FE1270">
        <w:rPr>
          <w:rFonts w:cs="Arial"/>
          <w:b w:val="0"/>
          <w:noProof/>
          <w:szCs w:val="22"/>
        </w:rPr>
        <w:t xml:space="preserve"> </w:t>
      </w:r>
      <w:r w:rsidRPr="00FE1270">
        <w:rPr>
          <w:rFonts w:cs="Arial"/>
          <w:b w:val="0"/>
          <w:noProof/>
          <w:szCs w:val="22"/>
        </w:rPr>
        <w:t>=</w:t>
      </w:r>
      <w:r w:rsidR="00481E0C" w:rsidRPr="00FE1270">
        <w:rPr>
          <w:rFonts w:cs="Arial"/>
          <w:b w:val="0"/>
          <w:noProof/>
          <w:szCs w:val="22"/>
        </w:rPr>
        <w:t>227.931,34</w:t>
      </w:r>
      <w:r w:rsidR="00940D0D" w:rsidRPr="00FE1270">
        <w:rPr>
          <w:rFonts w:cs="Arial"/>
          <w:b w:val="0"/>
          <w:noProof/>
          <w:szCs w:val="22"/>
        </w:rPr>
        <w:t xml:space="preserve"> eur</w:t>
      </w:r>
      <w:r w:rsidR="00C2391A" w:rsidRPr="00FE1270">
        <w:rPr>
          <w:rFonts w:cs="Arial"/>
          <w:b w:val="0"/>
          <w:noProof/>
          <w:szCs w:val="22"/>
        </w:rPr>
        <w:t>a</w:t>
      </w:r>
      <w:r w:rsidR="00E6219D" w:rsidRPr="00FE1270">
        <w:rPr>
          <w:rFonts w:cs="Arial"/>
          <w:b w:val="0"/>
          <w:noProof/>
          <w:szCs w:val="22"/>
        </w:rPr>
        <w:t xml:space="preserve"> </w:t>
      </w:r>
      <w:r w:rsidR="006B79FB" w:rsidRPr="00FE1270">
        <w:rPr>
          <w:rFonts w:cs="Arial"/>
          <w:b w:val="0"/>
          <w:noProof/>
          <w:szCs w:val="22"/>
        </w:rPr>
        <w:t>te</w:t>
      </w:r>
      <w:r w:rsidR="00E6219D" w:rsidRPr="00FE1270">
        <w:rPr>
          <w:rFonts w:cs="Arial"/>
          <w:b w:val="0"/>
          <w:noProof/>
          <w:szCs w:val="22"/>
        </w:rPr>
        <w:t xml:space="preserve"> </w:t>
      </w:r>
      <w:r w:rsidR="006B79FB" w:rsidRPr="00FE1270">
        <w:rPr>
          <w:rFonts w:cs="Arial"/>
          <w:b w:val="0"/>
          <w:noProof/>
          <w:szCs w:val="22"/>
        </w:rPr>
        <w:t>na račun</w:t>
      </w:r>
      <w:r w:rsidR="00422191" w:rsidRPr="00FE1270">
        <w:rPr>
          <w:rFonts w:cs="Arial"/>
          <w:b w:val="0"/>
          <w:noProof/>
          <w:szCs w:val="22"/>
        </w:rPr>
        <w:t>ima</w:t>
      </w:r>
      <w:r w:rsidR="006B79FB" w:rsidRPr="00FE1270">
        <w:rPr>
          <w:rFonts w:cs="Arial"/>
          <w:b w:val="0"/>
          <w:noProof/>
          <w:szCs w:val="22"/>
        </w:rPr>
        <w:t xml:space="preserve"> 2673</w:t>
      </w:r>
      <w:r w:rsidR="0010378C" w:rsidRPr="00FE1270">
        <w:rPr>
          <w:rFonts w:cs="Arial"/>
          <w:b w:val="0"/>
          <w:noProof/>
          <w:szCs w:val="22"/>
        </w:rPr>
        <w:t xml:space="preserve"> ukupno</w:t>
      </w:r>
      <w:r w:rsidR="006B79FB" w:rsidRPr="00FE1270">
        <w:rPr>
          <w:rFonts w:cs="Arial"/>
          <w:b w:val="0"/>
          <w:noProof/>
          <w:szCs w:val="22"/>
        </w:rPr>
        <w:t xml:space="preserve"> </w:t>
      </w:r>
      <w:r w:rsidR="00481E0C" w:rsidRPr="00FE1270">
        <w:rPr>
          <w:rFonts w:cs="Arial"/>
          <w:b w:val="0"/>
          <w:noProof/>
          <w:szCs w:val="22"/>
        </w:rPr>
        <w:t>2.250.180,38</w:t>
      </w:r>
      <w:r w:rsidR="006B79FB" w:rsidRPr="00FE1270">
        <w:rPr>
          <w:rFonts w:cs="Arial"/>
          <w:b w:val="0"/>
          <w:noProof/>
          <w:szCs w:val="22"/>
        </w:rPr>
        <w:t xml:space="preserve"> eura</w:t>
      </w:r>
      <w:r w:rsidR="0010378C" w:rsidRPr="00FE1270">
        <w:rPr>
          <w:rFonts w:cs="Arial"/>
          <w:b w:val="0"/>
          <w:noProof/>
          <w:szCs w:val="22"/>
        </w:rPr>
        <w:t xml:space="preserve"> (obveza Grada prema APOS-u 988.043,65 eura i obveza APOS-a prema Gradu 1.262.136,73 eura), </w:t>
      </w:r>
      <w:r w:rsidR="007B1FED" w:rsidRPr="00FE1270">
        <w:rPr>
          <w:rFonts w:cs="Arial"/>
          <w:b w:val="0"/>
          <w:noProof/>
          <w:szCs w:val="22"/>
        </w:rPr>
        <w:t>konsolidiran</w:t>
      </w:r>
      <w:r w:rsidR="006B79FB" w:rsidRPr="00FE1270">
        <w:rPr>
          <w:rFonts w:cs="Arial"/>
          <w:b w:val="0"/>
          <w:noProof/>
          <w:szCs w:val="22"/>
        </w:rPr>
        <w:t xml:space="preserve">o stanje </w:t>
      </w:r>
      <w:r w:rsidR="00566694" w:rsidRPr="00FE1270">
        <w:rPr>
          <w:rFonts w:cs="Arial"/>
          <w:b w:val="0"/>
          <w:noProof/>
          <w:szCs w:val="22"/>
        </w:rPr>
        <w:t>obveza na kraju izvještaj</w:t>
      </w:r>
      <w:r w:rsidR="00EA1772" w:rsidRPr="00FE1270">
        <w:rPr>
          <w:rFonts w:cs="Arial"/>
          <w:b w:val="0"/>
          <w:noProof/>
          <w:szCs w:val="22"/>
        </w:rPr>
        <w:t>nog razdoblj</w:t>
      </w:r>
      <w:r w:rsidR="00274D58" w:rsidRPr="00FE1270">
        <w:rPr>
          <w:rFonts w:cs="Arial"/>
          <w:b w:val="0"/>
          <w:noProof/>
          <w:szCs w:val="22"/>
        </w:rPr>
        <w:t>a (</w:t>
      </w:r>
      <w:r w:rsidR="00F65E81" w:rsidRPr="00FE1270">
        <w:rPr>
          <w:rFonts w:cs="Arial"/>
          <w:b w:val="0"/>
          <w:noProof/>
          <w:szCs w:val="22"/>
        </w:rPr>
        <w:t>V006</w:t>
      </w:r>
      <w:r w:rsidR="00566694" w:rsidRPr="00FE1270">
        <w:rPr>
          <w:rFonts w:cs="Arial"/>
          <w:b w:val="0"/>
          <w:noProof/>
          <w:szCs w:val="22"/>
        </w:rPr>
        <w:t xml:space="preserve">) iznosi </w:t>
      </w:r>
      <w:r w:rsidR="00481E0C" w:rsidRPr="00FE1270">
        <w:rPr>
          <w:rFonts w:cs="Arial"/>
          <w:b w:val="0"/>
          <w:noProof/>
          <w:szCs w:val="22"/>
        </w:rPr>
        <w:t>70.014.776,38</w:t>
      </w:r>
      <w:r w:rsidR="00940D0D" w:rsidRPr="00FE1270">
        <w:rPr>
          <w:rFonts w:cs="Arial"/>
          <w:b w:val="0"/>
          <w:noProof/>
          <w:szCs w:val="22"/>
        </w:rPr>
        <w:t xml:space="preserve"> eura</w:t>
      </w:r>
      <w:r w:rsidR="003B079A" w:rsidRPr="00FE1270">
        <w:rPr>
          <w:rFonts w:cs="Arial"/>
          <w:b w:val="0"/>
          <w:noProof/>
          <w:szCs w:val="22"/>
        </w:rPr>
        <w:t>.</w:t>
      </w:r>
      <w:r w:rsidR="00124D10" w:rsidRPr="00124D10">
        <w:rPr>
          <w:rFonts w:cs="Arial"/>
          <w:b w:val="0"/>
          <w:noProof/>
          <w:szCs w:val="22"/>
        </w:rPr>
        <w:t xml:space="preserve"> </w:t>
      </w:r>
      <w:r w:rsidR="00124D10" w:rsidRPr="00FE1270">
        <w:rPr>
          <w:rFonts w:cs="Arial"/>
          <w:b w:val="0"/>
          <w:noProof/>
          <w:szCs w:val="22"/>
        </w:rPr>
        <w:t xml:space="preserve">U odnosu na prethodnu godinu ukupno konsolidirano stanje obveza manje je za </w:t>
      </w:r>
      <w:r w:rsidR="00124D10">
        <w:rPr>
          <w:rFonts w:cs="Arial"/>
          <w:b w:val="0"/>
          <w:noProof/>
          <w:szCs w:val="22"/>
        </w:rPr>
        <w:t>6.051.438,86 eura ili 8</w:t>
      </w:r>
      <w:r w:rsidR="00124D10" w:rsidRPr="00FE1270">
        <w:rPr>
          <w:rFonts w:cs="Arial"/>
          <w:b w:val="0"/>
          <w:noProof/>
          <w:szCs w:val="22"/>
        </w:rPr>
        <w:t xml:space="preserve">%. </w:t>
      </w:r>
    </w:p>
    <w:p w:rsidR="00F5042E" w:rsidRPr="00FE1270" w:rsidRDefault="0010378C" w:rsidP="00025FE0">
      <w:pPr>
        <w:pStyle w:val="Heading4"/>
        <w:rPr>
          <w:rFonts w:cs="Arial"/>
          <w:b w:val="0"/>
          <w:noProof/>
          <w:szCs w:val="22"/>
        </w:rPr>
      </w:pPr>
      <w:r w:rsidRPr="00FE1270">
        <w:rPr>
          <w:rFonts w:cs="Arial"/>
          <w:b w:val="0"/>
          <w:noProof/>
          <w:szCs w:val="22"/>
        </w:rPr>
        <w:t xml:space="preserve"> </w:t>
      </w:r>
    </w:p>
    <w:p w:rsidR="00566694" w:rsidRPr="00FE1270" w:rsidRDefault="0010378C" w:rsidP="00025FE0">
      <w:pPr>
        <w:pStyle w:val="Heading4"/>
        <w:rPr>
          <w:rFonts w:cs="Arial"/>
          <w:b w:val="0"/>
          <w:noProof/>
          <w:szCs w:val="22"/>
        </w:rPr>
      </w:pPr>
      <w:r w:rsidRPr="00FE1270">
        <w:rPr>
          <w:rFonts w:cs="Arial"/>
          <w:b w:val="0"/>
          <w:noProof/>
          <w:szCs w:val="22"/>
        </w:rPr>
        <w:t xml:space="preserve">Obveze </w:t>
      </w:r>
      <w:r w:rsidR="00566694" w:rsidRPr="00FE1270">
        <w:rPr>
          <w:rFonts w:cs="Arial"/>
          <w:b w:val="0"/>
          <w:noProof/>
          <w:szCs w:val="22"/>
        </w:rPr>
        <w:t>Grad</w:t>
      </w:r>
      <w:r w:rsidR="003B079A" w:rsidRPr="00FE1270">
        <w:rPr>
          <w:rFonts w:cs="Arial"/>
          <w:b w:val="0"/>
          <w:noProof/>
          <w:szCs w:val="22"/>
        </w:rPr>
        <w:t>a</w:t>
      </w:r>
      <w:r w:rsidR="00566694" w:rsidRPr="00FE1270">
        <w:rPr>
          <w:rFonts w:cs="Arial"/>
          <w:b w:val="0"/>
          <w:noProof/>
          <w:szCs w:val="22"/>
        </w:rPr>
        <w:t xml:space="preserve"> </w:t>
      </w:r>
      <w:r w:rsidR="003B079A" w:rsidRPr="00FE1270">
        <w:rPr>
          <w:rFonts w:cs="Arial"/>
          <w:b w:val="0"/>
          <w:noProof/>
          <w:szCs w:val="22"/>
        </w:rPr>
        <w:t>iznose</w:t>
      </w:r>
      <w:r w:rsidR="00566694" w:rsidRPr="00FE1270">
        <w:rPr>
          <w:rFonts w:cs="Arial"/>
          <w:b w:val="0"/>
          <w:noProof/>
          <w:szCs w:val="22"/>
        </w:rPr>
        <w:t xml:space="preserve"> </w:t>
      </w:r>
      <w:r w:rsidR="00483C52" w:rsidRPr="00FE1270">
        <w:rPr>
          <w:rFonts w:cs="Arial"/>
          <w:b w:val="0"/>
          <w:noProof/>
          <w:szCs w:val="22"/>
        </w:rPr>
        <w:t>53.577.942,70</w:t>
      </w:r>
      <w:r w:rsidR="00F654B8" w:rsidRPr="00FE1270">
        <w:rPr>
          <w:rFonts w:cs="Arial"/>
          <w:b w:val="0"/>
          <w:noProof/>
          <w:szCs w:val="22"/>
        </w:rPr>
        <w:t xml:space="preserve"> eura</w:t>
      </w:r>
      <w:r w:rsidRPr="00FE1270">
        <w:rPr>
          <w:rFonts w:cs="Arial"/>
          <w:b w:val="0"/>
          <w:noProof/>
          <w:szCs w:val="22"/>
        </w:rPr>
        <w:t xml:space="preserve"> ili 76,5%</w:t>
      </w:r>
      <w:r w:rsidR="00566694" w:rsidRPr="00FE1270">
        <w:rPr>
          <w:rFonts w:cs="Arial"/>
          <w:b w:val="0"/>
          <w:noProof/>
          <w:szCs w:val="22"/>
        </w:rPr>
        <w:t xml:space="preserve">, a </w:t>
      </w:r>
      <w:r w:rsidR="003B079A" w:rsidRPr="00FE1270">
        <w:rPr>
          <w:rFonts w:cs="Arial"/>
          <w:b w:val="0"/>
          <w:noProof/>
          <w:szCs w:val="22"/>
        </w:rPr>
        <w:t>proračunskih</w:t>
      </w:r>
      <w:r w:rsidR="006B79FB" w:rsidRPr="00FE1270">
        <w:rPr>
          <w:rFonts w:cs="Arial"/>
          <w:b w:val="0"/>
          <w:noProof/>
          <w:szCs w:val="22"/>
        </w:rPr>
        <w:t xml:space="preserve"> </w:t>
      </w:r>
      <w:r w:rsidR="00566694" w:rsidRPr="00FE1270">
        <w:rPr>
          <w:rFonts w:cs="Arial"/>
          <w:b w:val="0"/>
          <w:noProof/>
          <w:szCs w:val="22"/>
        </w:rPr>
        <w:t>korisnik</w:t>
      </w:r>
      <w:r w:rsidR="003B079A" w:rsidRPr="00FE1270">
        <w:rPr>
          <w:rFonts w:cs="Arial"/>
          <w:b w:val="0"/>
          <w:noProof/>
          <w:szCs w:val="22"/>
        </w:rPr>
        <w:t>a</w:t>
      </w:r>
      <w:r w:rsidR="00566694" w:rsidRPr="00FE1270">
        <w:rPr>
          <w:rFonts w:cs="Arial"/>
          <w:b w:val="0"/>
          <w:noProof/>
          <w:szCs w:val="22"/>
        </w:rPr>
        <w:t xml:space="preserve"> </w:t>
      </w:r>
      <w:r w:rsidR="00483C52" w:rsidRPr="00FE1270">
        <w:rPr>
          <w:rFonts w:cs="Arial"/>
          <w:b w:val="0"/>
          <w:noProof/>
          <w:szCs w:val="22"/>
        </w:rPr>
        <w:t>16.436.833,68</w:t>
      </w:r>
      <w:r w:rsidR="00F654B8" w:rsidRPr="00FE1270">
        <w:rPr>
          <w:rFonts w:cs="Arial"/>
          <w:b w:val="0"/>
          <w:noProof/>
          <w:szCs w:val="22"/>
        </w:rPr>
        <w:t xml:space="preserve"> eura</w:t>
      </w:r>
      <w:r w:rsidRPr="00FE1270">
        <w:rPr>
          <w:rFonts w:cs="Arial"/>
          <w:b w:val="0"/>
          <w:noProof/>
          <w:szCs w:val="22"/>
        </w:rPr>
        <w:t xml:space="preserve"> ili</w:t>
      </w:r>
      <w:r w:rsidR="00566694" w:rsidRPr="00FE1270">
        <w:rPr>
          <w:rFonts w:cs="Arial"/>
          <w:b w:val="0"/>
          <w:noProof/>
          <w:szCs w:val="22"/>
        </w:rPr>
        <w:t xml:space="preserve"> </w:t>
      </w:r>
      <w:r w:rsidRPr="00FE1270">
        <w:rPr>
          <w:rFonts w:cs="Arial"/>
          <w:b w:val="0"/>
          <w:noProof/>
          <w:szCs w:val="22"/>
        </w:rPr>
        <w:t>23,5</w:t>
      </w:r>
      <w:r w:rsidR="00891ADF" w:rsidRPr="00FE1270">
        <w:rPr>
          <w:rFonts w:cs="Arial"/>
          <w:b w:val="0"/>
          <w:noProof/>
          <w:szCs w:val="22"/>
        </w:rPr>
        <w:t xml:space="preserve">% </w:t>
      </w:r>
      <w:r w:rsidR="006B79FB" w:rsidRPr="00FE1270">
        <w:rPr>
          <w:rFonts w:cs="Arial"/>
          <w:b w:val="0"/>
          <w:noProof/>
          <w:szCs w:val="22"/>
        </w:rPr>
        <w:t>ukupn</w:t>
      </w:r>
      <w:r w:rsidR="00D92F9E" w:rsidRPr="00FE1270">
        <w:rPr>
          <w:rFonts w:cs="Arial"/>
          <w:b w:val="0"/>
          <w:noProof/>
          <w:szCs w:val="22"/>
        </w:rPr>
        <w:t>og</w:t>
      </w:r>
      <w:r w:rsidR="006B79FB" w:rsidRPr="00FE1270">
        <w:rPr>
          <w:rFonts w:cs="Arial"/>
          <w:b w:val="0"/>
          <w:noProof/>
          <w:szCs w:val="22"/>
        </w:rPr>
        <w:t xml:space="preserve"> konsolidiranog stanja obvez</w:t>
      </w:r>
      <w:r w:rsidR="003B079A" w:rsidRPr="00FE1270">
        <w:rPr>
          <w:rFonts w:cs="Arial"/>
          <w:b w:val="0"/>
          <w:noProof/>
          <w:szCs w:val="22"/>
        </w:rPr>
        <w:t>a</w:t>
      </w:r>
      <w:r w:rsidR="006B79FB" w:rsidRPr="00FE1270">
        <w:rPr>
          <w:rFonts w:cs="Arial"/>
          <w:b w:val="0"/>
          <w:noProof/>
          <w:szCs w:val="22"/>
        </w:rPr>
        <w:t>.</w:t>
      </w:r>
      <w:r w:rsidR="00566694" w:rsidRPr="00FE1270">
        <w:rPr>
          <w:rFonts w:cs="Arial"/>
          <w:b w:val="0"/>
          <w:noProof/>
          <w:szCs w:val="22"/>
        </w:rPr>
        <w:t xml:space="preserve"> </w:t>
      </w:r>
    </w:p>
    <w:p w:rsidR="00626754" w:rsidRPr="00FE1270" w:rsidRDefault="00626754">
      <w:pPr>
        <w:pStyle w:val="BodyText3"/>
        <w:rPr>
          <w:rFonts w:cs="Arial"/>
          <w:b w:val="0"/>
          <w:noProof/>
          <w:sz w:val="22"/>
          <w:szCs w:val="22"/>
          <w:highlight w:val="yellow"/>
        </w:rPr>
      </w:pPr>
    </w:p>
    <w:p w:rsidR="00891ADF" w:rsidRPr="00FE1270" w:rsidRDefault="00566694">
      <w:pPr>
        <w:pStyle w:val="BodyText3"/>
        <w:rPr>
          <w:rFonts w:cs="Arial"/>
          <w:b w:val="0"/>
          <w:noProof/>
          <w:sz w:val="22"/>
          <w:szCs w:val="22"/>
        </w:rPr>
      </w:pPr>
      <w:r w:rsidRPr="00FE1270">
        <w:rPr>
          <w:rFonts w:cs="Arial"/>
          <w:b w:val="0"/>
          <w:noProof/>
          <w:sz w:val="22"/>
          <w:szCs w:val="22"/>
        </w:rPr>
        <w:t>Stanje dospjelih obveza na kraju izvještajnog razdoblja (</w:t>
      </w:r>
      <w:r w:rsidR="006C0BB8" w:rsidRPr="00FE1270">
        <w:rPr>
          <w:rFonts w:cs="Arial"/>
          <w:b w:val="0"/>
          <w:noProof/>
          <w:sz w:val="22"/>
          <w:szCs w:val="22"/>
        </w:rPr>
        <w:t>V007</w:t>
      </w:r>
      <w:r w:rsidRPr="00FE1270">
        <w:rPr>
          <w:rFonts w:cs="Arial"/>
          <w:b w:val="0"/>
          <w:noProof/>
          <w:sz w:val="22"/>
          <w:szCs w:val="22"/>
        </w:rPr>
        <w:t xml:space="preserve">) iznosi </w:t>
      </w:r>
      <w:r w:rsidR="00D91482" w:rsidRPr="00FE1270">
        <w:rPr>
          <w:rFonts w:cs="Arial"/>
          <w:b w:val="0"/>
          <w:noProof/>
          <w:sz w:val="22"/>
          <w:szCs w:val="22"/>
        </w:rPr>
        <w:t>5.854.566,47</w:t>
      </w:r>
      <w:r w:rsidR="006B2E1F" w:rsidRPr="00FE1270">
        <w:rPr>
          <w:rFonts w:cs="Arial"/>
          <w:b w:val="0"/>
          <w:noProof/>
          <w:sz w:val="22"/>
          <w:szCs w:val="22"/>
        </w:rPr>
        <w:t xml:space="preserve"> eura</w:t>
      </w:r>
      <w:r w:rsidRPr="00FE1270">
        <w:rPr>
          <w:rFonts w:cs="Arial"/>
          <w:noProof/>
          <w:sz w:val="22"/>
          <w:szCs w:val="22"/>
        </w:rPr>
        <w:t xml:space="preserve"> </w:t>
      </w:r>
      <w:r w:rsidR="003B6500" w:rsidRPr="00FE1270">
        <w:rPr>
          <w:rFonts w:cs="Arial"/>
          <w:b w:val="0"/>
          <w:noProof/>
          <w:sz w:val="22"/>
          <w:szCs w:val="22"/>
        </w:rPr>
        <w:t>(</w:t>
      </w:r>
      <w:r w:rsidR="00D92F9E" w:rsidRPr="00FE1270">
        <w:rPr>
          <w:rFonts w:cs="Arial"/>
          <w:b w:val="0"/>
          <w:noProof/>
          <w:sz w:val="22"/>
          <w:szCs w:val="22"/>
        </w:rPr>
        <w:t xml:space="preserve">dospjele </w:t>
      </w:r>
      <w:r w:rsidRPr="00FE1270">
        <w:rPr>
          <w:rFonts w:cs="Arial"/>
          <w:b w:val="0"/>
          <w:noProof/>
          <w:sz w:val="22"/>
          <w:szCs w:val="22"/>
        </w:rPr>
        <w:t xml:space="preserve">obveze Grada iznose </w:t>
      </w:r>
      <w:r w:rsidR="00D91482" w:rsidRPr="00FE1270">
        <w:rPr>
          <w:rFonts w:cs="Arial"/>
          <w:b w:val="0"/>
          <w:noProof/>
          <w:sz w:val="22"/>
          <w:szCs w:val="22"/>
        </w:rPr>
        <w:t>4.040.532,70</w:t>
      </w:r>
      <w:r w:rsidR="00C73EFD" w:rsidRPr="00FE1270">
        <w:rPr>
          <w:rFonts w:cs="Arial"/>
          <w:b w:val="0"/>
          <w:noProof/>
          <w:sz w:val="22"/>
          <w:szCs w:val="22"/>
        </w:rPr>
        <w:t xml:space="preserve"> eura</w:t>
      </w:r>
      <w:r w:rsidRPr="00FE1270">
        <w:rPr>
          <w:rFonts w:cs="Arial"/>
          <w:b w:val="0"/>
          <w:noProof/>
          <w:sz w:val="22"/>
          <w:szCs w:val="22"/>
        </w:rPr>
        <w:t xml:space="preserve"> ili </w:t>
      </w:r>
      <w:r w:rsidR="00D91482" w:rsidRPr="00FE1270">
        <w:rPr>
          <w:rFonts w:cs="Arial"/>
          <w:b w:val="0"/>
          <w:noProof/>
          <w:sz w:val="22"/>
          <w:szCs w:val="22"/>
        </w:rPr>
        <w:t>69,02</w:t>
      </w:r>
      <w:r w:rsidRPr="00FE1270">
        <w:rPr>
          <w:rFonts w:cs="Arial"/>
          <w:b w:val="0"/>
          <w:noProof/>
          <w:sz w:val="22"/>
          <w:szCs w:val="22"/>
        </w:rPr>
        <w:t>%</w:t>
      </w:r>
      <w:r w:rsidR="003B6500" w:rsidRPr="00FE1270">
        <w:rPr>
          <w:rFonts w:cs="Arial"/>
          <w:b w:val="0"/>
          <w:noProof/>
          <w:sz w:val="22"/>
          <w:szCs w:val="22"/>
        </w:rPr>
        <w:t>)</w:t>
      </w:r>
      <w:r w:rsidR="0040194D" w:rsidRPr="00FE1270">
        <w:rPr>
          <w:rFonts w:cs="Arial"/>
          <w:b w:val="0"/>
          <w:noProof/>
          <w:sz w:val="22"/>
          <w:szCs w:val="22"/>
        </w:rPr>
        <w:t xml:space="preserve">. </w:t>
      </w:r>
      <w:r w:rsidR="00FE5B0F" w:rsidRPr="00FE1270">
        <w:rPr>
          <w:rFonts w:cs="Arial"/>
          <w:b w:val="0"/>
          <w:noProof/>
          <w:sz w:val="22"/>
          <w:szCs w:val="22"/>
        </w:rPr>
        <w:t xml:space="preserve">U odnosu na prethodnu godinu dospjele obveze </w:t>
      </w:r>
      <w:r w:rsidR="00D91482" w:rsidRPr="00FE1270">
        <w:rPr>
          <w:rFonts w:cs="Arial"/>
          <w:b w:val="0"/>
          <w:noProof/>
          <w:sz w:val="22"/>
          <w:szCs w:val="22"/>
        </w:rPr>
        <w:t xml:space="preserve">smanjene </w:t>
      </w:r>
      <w:r w:rsidR="00FF0765" w:rsidRPr="00FE1270">
        <w:rPr>
          <w:rFonts w:cs="Arial"/>
          <w:b w:val="0"/>
          <w:noProof/>
          <w:sz w:val="22"/>
          <w:szCs w:val="22"/>
        </w:rPr>
        <w:t xml:space="preserve">su </w:t>
      </w:r>
      <w:r w:rsidR="00FE5B0F" w:rsidRPr="00FE1270">
        <w:rPr>
          <w:rFonts w:cs="Arial"/>
          <w:b w:val="0"/>
          <w:noProof/>
          <w:sz w:val="22"/>
          <w:szCs w:val="22"/>
        </w:rPr>
        <w:t xml:space="preserve">za </w:t>
      </w:r>
      <w:r w:rsidR="00D91482" w:rsidRPr="00FE1270">
        <w:rPr>
          <w:rFonts w:cs="Arial"/>
          <w:b w:val="0"/>
          <w:noProof/>
          <w:sz w:val="22"/>
          <w:szCs w:val="22"/>
        </w:rPr>
        <w:t>1.364.770,29</w:t>
      </w:r>
      <w:r w:rsidR="00BD5BAE" w:rsidRPr="00FE1270">
        <w:rPr>
          <w:rFonts w:cs="Arial"/>
          <w:b w:val="0"/>
          <w:noProof/>
          <w:sz w:val="22"/>
          <w:szCs w:val="22"/>
        </w:rPr>
        <w:t xml:space="preserve"> eur</w:t>
      </w:r>
      <w:r w:rsidR="00FF0765" w:rsidRPr="00FE1270">
        <w:rPr>
          <w:rFonts w:cs="Arial"/>
          <w:b w:val="0"/>
          <w:noProof/>
          <w:sz w:val="22"/>
          <w:szCs w:val="22"/>
        </w:rPr>
        <w:t>a</w:t>
      </w:r>
      <w:r w:rsidR="009A5ED6" w:rsidRPr="00FE1270">
        <w:rPr>
          <w:rFonts w:cs="Arial"/>
          <w:b w:val="0"/>
          <w:noProof/>
          <w:sz w:val="22"/>
          <w:szCs w:val="22"/>
        </w:rPr>
        <w:t xml:space="preserve"> </w:t>
      </w:r>
      <w:r w:rsidR="00337A1D" w:rsidRPr="00FE1270">
        <w:rPr>
          <w:rFonts w:cs="Arial"/>
          <w:b w:val="0"/>
          <w:noProof/>
          <w:sz w:val="22"/>
          <w:szCs w:val="22"/>
        </w:rPr>
        <w:t xml:space="preserve">ili </w:t>
      </w:r>
      <w:r w:rsidR="00E063F7" w:rsidRPr="00FE1270">
        <w:rPr>
          <w:rFonts w:cs="Arial"/>
          <w:b w:val="0"/>
          <w:noProof/>
          <w:sz w:val="22"/>
          <w:szCs w:val="22"/>
        </w:rPr>
        <w:t>18,9</w:t>
      </w:r>
      <w:r w:rsidR="00D0707B" w:rsidRPr="00FE1270">
        <w:rPr>
          <w:rFonts w:cs="Arial"/>
          <w:b w:val="0"/>
          <w:noProof/>
          <w:sz w:val="22"/>
          <w:szCs w:val="22"/>
        </w:rPr>
        <w:t>%</w:t>
      </w:r>
      <w:r w:rsidR="000B7D4D" w:rsidRPr="00FE1270">
        <w:rPr>
          <w:rFonts w:cs="Arial"/>
          <w:b w:val="0"/>
          <w:noProof/>
          <w:sz w:val="22"/>
          <w:szCs w:val="22"/>
        </w:rPr>
        <w:t>.</w:t>
      </w:r>
      <w:r w:rsidR="00891ADF" w:rsidRPr="00FE1270">
        <w:rPr>
          <w:rFonts w:cs="Arial"/>
          <w:b w:val="0"/>
          <w:noProof/>
          <w:sz w:val="22"/>
          <w:szCs w:val="22"/>
        </w:rPr>
        <w:t xml:space="preserve"> Povećanje dospjelih obveza bilježi </w:t>
      </w:r>
      <w:r w:rsidR="00FF0765" w:rsidRPr="00FE1270">
        <w:rPr>
          <w:rFonts w:cs="Arial"/>
          <w:b w:val="0"/>
          <w:noProof/>
          <w:sz w:val="22"/>
          <w:szCs w:val="22"/>
        </w:rPr>
        <w:t xml:space="preserve">se </w:t>
      </w:r>
      <w:r w:rsidR="00D91482" w:rsidRPr="00FE1270">
        <w:rPr>
          <w:rFonts w:cs="Arial"/>
          <w:b w:val="0"/>
          <w:noProof/>
          <w:sz w:val="22"/>
          <w:szCs w:val="22"/>
        </w:rPr>
        <w:t xml:space="preserve">u ustanovama odgoja, obrazovanja i mladih, </w:t>
      </w:r>
      <w:r w:rsidR="00F5042E" w:rsidRPr="00FE1270">
        <w:rPr>
          <w:rFonts w:cs="Arial"/>
          <w:b w:val="0"/>
          <w:noProof/>
          <w:sz w:val="22"/>
          <w:szCs w:val="22"/>
        </w:rPr>
        <w:t xml:space="preserve">u </w:t>
      </w:r>
      <w:r w:rsidR="002C719B" w:rsidRPr="00FE1270">
        <w:rPr>
          <w:rFonts w:cs="Arial"/>
          <w:b w:val="0"/>
          <w:noProof/>
          <w:sz w:val="22"/>
          <w:szCs w:val="22"/>
        </w:rPr>
        <w:t>JVP</w:t>
      </w:r>
      <w:r w:rsidR="00D91482" w:rsidRPr="00FE1270">
        <w:rPr>
          <w:rFonts w:cs="Arial"/>
          <w:b w:val="0"/>
          <w:noProof/>
          <w:sz w:val="22"/>
          <w:szCs w:val="22"/>
        </w:rPr>
        <w:t xml:space="preserve"> i kod mjesnih odbora</w:t>
      </w:r>
      <w:r w:rsidR="00F5042E" w:rsidRPr="00FE1270">
        <w:rPr>
          <w:rFonts w:cs="Arial"/>
          <w:b w:val="0"/>
          <w:noProof/>
          <w:sz w:val="22"/>
          <w:szCs w:val="22"/>
        </w:rPr>
        <w:t xml:space="preserve">. Značajno smanjenje </w:t>
      </w:r>
      <w:r w:rsidR="00D91482" w:rsidRPr="00FE1270">
        <w:rPr>
          <w:rFonts w:cs="Arial"/>
          <w:b w:val="0"/>
          <w:noProof/>
          <w:sz w:val="22"/>
          <w:szCs w:val="22"/>
        </w:rPr>
        <w:t>dospjel</w:t>
      </w:r>
      <w:r w:rsidR="00F5042E" w:rsidRPr="00FE1270">
        <w:rPr>
          <w:rFonts w:cs="Arial"/>
          <w:b w:val="0"/>
          <w:noProof/>
          <w:sz w:val="22"/>
          <w:szCs w:val="22"/>
        </w:rPr>
        <w:t>ih</w:t>
      </w:r>
      <w:r w:rsidR="00D91482" w:rsidRPr="00FE1270">
        <w:rPr>
          <w:rFonts w:cs="Arial"/>
          <w:b w:val="0"/>
          <w:noProof/>
          <w:sz w:val="22"/>
          <w:szCs w:val="22"/>
        </w:rPr>
        <w:t xml:space="preserve"> obvez</w:t>
      </w:r>
      <w:r w:rsidR="00F5042E" w:rsidRPr="00FE1270">
        <w:rPr>
          <w:rFonts w:cs="Arial"/>
          <w:b w:val="0"/>
          <w:noProof/>
          <w:sz w:val="22"/>
          <w:szCs w:val="22"/>
        </w:rPr>
        <w:t>a</w:t>
      </w:r>
      <w:r w:rsidR="00D91482" w:rsidRPr="00FE1270">
        <w:rPr>
          <w:rFonts w:cs="Arial"/>
          <w:b w:val="0"/>
          <w:noProof/>
          <w:sz w:val="22"/>
          <w:szCs w:val="22"/>
        </w:rPr>
        <w:t xml:space="preserve"> </w:t>
      </w:r>
      <w:r w:rsidR="00F5042E" w:rsidRPr="00FE1270">
        <w:rPr>
          <w:rFonts w:cs="Arial"/>
          <w:b w:val="0"/>
          <w:noProof/>
          <w:sz w:val="22"/>
          <w:szCs w:val="22"/>
        </w:rPr>
        <w:t xml:space="preserve">bilježi se </w:t>
      </w:r>
      <w:r w:rsidR="003E4FC6" w:rsidRPr="00FE1270">
        <w:rPr>
          <w:rFonts w:cs="Arial"/>
          <w:b w:val="0"/>
          <w:noProof/>
          <w:sz w:val="22"/>
          <w:szCs w:val="22"/>
        </w:rPr>
        <w:t xml:space="preserve">u </w:t>
      </w:r>
      <w:r w:rsidR="00D91482" w:rsidRPr="00FE1270">
        <w:rPr>
          <w:rFonts w:cs="Arial"/>
          <w:b w:val="0"/>
          <w:noProof/>
          <w:sz w:val="22"/>
          <w:szCs w:val="22"/>
        </w:rPr>
        <w:t>Gradu,</w:t>
      </w:r>
      <w:r w:rsidR="002C719B" w:rsidRPr="00FE1270">
        <w:rPr>
          <w:rFonts w:cs="Arial"/>
          <w:b w:val="0"/>
          <w:noProof/>
          <w:sz w:val="22"/>
          <w:szCs w:val="22"/>
        </w:rPr>
        <w:t xml:space="preserve"> </w:t>
      </w:r>
      <w:r w:rsidR="00D50D3F" w:rsidRPr="00FE1270">
        <w:rPr>
          <w:rFonts w:cs="Arial"/>
          <w:b w:val="0"/>
          <w:noProof/>
          <w:sz w:val="22"/>
          <w:szCs w:val="22"/>
        </w:rPr>
        <w:t xml:space="preserve">a do </w:t>
      </w:r>
      <w:r w:rsidR="005E1340" w:rsidRPr="00FE1270">
        <w:rPr>
          <w:rFonts w:cs="Arial"/>
          <w:b w:val="0"/>
          <w:noProof/>
          <w:sz w:val="22"/>
          <w:szCs w:val="22"/>
        </w:rPr>
        <w:t xml:space="preserve">njihovog </w:t>
      </w:r>
      <w:r w:rsidR="00D50D3F" w:rsidRPr="00FE1270">
        <w:rPr>
          <w:rFonts w:cs="Arial"/>
          <w:b w:val="0"/>
          <w:noProof/>
          <w:sz w:val="22"/>
          <w:szCs w:val="22"/>
        </w:rPr>
        <w:t xml:space="preserve">smanjenja </w:t>
      </w:r>
      <w:r w:rsidR="005E1340" w:rsidRPr="00FE1270">
        <w:rPr>
          <w:rFonts w:cs="Arial"/>
          <w:b w:val="0"/>
          <w:noProof/>
          <w:sz w:val="22"/>
          <w:szCs w:val="22"/>
        </w:rPr>
        <w:t xml:space="preserve">u izvještajnom razdoblju </w:t>
      </w:r>
      <w:r w:rsidR="00D50D3F" w:rsidRPr="00FE1270">
        <w:rPr>
          <w:rFonts w:cs="Arial"/>
          <w:b w:val="0"/>
          <w:noProof/>
          <w:sz w:val="22"/>
          <w:szCs w:val="22"/>
        </w:rPr>
        <w:t xml:space="preserve">dolazi i </w:t>
      </w:r>
      <w:r w:rsidR="00F5042E" w:rsidRPr="00FE1270">
        <w:rPr>
          <w:rFonts w:cs="Arial"/>
          <w:b w:val="0"/>
          <w:noProof/>
          <w:sz w:val="22"/>
          <w:szCs w:val="22"/>
        </w:rPr>
        <w:t xml:space="preserve">u </w:t>
      </w:r>
      <w:r w:rsidR="000C1AF8" w:rsidRPr="00FE1270">
        <w:rPr>
          <w:rFonts w:cs="Arial"/>
          <w:b w:val="0"/>
          <w:noProof/>
          <w:sz w:val="22"/>
          <w:szCs w:val="22"/>
        </w:rPr>
        <w:t>ustanovama ku</w:t>
      </w:r>
      <w:r w:rsidR="00D91482" w:rsidRPr="00FE1270">
        <w:rPr>
          <w:rFonts w:cs="Arial"/>
          <w:b w:val="0"/>
          <w:noProof/>
          <w:sz w:val="22"/>
          <w:szCs w:val="22"/>
        </w:rPr>
        <w:t>lture</w:t>
      </w:r>
      <w:r w:rsidR="0080364C" w:rsidRPr="00FE1270">
        <w:rPr>
          <w:rFonts w:cs="Arial"/>
          <w:b w:val="0"/>
          <w:noProof/>
          <w:sz w:val="22"/>
          <w:szCs w:val="22"/>
        </w:rPr>
        <w:t xml:space="preserve">, Centru </w:t>
      </w:r>
      <w:r w:rsidR="007E7029" w:rsidRPr="00FE1270">
        <w:rPr>
          <w:rFonts w:cs="Arial"/>
          <w:b w:val="0"/>
          <w:noProof/>
          <w:sz w:val="22"/>
          <w:szCs w:val="22"/>
        </w:rPr>
        <w:t xml:space="preserve">za pružanje usluga u zajednici Tić Rijeka i </w:t>
      </w:r>
      <w:r w:rsidR="0080364C" w:rsidRPr="00FE1270">
        <w:rPr>
          <w:rFonts w:cs="Arial"/>
          <w:b w:val="0"/>
          <w:noProof/>
          <w:sz w:val="22"/>
          <w:szCs w:val="22"/>
        </w:rPr>
        <w:t xml:space="preserve"> Psihijatrijskoj bolnici Lopača.</w:t>
      </w:r>
    </w:p>
    <w:p w:rsidR="0010378C" w:rsidRPr="00FE1270" w:rsidRDefault="0010378C">
      <w:pPr>
        <w:pStyle w:val="BodyText3"/>
        <w:rPr>
          <w:rFonts w:cs="Arial"/>
          <w:b w:val="0"/>
          <w:noProof/>
          <w:sz w:val="22"/>
          <w:szCs w:val="22"/>
        </w:rPr>
      </w:pPr>
    </w:p>
    <w:p w:rsidR="00566694" w:rsidRPr="00FE1270" w:rsidRDefault="00566694">
      <w:pPr>
        <w:pStyle w:val="BodyText3"/>
        <w:rPr>
          <w:rFonts w:cs="Arial"/>
          <w:b w:val="0"/>
          <w:noProof/>
          <w:sz w:val="22"/>
          <w:szCs w:val="22"/>
        </w:rPr>
      </w:pPr>
      <w:r w:rsidRPr="00FE1270">
        <w:rPr>
          <w:rFonts w:cs="Arial"/>
          <w:b w:val="0"/>
          <w:noProof/>
          <w:sz w:val="22"/>
          <w:szCs w:val="22"/>
        </w:rPr>
        <w:t>Stanje nedospjelih obveza na kraju izvještajnog razdoblja (</w:t>
      </w:r>
      <w:r w:rsidR="006C0BB8" w:rsidRPr="00FE1270">
        <w:rPr>
          <w:rFonts w:cs="Arial"/>
          <w:b w:val="0"/>
          <w:noProof/>
          <w:sz w:val="22"/>
          <w:szCs w:val="22"/>
        </w:rPr>
        <w:t>V009</w:t>
      </w:r>
      <w:r w:rsidRPr="00FE1270">
        <w:rPr>
          <w:rFonts w:cs="Arial"/>
          <w:b w:val="0"/>
          <w:noProof/>
          <w:sz w:val="22"/>
          <w:szCs w:val="22"/>
        </w:rPr>
        <w:t xml:space="preserve">) iznosi </w:t>
      </w:r>
      <w:r w:rsidR="002C719B" w:rsidRPr="00FE1270">
        <w:rPr>
          <w:rFonts w:cs="Arial"/>
          <w:b w:val="0"/>
          <w:noProof/>
          <w:sz w:val="22"/>
          <w:szCs w:val="22"/>
        </w:rPr>
        <w:t>64.160.209,91</w:t>
      </w:r>
      <w:r w:rsidR="00BD5BAE" w:rsidRPr="00FE1270">
        <w:rPr>
          <w:rFonts w:cs="Arial"/>
          <w:b w:val="0"/>
          <w:noProof/>
          <w:sz w:val="22"/>
          <w:szCs w:val="22"/>
        </w:rPr>
        <w:t xml:space="preserve"> eura</w:t>
      </w:r>
      <w:r w:rsidRPr="00FE1270">
        <w:rPr>
          <w:rFonts w:cs="Arial"/>
          <w:b w:val="0"/>
          <w:noProof/>
          <w:sz w:val="22"/>
          <w:szCs w:val="22"/>
        </w:rPr>
        <w:t xml:space="preserve"> od čega </w:t>
      </w:r>
      <w:r w:rsidR="00025FE0" w:rsidRPr="00FE1270">
        <w:rPr>
          <w:rFonts w:cs="Arial"/>
          <w:b w:val="0"/>
          <w:noProof/>
          <w:sz w:val="22"/>
          <w:szCs w:val="22"/>
        </w:rPr>
        <w:t xml:space="preserve">se na </w:t>
      </w:r>
      <w:r w:rsidRPr="00FE1270">
        <w:rPr>
          <w:rFonts w:cs="Arial"/>
          <w:b w:val="0"/>
          <w:noProof/>
          <w:sz w:val="22"/>
          <w:szCs w:val="22"/>
        </w:rPr>
        <w:t>Grad</w:t>
      </w:r>
      <w:r w:rsidR="00635F64" w:rsidRPr="00FE1270">
        <w:rPr>
          <w:rFonts w:cs="Arial"/>
          <w:b w:val="0"/>
          <w:noProof/>
          <w:sz w:val="22"/>
          <w:szCs w:val="22"/>
        </w:rPr>
        <w:t xml:space="preserve"> </w:t>
      </w:r>
      <w:r w:rsidR="00025FE0" w:rsidRPr="00FE1270">
        <w:rPr>
          <w:rFonts w:cs="Arial"/>
          <w:b w:val="0"/>
          <w:noProof/>
          <w:sz w:val="22"/>
          <w:szCs w:val="22"/>
        </w:rPr>
        <w:t>odnosi</w:t>
      </w:r>
      <w:r w:rsidRPr="00FE1270">
        <w:rPr>
          <w:rFonts w:cs="Arial"/>
          <w:b w:val="0"/>
          <w:noProof/>
          <w:sz w:val="22"/>
          <w:szCs w:val="22"/>
        </w:rPr>
        <w:t xml:space="preserve"> </w:t>
      </w:r>
      <w:r w:rsidR="002C719B" w:rsidRPr="00FE1270">
        <w:rPr>
          <w:rFonts w:cs="Arial"/>
          <w:b w:val="0"/>
          <w:noProof/>
          <w:sz w:val="22"/>
          <w:szCs w:val="22"/>
        </w:rPr>
        <w:t>49.537.410,00</w:t>
      </w:r>
      <w:r w:rsidRPr="00FE1270">
        <w:rPr>
          <w:rFonts w:cs="Arial"/>
          <w:b w:val="0"/>
          <w:noProof/>
          <w:sz w:val="22"/>
          <w:szCs w:val="22"/>
        </w:rPr>
        <w:t xml:space="preserve"> ili </w:t>
      </w:r>
      <w:r w:rsidR="00E063F7" w:rsidRPr="00FE1270">
        <w:rPr>
          <w:rFonts w:cs="Arial"/>
          <w:b w:val="0"/>
          <w:noProof/>
          <w:sz w:val="22"/>
          <w:szCs w:val="22"/>
        </w:rPr>
        <w:t>77</w:t>
      </w:r>
      <w:r w:rsidR="00215C7E" w:rsidRPr="00FE1270">
        <w:rPr>
          <w:rFonts w:cs="Arial"/>
          <w:b w:val="0"/>
          <w:noProof/>
          <w:sz w:val="22"/>
          <w:szCs w:val="22"/>
        </w:rPr>
        <w:t>,2</w:t>
      </w:r>
      <w:r w:rsidR="00304838" w:rsidRPr="00FE1270">
        <w:rPr>
          <w:rFonts w:cs="Arial"/>
          <w:b w:val="0"/>
          <w:noProof/>
          <w:sz w:val="22"/>
          <w:szCs w:val="22"/>
        </w:rPr>
        <w:t>%.</w:t>
      </w:r>
      <w:r w:rsidRPr="00FE1270">
        <w:rPr>
          <w:rFonts w:cs="Arial"/>
          <w:b w:val="0"/>
          <w:noProof/>
          <w:sz w:val="22"/>
          <w:szCs w:val="22"/>
        </w:rPr>
        <w:t xml:space="preserve"> </w:t>
      </w:r>
      <w:r w:rsidR="00FE5B0F" w:rsidRPr="00FE1270">
        <w:rPr>
          <w:rFonts w:cs="Arial"/>
          <w:b w:val="0"/>
          <w:noProof/>
          <w:sz w:val="22"/>
          <w:szCs w:val="22"/>
        </w:rPr>
        <w:t>U odnosu na pre</w:t>
      </w:r>
      <w:r w:rsidR="00F153BE" w:rsidRPr="00FE1270">
        <w:rPr>
          <w:rFonts w:cs="Arial"/>
          <w:b w:val="0"/>
          <w:noProof/>
          <w:sz w:val="22"/>
          <w:szCs w:val="22"/>
        </w:rPr>
        <w:t xml:space="preserve">thodnu </w:t>
      </w:r>
      <w:r w:rsidR="00223CE8" w:rsidRPr="00FE1270">
        <w:rPr>
          <w:rFonts w:cs="Arial"/>
          <w:b w:val="0"/>
          <w:noProof/>
          <w:sz w:val="22"/>
          <w:szCs w:val="22"/>
        </w:rPr>
        <w:t xml:space="preserve">godinu nedospjele obveze </w:t>
      </w:r>
      <w:r w:rsidR="002C719B" w:rsidRPr="00FE1270">
        <w:rPr>
          <w:rFonts w:cs="Arial"/>
          <w:b w:val="0"/>
          <w:noProof/>
          <w:sz w:val="22"/>
          <w:szCs w:val="22"/>
        </w:rPr>
        <w:t>manje</w:t>
      </w:r>
      <w:r w:rsidR="00025FE0" w:rsidRPr="00FE1270">
        <w:rPr>
          <w:rFonts w:cs="Arial"/>
          <w:b w:val="0"/>
          <w:noProof/>
          <w:sz w:val="22"/>
          <w:szCs w:val="22"/>
        </w:rPr>
        <w:t xml:space="preserve"> </w:t>
      </w:r>
      <w:r w:rsidR="0087725F" w:rsidRPr="00FE1270">
        <w:rPr>
          <w:rFonts w:cs="Arial"/>
          <w:b w:val="0"/>
          <w:noProof/>
          <w:sz w:val="22"/>
          <w:szCs w:val="22"/>
        </w:rPr>
        <w:t xml:space="preserve">su </w:t>
      </w:r>
      <w:r w:rsidR="00614438" w:rsidRPr="00FE1270">
        <w:rPr>
          <w:rFonts w:cs="Arial"/>
          <w:b w:val="0"/>
          <w:noProof/>
          <w:sz w:val="22"/>
          <w:szCs w:val="22"/>
        </w:rPr>
        <w:t xml:space="preserve">za </w:t>
      </w:r>
      <w:r w:rsidR="002C719B" w:rsidRPr="00FE1270">
        <w:rPr>
          <w:rFonts w:cs="Arial"/>
          <w:b w:val="0"/>
          <w:noProof/>
          <w:sz w:val="22"/>
          <w:szCs w:val="22"/>
        </w:rPr>
        <w:t>4.686.668,57</w:t>
      </w:r>
      <w:r w:rsidR="009A5ED6" w:rsidRPr="00FE1270">
        <w:rPr>
          <w:rFonts w:cs="Arial"/>
          <w:b w:val="0"/>
          <w:noProof/>
          <w:sz w:val="22"/>
          <w:szCs w:val="22"/>
        </w:rPr>
        <w:t xml:space="preserve"> eura</w:t>
      </w:r>
      <w:r w:rsidR="00223CE8" w:rsidRPr="00FE1270">
        <w:rPr>
          <w:rFonts w:cs="Arial"/>
          <w:b w:val="0"/>
          <w:noProof/>
          <w:sz w:val="22"/>
          <w:szCs w:val="22"/>
        </w:rPr>
        <w:t>.</w:t>
      </w:r>
      <w:r w:rsidR="00891ADF" w:rsidRPr="00FE1270">
        <w:rPr>
          <w:rFonts w:cs="Arial"/>
          <w:b w:val="0"/>
          <w:noProof/>
          <w:sz w:val="22"/>
          <w:szCs w:val="22"/>
        </w:rPr>
        <w:t xml:space="preserve"> </w:t>
      </w:r>
      <w:r w:rsidR="002C719B" w:rsidRPr="00FE1270">
        <w:rPr>
          <w:rFonts w:cs="Arial"/>
          <w:b w:val="0"/>
          <w:noProof/>
          <w:sz w:val="22"/>
          <w:szCs w:val="22"/>
        </w:rPr>
        <w:t>Smanjenje</w:t>
      </w:r>
      <w:r w:rsidR="00891ADF" w:rsidRPr="00FE1270">
        <w:rPr>
          <w:rFonts w:cs="Arial"/>
          <w:b w:val="0"/>
          <w:noProof/>
          <w:sz w:val="22"/>
          <w:szCs w:val="22"/>
        </w:rPr>
        <w:t xml:space="preserve"> nedospjelih obveza bilježi</w:t>
      </w:r>
      <w:r w:rsidR="00FF0765" w:rsidRPr="00FE1270">
        <w:rPr>
          <w:rFonts w:cs="Arial"/>
          <w:b w:val="0"/>
          <w:noProof/>
          <w:sz w:val="22"/>
          <w:szCs w:val="22"/>
        </w:rPr>
        <w:t xml:space="preserve"> se</w:t>
      </w:r>
      <w:r w:rsidR="00506027" w:rsidRPr="00FE1270">
        <w:rPr>
          <w:rFonts w:cs="Arial"/>
          <w:b w:val="0"/>
          <w:noProof/>
          <w:sz w:val="22"/>
          <w:szCs w:val="22"/>
        </w:rPr>
        <w:t xml:space="preserve"> u Gradu</w:t>
      </w:r>
      <w:r w:rsidR="00FF0765" w:rsidRPr="00FE1270">
        <w:rPr>
          <w:rFonts w:cs="Arial"/>
          <w:b w:val="0"/>
          <w:noProof/>
          <w:sz w:val="22"/>
          <w:szCs w:val="22"/>
        </w:rPr>
        <w:t>,</w:t>
      </w:r>
      <w:r w:rsidR="00506027" w:rsidRPr="00FE1270">
        <w:rPr>
          <w:rFonts w:cs="Arial"/>
          <w:b w:val="0"/>
          <w:noProof/>
          <w:sz w:val="22"/>
          <w:szCs w:val="22"/>
        </w:rPr>
        <w:t xml:space="preserve"> u ustanovama odgoja</w:t>
      </w:r>
      <w:r w:rsidR="00446E1A" w:rsidRPr="00FE1270">
        <w:rPr>
          <w:rFonts w:cs="Arial"/>
          <w:b w:val="0"/>
          <w:noProof/>
          <w:sz w:val="22"/>
          <w:szCs w:val="22"/>
        </w:rPr>
        <w:t>,</w:t>
      </w:r>
      <w:r w:rsidR="00506027" w:rsidRPr="00FE1270">
        <w:rPr>
          <w:rFonts w:cs="Arial"/>
          <w:b w:val="0"/>
          <w:noProof/>
          <w:sz w:val="22"/>
          <w:szCs w:val="22"/>
        </w:rPr>
        <w:t xml:space="preserve"> obrazovanja</w:t>
      </w:r>
      <w:r w:rsidR="00446E1A" w:rsidRPr="00FE1270">
        <w:rPr>
          <w:rFonts w:cs="Arial"/>
          <w:b w:val="0"/>
          <w:noProof/>
          <w:sz w:val="22"/>
          <w:szCs w:val="22"/>
        </w:rPr>
        <w:t xml:space="preserve"> i mladih</w:t>
      </w:r>
      <w:r w:rsidR="00663198" w:rsidRPr="00FE1270">
        <w:rPr>
          <w:rFonts w:cs="Arial"/>
          <w:b w:val="0"/>
          <w:noProof/>
          <w:sz w:val="22"/>
          <w:szCs w:val="22"/>
        </w:rPr>
        <w:t xml:space="preserve"> i Agenciji za društveno poticanu stanogradnju Grada Rijeke.</w:t>
      </w:r>
      <w:r w:rsidR="00446E1A" w:rsidRPr="00FE1270">
        <w:rPr>
          <w:rFonts w:cs="Arial"/>
          <w:b w:val="0"/>
          <w:noProof/>
          <w:sz w:val="22"/>
          <w:szCs w:val="22"/>
        </w:rPr>
        <w:t xml:space="preserve"> </w:t>
      </w:r>
    </w:p>
    <w:p w:rsidR="00DD2660" w:rsidRPr="00FE1270" w:rsidRDefault="00DD2660">
      <w:pPr>
        <w:pStyle w:val="BodyText3"/>
        <w:rPr>
          <w:rFonts w:cs="Arial"/>
          <w:b w:val="0"/>
          <w:noProof/>
          <w:sz w:val="22"/>
          <w:szCs w:val="22"/>
        </w:rPr>
      </w:pPr>
    </w:p>
    <w:p w:rsidR="00DD2660" w:rsidRPr="00FE1270" w:rsidRDefault="00DD2660" w:rsidP="00A41147">
      <w:pPr>
        <w:pStyle w:val="BodyText3"/>
        <w:ind w:left="-284"/>
        <w:jc w:val="right"/>
        <w:rPr>
          <w:rFonts w:cs="Arial"/>
          <w:b w:val="0"/>
          <w:noProof/>
          <w:sz w:val="22"/>
          <w:szCs w:val="22"/>
          <w:highlight w:val="yellow"/>
        </w:rPr>
      </w:pPr>
    </w:p>
    <w:p w:rsidR="00BC1382" w:rsidRPr="00FE1270" w:rsidRDefault="005A326B" w:rsidP="005D4963">
      <w:pPr>
        <w:pStyle w:val="BodyText3"/>
        <w:ind w:left="-567"/>
        <w:jc w:val="left"/>
        <w:rPr>
          <w:rFonts w:cs="Arial"/>
          <w:b w:val="0"/>
          <w:noProof/>
          <w:sz w:val="20"/>
        </w:rPr>
      </w:pPr>
      <w:r w:rsidRPr="00FE1270">
        <w:rPr>
          <w:rFonts w:cs="Arial"/>
          <w:b w:val="0"/>
          <w:noProof/>
          <w:sz w:val="20"/>
        </w:rPr>
        <w:t xml:space="preserve">  </w:t>
      </w:r>
      <w:r w:rsidR="00310B81" w:rsidRPr="00FE1270">
        <w:rPr>
          <w:rFonts w:cs="Arial"/>
          <w:b w:val="0"/>
          <w:noProof/>
          <w:sz w:val="20"/>
        </w:rPr>
        <w:t>Tablica</w:t>
      </w:r>
      <w:r w:rsidR="009A527F" w:rsidRPr="00FE1270">
        <w:rPr>
          <w:rFonts w:cs="Arial"/>
          <w:b w:val="0"/>
          <w:noProof/>
          <w:sz w:val="20"/>
        </w:rPr>
        <w:t xml:space="preserve"> 1.</w:t>
      </w:r>
      <w:r w:rsidR="007B1FED" w:rsidRPr="00FE1270">
        <w:rPr>
          <w:rFonts w:cs="Arial"/>
          <w:b w:val="0"/>
          <w:noProof/>
          <w:sz w:val="20"/>
        </w:rPr>
        <w:t xml:space="preserve"> </w:t>
      </w:r>
      <w:r w:rsidR="00DD2660" w:rsidRPr="00FE1270">
        <w:rPr>
          <w:rFonts w:cs="Arial"/>
          <w:b w:val="0"/>
          <w:noProof/>
          <w:sz w:val="20"/>
        </w:rPr>
        <w:t xml:space="preserve"> </w:t>
      </w:r>
      <w:r w:rsidR="007B1FED" w:rsidRPr="00FE1270">
        <w:rPr>
          <w:rFonts w:cs="Arial"/>
          <w:b w:val="0"/>
          <w:noProof/>
          <w:sz w:val="20"/>
        </w:rPr>
        <w:t>Obveze</w:t>
      </w:r>
    </w:p>
    <w:p w:rsidR="00BC1382" w:rsidRPr="00FE1270" w:rsidRDefault="00BC1382" w:rsidP="00A41147">
      <w:pPr>
        <w:pStyle w:val="BodyText3"/>
        <w:ind w:left="-284"/>
        <w:jc w:val="right"/>
        <w:rPr>
          <w:rFonts w:cs="Arial"/>
          <w:b w:val="0"/>
          <w:i/>
          <w:noProof/>
          <w:sz w:val="16"/>
          <w:szCs w:val="16"/>
        </w:rPr>
      </w:pPr>
      <w:r w:rsidRPr="00FE1270">
        <w:rPr>
          <w:rFonts w:cs="Arial"/>
          <w:b w:val="0"/>
          <w:i/>
          <w:noProof/>
          <w:sz w:val="16"/>
          <w:szCs w:val="16"/>
        </w:rPr>
        <w:t>u EUR</w:t>
      </w:r>
      <w:r w:rsidR="007B1FED" w:rsidRPr="00FE1270">
        <w:rPr>
          <w:rFonts w:cs="Arial"/>
          <w:b w:val="0"/>
          <w:noProof/>
          <w:sz w:val="20"/>
        </w:rPr>
        <w:t xml:space="preserve"> </w:t>
      </w:r>
      <w:r w:rsidR="00CE4BFF" w:rsidRPr="00FE1270">
        <w:rPr>
          <w:rFonts w:cs="Arial"/>
          <w:b w:val="0"/>
          <w:noProof/>
          <w:sz w:val="20"/>
        </w:rPr>
        <w:t xml:space="preserve">                                                                                                                                       </w:t>
      </w:r>
      <w:r w:rsidR="00E94F62" w:rsidRPr="00FE1270">
        <w:rPr>
          <w:rFonts w:cs="Arial"/>
          <w:b w:val="0"/>
          <w:noProof/>
          <w:sz w:val="20"/>
        </w:rPr>
        <w:t xml:space="preserve">        </w:t>
      </w:r>
    </w:p>
    <w:tbl>
      <w:tblPr>
        <w:tblW w:w="10992" w:type="dxa"/>
        <w:tblInd w:w="-577" w:type="dxa"/>
        <w:tblLayout w:type="fixed"/>
        <w:tblLook w:val="04A0" w:firstRow="1" w:lastRow="0" w:firstColumn="1" w:lastColumn="0" w:noHBand="0" w:noVBand="1"/>
      </w:tblPr>
      <w:tblGrid>
        <w:gridCol w:w="993"/>
        <w:gridCol w:w="1081"/>
        <w:gridCol w:w="1115"/>
        <w:gridCol w:w="1115"/>
        <w:gridCol w:w="835"/>
        <w:gridCol w:w="976"/>
        <w:gridCol w:w="975"/>
        <w:gridCol w:w="1115"/>
        <w:gridCol w:w="1115"/>
        <w:gridCol w:w="1115"/>
        <w:gridCol w:w="557"/>
      </w:tblGrid>
      <w:tr w:rsidR="00344DF7" w:rsidRPr="00FE1270" w:rsidTr="00976942">
        <w:trPr>
          <w:cantSplit/>
          <w:trHeight w:val="984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310B81" w:rsidRPr="00FE1270" w:rsidRDefault="00976942" w:rsidP="00310B81">
            <w:pPr>
              <w:jc w:val="center"/>
              <w:rPr>
                <w:rFonts w:ascii="Arial" w:hAnsi="Arial" w:cs="Arial"/>
                <w:b/>
                <w:bCs/>
                <w:noProof/>
                <w:color w:val="000000"/>
                <w:sz w:val="13"/>
                <w:szCs w:val="13"/>
                <w:lang w:eastAsia="hr-HR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13"/>
                <w:szCs w:val="13"/>
                <w:lang w:eastAsia="hr-HR"/>
              </w:rPr>
              <w:t>Obveze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310B81" w:rsidRPr="00FE1270" w:rsidRDefault="00663198" w:rsidP="005B3303">
            <w:pPr>
              <w:jc w:val="center"/>
              <w:rPr>
                <w:rFonts w:ascii="Arial" w:hAnsi="Arial" w:cs="Arial"/>
                <w:bCs/>
                <w:noProof/>
                <w:color w:val="000000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bCs/>
                <w:noProof/>
                <w:color w:val="000000"/>
                <w:sz w:val="16"/>
                <w:szCs w:val="16"/>
                <w:lang w:eastAsia="hr-HR"/>
              </w:rPr>
              <w:t>Ukupno na  31.12.2023</w:t>
            </w:r>
            <w:r w:rsidR="00310B81" w:rsidRPr="00FE1270">
              <w:rPr>
                <w:rFonts w:ascii="Arial" w:hAnsi="Arial" w:cs="Arial"/>
                <w:bCs/>
                <w:noProof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310B81" w:rsidRPr="00FE1270" w:rsidRDefault="00310B81" w:rsidP="00310B81">
            <w:pPr>
              <w:jc w:val="center"/>
              <w:rPr>
                <w:rFonts w:ascii="Arial" w:hAnsi="Arial" w:cs="Arial"/>
                <w:bCs/>
                <w:noProof/>
                <w:color w:val="000000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bCs/>
                <w:noProof/>
                <w:color w:val="000000"/>
                <w:sz w:val="16"/>
                <w:szCs w:val="16"/>
                <w:lang w:eastAsia="hr-HR"/>
              </w:rPr>
              <w:t>Grad Rijeka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310B81" w:rsidRPr="00FE1270" w:rsidRDefault="00310B81" w:rsidP="00310B81">
            <w:pPr>
              <w:jc w:val="center"/>
              <w:rPr>
                <w:rFonts w:ascii="Arial" w:hAnsi="Arial" w:cs="Arial"/>
                <w:bCs/>
                <w:noProof/>
                <w:color w:val="000000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bCs/>
                <w:noProof/>
                <w:color w:val="000000"/>
                <w:sz w:val="16"/>
                <w:szCs w:val="16"/>
                <w:lang w:eastAsia="hr-HR"/>
              </w:rPr>
              <w:t>APOS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310B81" w:rsidRPr="00FE1270" w:rsidRDefault="00310B81" w:rsidP="00310B81">
            <w:pPr>
              <w:jc w:val="center"/>
              <w:rPr>
                <w:rFonts w:ascii="Arial" w:hAnsi="Arial" w:cs="Arial"/>
                <w:bCs/>
                <w:noProof/>
                <w:color w:val="000000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bCs/>
                <w:noProof/>
                <w:color w:val="000000"/>
                <w:sz w:val="16"/>
                <w:szCs w:val="16"/>
                <w:lang w:eastAsia="hr-HR"/>
              </w:rPr>
              <w:t>VNM</w:t>
            </w:r>
            <w:r w:rsidR="00BF25B2" w:rsidRPr="00FE1270">
              <w:rPr>
                <w:rFonts w:ascii="Arial" w:hAnsi="Arial" w:cs="Arial"/>
                <w:bCs/>
                <w:noProof/>
                <w:color w:val="000000"/>
                <w:sz w:val="16"/>
                <w:szCs w:val="16"/>
                <w:lang w:eastAsia="hr-HR"/>
              </w:rPr>
              <w:t xml:space="preserve"> I MO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310B81" w:rsidRPr="00FE1270" w:rsidRDefault="00890B25" w:rsidP="0047633F">
            <w:pPr>
              <w:jc w:val="center"/>
              <w:rPr>
                <w:rFonts w:ascii="Arial" w:hAnsi="Arial" w:cs="Arial"/>
                <w:bCs/>
                <w:noProof/>
                <w:color w:val="000000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bCs/>
                <w:noProof/>
                <w:color w:val="000000"/>
                <w:sz w:val="16"/>
                <w:szCs w:val="16"/>
                <w:lang w:eastAsia="hr-HR"/>
              </w:rPr>
              <w:t>Centar za pr.usl.u zajednici</w:t>
            </w:r>
            <w:r w:rsidR="000A5552" w:rsidRPr="00FE1270">
              <w:rPr>
                <w:rFonts w:ascii="Arial" w:hAnsi="Arial" w:cs="Arial"/>
                <w:bCs/>
                <w:noProof/>
                <w:color w:val="000000"/>
                <w:sz w:val="16"/>
                <w:szCs w:val="16"/>
                <w:lang w:eastAsia="hr-HR"/>
              </w:rPr>
              <w:t xml:space="preserve"> "Tić"</w:t>
            </w:r>
            <w:r w:rsidR="0047633F" w:rsidRPr="00FE1270">
              <w:rPr>
                <w:rFonts w:ascii="Arial" w:hAnsi="Arial" w:cs="Arial"/>
                <w:bCs/>
                <w:noProof/>
                <w:color w:val="000000"/>
                <w:sz w:val="16"/>
                <w:szCs w:val="16"/>
                <w:lang w:eastAsia="hr-HR"/>
              </w:rPr>
              <w:t xml:space="preserve"> i</w:t>
            </w:r>
            <w:r w:rsidR="000A5552" w:rsidRPr="00FE1270">
              <w:rPr>
                <w:rFonts w:ascii="Arial" w:hAnsi="Arial" w:cs="Arial"/>
                <w:bCs/>
                <w:noProof/>
                <w:color w:val="000000"/>
                <w:sz w:val="16"/>
                <w:szCs w:val="16"/>
                <w:lang w:eastAsia="hr-HR"/>
              </w:rPr>
              <w:t xml:space="preserve"> </w:t>
            </w:r>
            <w:r w:rsidR="00310B81" w:rsidRPr="00FE1270">
              <w:rPr>
                <w:rFonts w:ascii="Arial" w:hAnsi="Arial" w:cs="Arial"/>
                <w:bCs/>
                <w:noProof/>
                <w:color w:val="000000"/>
                <w:sz w:val="16"/>
                <w:szCs w:val="16"/>
                <w:lang w:eastAsia="hr-HR"/>
              </w:rPr>
              <w:t>PB Lopača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310B81" w:rsidRPr="00FE1270" w:rsidRDefault="00BF25B2" w:rsidP="00310B81">
            <w:pPr>
              <w:jc w:val="center"/>
              <w:rPr>
                <w:rFonts w:ascii="Arial" w:hAnsi="Arial" w:cs="Arial"/>
                <w:bCs/>
                <w:noProof/>
                <w:color w:val="000000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bCs/>
                <w:noProof/>
                <w:color w:val="000000"/>
                <w:sz w:val="16"/>
                <w:szCs w:val="16"/>
                <w:lang w:eastAsia="hr-HR"/>
              </w:rPr>
              <w:t xml:space="preserve">JVP 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310B81" w:rsidRPr="00FE1270" w:rsidRDefault="00D57F05" w:rsidP="00446E1A">
            <w:pPr>
              <w:jc w:val="center"/>
              <w:rPr>
                <w:rFonts w:ascii="Arial" w:hAnsi="Arial" w:cs="Arial"/>
                <w:bCs/>
                <w:noProof/>
                <w:color w:val="000000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bCs/>
                <w:noProof/>
                <w:color w:val="000000"/>
                <w:sz w:val="16"/>
                <w:szCs w:val="16"/>
                <w:lang w:eastAsia="hr-HR"/>
              </w:rPr>
              <w:t>Odgoj, obrazovanje</w:t>
            </w:r>
          </w:p>
          <w:p w:rsidR="0083644D" w:rsidRPr="00FE1270" w:rsidRDefault="0083644D" w:rsidP="00446E1A">
            <w:pPr>
              <w:jc w:val="center"/>
              <w:rPr>
                <w:rFonts w:ascii="Arial" w:hAnsi="Arial" w:cs="Arial"/>
                <w:bCs/>
                <w:noProof/>
                <w:color w:val="000000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bCs/>
                <w:noProof/>
                <w:color w:val="000000"/>
                <w:sz w:val="16"/>
                <w:szCs w:val="16"/>
                <w:lang w:eastAsia="hr-HR"/>
              </w:rPr>
              <w:t>i mladi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310B81" w:rsidRPr="00FE1270" w:rsidRDefault="00D57F05" w:rsidP="00310B81">
            <w:pPr>
              <w:jc w:val="center"/>
              <w:rPr>
                <w:rFonts w:ascii="Arial" w:hAnsi="Arial" w:cs="Arial"/>
                <w:bCs/>
                <w:noProof/>
                <w:color w:val="000000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bCs/>
                <w:noProof/>
                <w:color w:val="000000"/>
                <w:sz w:val="16"/>
                <w:szCs w:val="16"/>
                <w:lang w:eastAsia="hr-HR"/>
              </w:rPr>
              <w:t>K</w:t>
            </w:r>
            <w:r w:rsidR="00310B81" w:rsidRPr="00FE1270">
              <w:rPr>
                <w:rFonts w:ascii="Arial" w:hAnsi="Arial" w:cs="Arial"/>
                <w:bCs/>
                <w:noProof/>
                <w:color w:val="000000"/>
                <w:sz w:val="16"/>
                <w:szCs w:val="16"/>
                <w:lang w:eastAsia="hr-HR"/>
              </w:rPr>
              <w:t>ultur</w:t>
            </w:r>
            <w:r w:rsidRPr="00FE1270">
              <w:rPr>
                <w:rFonts w:ascii="Arial" w:hAnsi="Arial" w:cs="Arial"/>
                <w:bCs/>
                <w:noProof/>
                <w:color w:val="000000"/>
                <w:sz w:val="16"/>
                <w:szCs w:val="16"/>
                <w:lang w:eastAsia="hr-HR"/>
              </w:rPr>
              <w:t>a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310B81" w:rsidRPr="00FE1270" w:rsidRDefault="007B1295" w:rsidP="00ED7CBB">
            <w:pPr>
              <w:jc w:val="center"/>
              <w:rPr>
                <w:rFonts w:ascii="Arial" w:hAnsi="Arial" w:cs="Arial"/>
                <w:bCs/>
                <w:noProof/>
                <w:color w:val="000000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bCs/>
                <w:noProof/>
                <w:color w:val="000000"/>
                <w:sz w:val="16"/>
                <w:szCs w:val="16"/>
                <w:lang w:eastAsia="hr-HR"/>
              </w:rPr>
              <w:t xml:space="preserve">Ukupno </w:t>
            </w:r>
            <w:r w:rsidR="00E063F7" w:rsidRPr="00FE1270">
              <w:rPr>
                <w:rFonts w:ascii="Arial" w:hAnsi="Arial" w:cs="Arial"/>
                <w:bCs/>
                <w:noProof/>
                <w:color w:val="000000"/>
                <w:sz w:val="16"/>
                <w:szCs w:val="16"/>
                <w:lang w:eastAsia="hr-HR"/>
              </w:rPr>
              <w:t>na  31.12.2024</w:t>
            </w:r>
            <w:r w:rsidR="00310B81" w:rsidRPr="00FE1270">
              <w:rPr>
                <w:rFonts w:ascii="Arial" w:hAnsi="Arial" w:cs="Arial"/>
                <w:bCs/>
                <w:noProof/>
                <w:color w:val="000000"/>
                <w:sz w:val="16"/>
                <w:szCs w:val="16"/>
                <w:lang w:eastAsia="hr-HR"/>
              </w:rPr>
              <w:t xml:space="preserve">.           (od 3 do </w:t>
            </w:r>
            <w:r w:rsidR="00ED7CBB" w:rsidRPr="00FE1270">
              <w:rPr>
                <w:rFonts w:ascii="Arial" w:hAnsi="Arial" w:cs="Arial"/>
                <w:bCs/>
                <w:noProof/>
                <w:color w:val="000000"/>
                <w:sz w:val="16"/>
                <w:szCs w:val="16"/>
                <w:lang w:eastAsia="hr-HR"/>
              </w:rPr>
              <w:t>9</w:t>
            </w:r>
            <w:r w:rsidR="00310B81" w:rsidRPr="00FE1270">
              <w:rPr>
                <w:rFonts w:ascii="Arial" w:hAnsi="Arial" w:cs="Arial"/>
                <w:bCs/>
                <w:noProof/>
                <w:color w:val="000000"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extDirection w:val="tbRl"/>
            <w:vAlign w:val="center"/>
            <w:hideMark/>
          </w:tcPr>
          <w:p w:rsidR="00310B81" w:rsidRPr="00FE1270" w:rsidRDefault="00310B81" w:rsidP="007B1FED">
            <w:pPr>
              <w:ind w:left="113" w:right="113"/>
              <w:jc w:val="center"/>
              <w:rPr>
                <w:rFonts w:ascii="Arial" w:hAnsi="Arial" w:cs="Arial"/>
                <w:bCs/>
                <w:noProof/>
                <w:color w:val="000000"/>
                <w:sz w:val="13"/>
                <w:szCs w:val="13"/>
                <w:lang w:eastAsia="hr-HR"/>
              </w:rPr>
            </w:pPr>
            <w:r w:rsidRPr="00FE1270">
              <w:rPr>
                <w:rFonts w:ascii="Arial" w:hAnsi="Arial" w:cs="Arial"/>
                <w:bCs/>
                <w:noProof/>
                <w:color w:val="000000"/>
                <w:sz w:val="13"/>
                <w:szCs w:val="13"/>
                <w:lang w:eastAsia="hr-HR"/>
              </w:rPr>
              <w:t>10/2*100)</w:t>
            </w:r>
          </w:p>
        </w:tc>
      </w:tr>
      <w:tr w:rsidR="00344DF7" w:rsidRPr="00FE1270" w:rsidTr="00976942">
        <w:trPr>
          <w:trHeight w:val="31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310B81" w:rsidRPr="00FE1270" w:rsidRDefault="00310B81" w:rsidP="00310B81">
            <w:pPr>
              <w:jc w:val="center"/>
              <w:rPr>
                <w:rFonts w:ascii="Arial" w:hAnsi="Arial" w:cs="Arial"/>
                <w:bCs/>
                <w:noProof/>
                <w:color w:val="000000"/>
                <w:sz w:val="13"/>
                <w:szCs w:val="13"/>
                <w:lang w:eastAsia="hr-HR"/>
              </w:rPr>
            </w:pPr>
            <w:r w:rsidRPr="00FE1270">
              <w:rPr>
                <w:rFonts w:ascii="Arial" w:hAnsi="Arial" w:cs="Arial"/>
                <w:bCs/>
                <w:noProof/>
                <w:color w:val="000000"/>
                <w:sz w:val="13"/>
                <w:szCs w:val="13"/>
                <w:lang w:eastAsia="hr-HR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310B81" w:rsidRPr="00FE1270" w:rsidRDefault="00310B81" w:rsidP="00310B81">
            <w:pPr>
              <w:jc w:val="center"/>
              <w:rPr>
                <w:rFonts w:ascii="Arial" w:hAnsi="Arial" w:cs="Arial"/>
                <w:bCs/>
                <w:noProof/>
                <w:color w:val="000000"/>
                <w:sz w:val="13"/>
                <w:szCs w:val="13"/>
                <w:lang w:eastAsia="hr-HR"/>
              </w:rPr>
            </w:pPr>
            <w:r w:rsidRPr="00FE1270">
              <w:rPr>
                <w:rFonts w:ascii="Arial" w:hAnsi="Arial" w:cs="Arial"/>
                <w:bCs/>
                <w:noProof/>
                <w:color w:val="000000"/>
                <w:sz w:val="13"/>
                <w:szCs w:val="13"/>
                <w:lang w:eastAsia="hr-HR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310B81" w:rsidRPr="00FE1270" w:rsidRDefault="00310B81" w:rsidP="00310B81">
            <w:pPr>
              <w:jc w:val="center"/>
              <w:rPr>
                <w:rFonts w:ascii="Arial" w:hAnsi="Arial" w:cs="Arial"/>
                <w:bCs/>
                <w:noProof/>
                <w:color w:val="000000"/>
                <w:sz w:val="13"/>
                <w:szCs w:val="13"/>
                <w:lang w:eastAsia="hr-HR"/>
              </w:rPr>
            </w:pPr>
            <w:r w:rsidRPr="00FE1270">
              <w:rPr>
                <w:rFonts w:ascii="Arial" w:hAnsi="Arial" w:cs="Arial"/>
                <w:bCs/>
                <w:noProof/>
                <w:color w:val="000000"/>
                <w:sz w:val="13"/>
                <w:szCs w:val="13"/>
                <w:lang w:eastAsia="hr-HR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310B81" w:rsidRPr="00FE1270" w:rsidRDefault="000C7147" w:rsidP="00310B81">
            <w:pPr>
              <w:jc w:val="center"/>
              <w:rPr>
                <w:rFonts w:ascii="Arial" w:hAnsi="Arial" w:cs="Arial"/>
                <w:bCs/>
                <w:noProof/>
                <w:color w:val="000000"/>
                <w:sz w:val="13"/>
                <w:szCs w:val="13"/>
                <w:lang w:eastAsia="hr-HR"/>
              </w:rPr>
            </w:pPr>
            <w:r w:rsidRPr="00FE1270">
              <w:rPr>
                <w:rFonts w:ascii="Arial" w:hAnsi="Arial" w:cs="Arial"/>
                <w:bCs/>
                <w:noProof/>
                <w:color w:val="000000"/>
                <w:sz w:val="13"/>
                <w:szCs w:val="13"/>
                <w:lang w:eastAsia="hr-HR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310B81" w:rsidRPr="00FE1270" w:rsidRDefault="00310B81" w:rsidP="00310B81">
            <w:pPr>
              <w:jc w:val="center"/>
              <w:rPr>
                <w:rFonts w:ascii="Arial" w:hAnsi="Arial" w:cs="Arial"/>
                <w:bCs/>
                <w:noProof/>
                <w:color w:val="000000"/>
                <w:sz w:val="13"/>
                <w:szCs w:val="13"/>
                <w:lang w:eastAsia="hr-HR"/>
              </w:rPr>
            </w:pPr>
            <w:r w:rsidRPr="00FE1270">
              <w:rPr>
                <w:rFonts w:ascii="Arial" w:hAnsi="Arial" w:cs="Arial"/>
                <w:bCs/>
                <w:noProof/>
                <w:color w:val="000000"/>
                <w:sz w:val="13"/>
                <w:szCs w:val="13"/>
                <w:lang w:eastAsia="hr-HR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310B81" w:rsidRPr="00FE1270" w:rsidRDefault="00310B81" w:rsidP="00310B81">
            <w:pPr>
              <w:jc w:val="center"/>
              <w:rPr>
                <w:rFonts w:ascii="Arial" w:hAnsi="Arial" w:cs="Arial"/>
                <w:bCs/>
                <w:noProof/>
                <w:color w:val="000000"/>
                <w:sz w:val="13"/>
                <w:szCs w:val="13"/>
                <w:lang w:eastAsia="hr-HR"/>
              </w:rPr>
            </w:pPr>
            <w:r w:rsidRPr="00FE1270">
              <w:rPr>
                <w:rFonts w:ascii="Arial" w:hAnsi="Arial" w:cs="Arial"/>
                <w:bCs/>
                <w:noProof/>
                <w:color w:val="000000"/>
                <w:sz w:val="13"/>
                <w:szCs w:val="13"/>
                <w:lang w:eastAsia="hr-HR"/>
              </w:rPr>
              <w:t>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310B81" w:rsidRPr="00FE1270" w:rsidRDefault="00310B81" w:rsidP="00310B81">
            <w:pPr>
              <w:jc w:val="center"/>
              <w:rPr>
                <w:rFonts w:ascii="Arial" w:hAnsi="Arial" w:cs="Arial"/>
                <w:bCs/>
                <w:noProof/>
                <w:color w:val="000000"/>
                <w:sz w:val="13"/>
                <w:szCs w:val="13"/>
                <w:lang w:eastAsia="hr-HR"/>
              </w:rPr>
            </w:pPr>
            <w:r w:rsidRPr="00FE1270">
              <w:rPr>
                <w:rFonts w:ascii="Arial" w:hAnsi="Arial" w:cs="Arial"/>
                <w:bCs/>
                <w:noProof/>
                <w:color w:val="000000"/>
                <w:sz w:val="13"/>
                <w:szCs w:val="13"/>
                <w:lang w:eastAsia="hr-HR"/>
              </w:rPr>
              <w:t>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310B81" w:rsidRPr="00FE1270" w:rsidRDefault="00310B81" w:rsidP="00310B81">
            <w:pPr>
              <w:jc w:val="center"/>
              <w:rPr>
                <w:rFonts w:ascii="Arial" w:hAnsi="Arial" w:cs="Arial"/>
                <w:bCs/>
                <w:noProof/>
                <w:color w:val="000000"/>
                <w:sz w:val="13"/>
                <w:szCs w:val="13"/>
                <w:lang w:eastAsia="hr-HR"/>
              </w:rPr>
            </w:pPr>
            <w:r w:rsidRPr="00FE1270">
              <w:rPr>
                <w:rFonts w:ascii="Arial" w:hAnsi="Arial" w:cs="Arial"/>
                <w:bCs/>
                <w:noProof/>
                <w:color w:val="000000"/>
                <w:sz w:val="13"/>
                <w:szCs w:val="13"/>
                <w:lang w:eastAsia="hr-HR"/>
              </w:rPr>
              <w:t>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310B81" w:rsidRPr="00FE1270" w:rsidRDefault="00310B81" w:rsidP="00310B81">
            <w:pPr>
              <w:jc w:val="center"/>
              <w:rPr>
                <w:rFonts w:ascii="Arial" w:hAnsi="Arial" w:cs="Arial"/>
                <w:bCs/>
                <w:noProof/>
                <w:color w:val="000000"/>
                <w:sz w:val="13"/>
                <w:szCs w:val="13"/>
                <w:lang w:eastAsia="hr-HR"/>
              </w:rPr>
            </w:pPr>
            <w:r w:rsidRPr="00FE1270">
              <w:rPr>
                <w:rFonts w:ascii="Arial" w:hAnsi="Arial" w:cs="Arial"/>
                <w:bCs/>
                <w:noProof/>
                <w:color w:val="000000"/>
                <w:sz w:val="13"/>
                <w:szCs w:val="13"/>
                <w:lang w:eastAsia="hr-HR"/>
              </w:rPr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310B81" w:rsidRPr="00FE1270" w:rsidRDefault="00310B81" w:rsidP="00310B81">
            <w:pPr>
              <w:jc w:val="center"/>
              <w:rPr>
                <w:rFonts w:ascii="Arial" w:hAnsi="Arial" w:cs="Arial"/>
                <w:bCs/>
                <w:noProof/>
                <w:color w:val="000000"/>
                <w:sz w:val="13"/>
                <w:szCs w:val="13"/>
                <w:lang w:eastAsia="hr-HR"/>
              </w:rPr>
            </w:pPr>
            <w:r w:rsidRPr="00FE1270">
              <w:rPr>
                <w:rFonts w:ascii="Arial" w:hAnsi="Arial" w:cs="Arial"/>
                <w:bCs/>
                <w:noProof/>
                <w:color w:val="000000"/>
                <w:sz w:val="13"/>
                <w:szCs w:val="13"/>
                <w:lang w:eastAsia="hr-HR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310B81" w:rsidRPr="00FE1270" w:rsidRDefault="00310B81" w:rsidP="00310B81">
            <w:pPr>
              <w:jc w:val="center"/>
              <w:rPr>
                <w:rFonts w:ascii="Arial" w:hAnsi="Arial" w:cs="Arial"/>
                <w:bCs/>
                <w:noProof/>
                <w:color w:val="000000"/>
                <w:sz w:val="13"/>
                <w:szCs w:val="13"/>
                <w:lang w:eastAsia="hr-HR"/>
              </w:rPr>
            </w:pPr>
            <w:r w:rsidRPr="00FE1270">
              <w:rPr>
                <w:rFonts w:ascii="Arial" w:hAnsi="Arial" w:cs="Arial"/>
                <w:bCs/>
                <w:noProof/>
                <w:color w:val="000000"/>
                <w:sz w:val="13"/>
                <w:szCs w:val="13"/>
                <w:lang w:eastAsia="hr-HR"/>
              </w:rPr>
              <w:t>11</w:t>
            </w:r>
          </w:p>
        </w:tc>
      </w:tr>
      <w:tr w:rsidR="007B1FED" w:rsidRPr="00FE1270" w:rsidTr="00976942">
        <w:trPr>
          <w:trHeight w:val="54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0B81" w:rsidRPr="00976942" w:rsidRDefault="00B06272" w:rsidP="00976942">
            <w:pPr>
              <w:jc w:val="center"/>
              <w:rPr>
                <w:rFonts w:ascii="Arial" w:hAnsi="Arial" w:cs="Arial"/>
                <w:bCs/>
                <w:noProof/>
                <w:color w:val="000000"/>
                <w:sz w:val="13"/>
                <w:szCs w:val="13"/>
                <w:lang w:eastAsia="hr-HR"/>
              </w:rPr>
            </w:pPr>
            <w:r w:rsidRPr="00976942">
              <w:rPr>
                <w:rFonts w:ascii="Arial" w:hAnsi="Arial" w:cs="Arial"/>
                <w:bCs/>
                <w:noProof/>
                <w:color w:val="000000"/>
                <w:sz w:val="13"/>
                <w:szCs w:val="13"/>
                <w:lang w:eastAsia="hr-HR"/>
              </w:rPr>
              <w:t>Ukupn</w:t>
            </w:r>
            <w:r w:rsidR="00976942">
              <w:rPr>
                <w:rFonts w:ascii="Arial" w:hAnsi="Arial" w:cs="Arial"/>
                <w:bCs/>
                <w:noProof/>
                <w:color w:val="000000"/>
                <w:sz w:val="13"/>
                <w:szCs w:val="13"/>
                <w:lang w:eastAsia="hr-HR"/>
              </w:rPr>
              <w:t>e</w:t>
            </w:r>
            <w:r w:rsidRPr="00976942">
              <w:rPr>
                <w:rFonts w:ascii="Arial" w:hAnsi="Arial" w:cs="Arial"/>
                <w:bCs/>
                <w:noProof/>
                <w:color w:val="000000"/>
                <w:sz w:val="13"/>
                <w:szCs w:val="13"/>
                <w:lang w:eastAsia="hr-HR"/>
              </w:rPr>
              <w:t xml:space="preserve">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0B81" w:rsidRPr="00FE1270" w:rsidRDefault="00663198" w:rsidP="00310B81">
            <w:pPr>
              <w:jc w:val="right"/>
              <w:rPr>
                <w:rFonts w:ascii="Arial" w:hAnsi="Arial" w:cs="Arial"/>
                <w:noProof/>
                <w:color w:val="000000"/>
                <w:sz w:val="13"/>
                <w:szCs w:val="13"/>
                <w:lang w:eastAsia="hr-HR"/>
              </w:rPr>
            </w:pPr>
            <w:r w:rsidRPr="00FE1270">
              <w:rPr>
                <w:rFonts w:ascii="Arial" w:hAnsi="Arial" w:cs="Arial"/>
                <w:noProof/>
                <w:color w:val="000000"/>
                <w:sz w:val="13"/>
                <w:szCs w:val="13"/>
                <w:lang w:eastAsia="hr-HR"/>
              </w:rPr>
              <w:t>76.066.215,24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0B81" w:rsidRPr="00FE1270" w:rsidRDefault="00663198" w:rsidP="00310B81">
            <w:pPr>
              <w:jc w:val="right"/>
              <w:rPr>
                <w:rFonts w:ascii="Arial" w:hAnsi="Arial" w:cs="Arial"/>
                <w:noProof/>
                <w:color w:val="000000"/>
                <w:sz w:val="13"/>
                <w:szCs w:val="13"/>
                <w:lang w:eastAsia="hr-HR"/>
              </w:rPr>
            </w:pPr>
            <w:r w:rsidRPr="00FE1270">
              <w:rPr>
                <w:rFonts w:ascii="Arial" w:hAnsi="Arial" w:cs="Arial"/>
                <w:noProof/>
                <w:color w:val="000000"/>
                <w:sz w:val="13"/>
                <w:szCs w:val="13"/>
                <w:lang w:eastAsia="hr-HR"/>
              </w:rPr>
              <w:t>53.577.942,70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0B81" w:rsidRPr="00FE1270" w:rsidRDefault="00663198" w:rsidP="00310B81">
            <w:pPr>
              <w:jc w:val="right"/>
              <w:rPr>
                <w:rFonts w:ascii="Arial" w:hAnsi="Arial" w:cs="Arial"/>
                <w:noProof/>
                <w:color w:val="000000"/>
                <w:sz w:val="13"/>
                <w:szCs w:val="13"/>
                <w:lang w:eastAsia="hr-HR"/>
              </w:rPr>
            </w:pPr>
            <w:r w:rsidRPr="00FE1270">
              <w:rPr>
                <w:rFonts w:ascii="Arial" w:hAnsi="Arial" w:cs="Arial"/>
                <w:noProof/>
                <w:color w:val="000000"/>
                <w:sz w:val="13"/>
                <w:szCs w:val="13"/>
                <w:lang w:eastAsia="hr-HR"/>
              </w:rPr>
              <w:t>3.228.479,32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0B81" w:rsidRPr="00FE1270" w:rsidRDefault="00663198" w:rsidP="00310B81">
            <w:pPr>
              <w:jc w:val="right"/>
              <w:rPr>
                <w:rFonts w:ascii="Arial" w:hAnsi="Arial" w:cs="Arial"/>
                <w:noProof/>
                <w:color w:val="FF0000"/>
                <w:sz w:val="13"/>
                <w:szCs w:val="13"/>
                <w:lang w:eastAsia="hr-HR"/>
              </w:rPr>
            </w:pPr>
            <w:r w:rsidRPr="00FE1270">
              <w:rPr>
                <w:rFonts w:ascii="Arial" w:hAnsi="Arial" w:cs="Arial"/>
                <w:noProof/>
                <w:sz w:val="13"/>
                <w:szCs w:val="13"/>
                <w:lang w:eastAsia="hr-HR"/>
              </w:rPr>
              <w:t>4.663,75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0B81" w:rsidRPr="00FE1270" w:rsidRDefault="00663198" w:rsidP="000E787D">
            <w:pPr>
              <w:jc w:val="right"/>
              <w:rPr>
                <w:rFonts w:ascii="Arial" w:hAnsi="Arial" w:cs="Arial"/>
                <w:noProof/>
                <w:color w:val="000000"/>
                <w:sz w:val="13"/>
                <w:szCs w:val="13"/>
                <w:lang w:eastAsia="hr-HR"/>
              </w:rPr>
            </w:pPr>
            <w:r w:rsidRPr="00FE1270">
              <w:rPr>
                <w:rFonts w:ascii="Arial" w:hAnsi="Arial" w:cs="Arial"/>
                <w:noProof/>
                <w:sz w:val="13"/>
                <w:szCs w:val="13"/>
                <w:lang w:eastAsia="hr-HR"/>
              </w:rPr>
              <w:t>1.999.971,38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0B81" w:rsidRPr="00FE1270" w:rsidRDefault="00663198" w:rsidP="00310B81">
            <w:pPr>
              <w:jc w:val="right"/>
              <w:rPr>
                <w:rFonts w:ascii="Arial" w:hAnsi="Arial" w:cs="Arial"/>
                <w:noProof/>
                <w:color w:val="FF0000"/>
                <w:sz w:val="13"/>
                <w:szCs w:val="13"/>
                <w:lang w:eastAsia="hr-HR"/>
              </w:rPr>
            </w:pPr>
            <w:r w:rsidRPr="00FE1270">
              <w:rPr>
                <w:rFonts w:ascii="Arial" w:hAnsi="Arial" w:cs="Arial"/>
                <w:noProof/>
                <w:sz w:val="13"/>
                <w:szCs w:val="13"/>
                <w:lang w:eastAsia="hr-HR"/>
              </w:rPr>
              <w:t>494.890,49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0B81" w:rsidRPr="00FE1270" w:rsidRDefault="00663198" w:rsidP="00310B81">
            <w:pPr>
              <w:jc w:val="right"/>
              <w:rPr>
                <w:rFonts w:ascii="Arial" w:hAnsi="Arial" w:cs="Arial"/>
                <w:noProof/>
                <w:color w:val="000000"/>
                <w:sz w:val="13"/>
                <w:szCs w:val="13"/>
                <w:lang w:eastAsia="hr-HR"/>
              </w:rPr>
            </w:pPr>
            <w:r w:rsidRPr="00FE1270">
              <w:rPr>
                <w:rFonts w:ascii="Arial" w:hAnsi="Arial" w:cs="Arial"/>
                <w:noProof/>
                <w:color w:val="000000"/>
                <w:sz w:val="13"/>
                <w:szCs w:val="13"/>
                <w:lang w:eastAsia="hr-HR"/>
              </w:rPr>
              <w:t>8.832.</w:t>
            </w:r>
            <w:r w:rsidR="00E063F7" w:rsidRPr="00FE1270">
              <w:rPr>
                <w:rFonts w:ascii="Arial" w:hAnsi="Arial" w:cs="Arial"/>
                <w:noProof/>
                <w:color w:val="000000"/>
                <w:sz w:val="13"/>
                <w:szCs w:val="13"/>
                <w:lang w:eastAsia="hr-HR"/>
              </w:rPr>
              <w:t>830,95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0B81" w:rsidRPr="00FE1270" w:rsidRDefault="00E063F7" w:rsidP="00310B81">
            <w:pPr>
              <w:jc w:val="right"/>
              <w:rPr>
                <w:rFonts w:ascii="Arial" w:hAnsi="Arial" w:cs="Arial"/>
                <w:noProof/>
                <w:color w:val="000000"/>
                <w:sz w:val="13"/>
                <w:szCs w:val="13"/>
                <w:lang w:eastAsia="hr-HR"/>
              </w:rPr>
            </w:pPr>
            <w:r w:rsidRPr="00FE1270">
              <w:rPr>
                <w:rFonts w:ascii="Arial" w:hAnsi="Arial" w:cs="Arial"/>
                <w:noProof/>
                <w:color w:val="000000"/>
                <w:sz w:val="13"/>
                <w:szCs w:val="13"/>
                <w:lang w:eastAsia="hr-HR"/>
              </w:rPr>
              <w:t>1.875.997,79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0B81" w:rsidRPr="00FE1270" w:rsidRDefault="00E063F7" w:rsidP="00310B81">
            <w:pPr>
              <w:jc w:val="right"/>
              <w:rPr>
                <w:rFonts w:ascii="Arial" w:hAnsi="Arial" w:cs="Arial"/>
                <w:b/>
                <w:noProof/>
                <w:color w:val="000000"/>
                <w:sz w:val="13"/>
                <w:szCs w:val="13"/>
                <w:lang w:eastAsia="hr-HR"/>
              </w:rPr>
            </w:pPr>
            <w:r w:rsidRPr="00FE1270">
              <w:rPr>
                <w:rFonts w:ascii="Arial" w:hAnsi="Arial" w:cs="Arial"/>
                <w:b/>
                <w:noProof/>
                <w:color w:val="000000"/>
                <w:sz w:val="13"/>
                <w:szCs w:val="13"/>
                <w:lang w:eastAsia="hr-HR"/>
              </w:rPr>
              <w:t>70.014.776,38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DC1" w:rsidRPr="00FE1270" w:rsidRDefault="00E063F7" w:rsidP="000A1DC1">
            <w:pPr>
              <w:jc w:val="center"/>
              <w:rPr>
                <w:rFonts w:ascii="Arial" w:hAnsi="Arial" w:cs="Arial"/>
                <w:noProof/>
                <w:color w:val="000000"/>
                <w:sz w:val="13"/>
                <w:szCs w:val="13"/>
                <w:lang w:eastAsia="hr-HR"/>
              </w:rPr>
            </w:pPr>
            <w:r w:rsidRPr="00FE1270">
              <w:rPr>
                <w:rFonts w:ascii="Arial" w:hAnsi="Arial" w:cs="Arial"/>
                <w:noProof/>
                <w:color w:val="000000"/>
                <w:sz w:val="13"/>
                <w:szCs w:val="13"/>
                <w:lang w:eastAsia="hr-HR"/>
              </w:rPr>
              <w:t>92,0</w:t>
            </w:r>
          </w:p>
        </w:tc>
      </w:tr>
      <w:tr w:rsidR="007B1FED" w:rsidRPr="00FE1270" w:rsidTr="00976942">
        <w:trPr>
          <w:trHeight w:val="31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0B81" w:rsidRPr="00976942" w:rsidRDefault="00976942" w:rsidP="00310B81">
            <w:pPr>
              <w:jc w:val="center"/>
              <w:rPr>
                <w:rFonts w:ascii="Arial" w:hAnsi="Arial" w:cs="Arial"/>
                <w:bCs/>
                <w:noProof/>
                <w:color w:val="000000"/>
                <w:sz w:val="13"/>
                <w:szCs w:val="13"/>
                <w:lang w:eastAsia="hr-HR"/>
              </w:rPr>
            </w:pPr>
            <w:r w:rsidRPr="00976942">
              <w:rPr>
                <w:rFonts w:ascii="Arial" w:hAnsi="Arial" w:cs="Arial"/>
                <w:bCs/>
                <w:noProof/>
                <w:color w:val="000000"/>
                <w:sz w:val="13"/>
                <w:szCs w:val="13"/>
                <w:lang w:eastAsia="hr-HR"/>
              </w:rPr>
              <w:t>Dospjele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0B81" w:rsidRPr="00FE1270" w:rsidRDefault="00663198" w:rsidP="00310B81">
            <w:pPr>
              <w:jc w:val="right"/>
              <w:rPr>
                <w:rFonts w:ascii="Arial" w:hAnsi="Arial" w:cs="Arial"/>
                <w:noProof/>
                <w:color w:val="000000"/>
                <w:sz w:val="13"/>
                <w:szCs w:val="13"/>
                <w:lang w:eastAsia="hr-HR"/>
              </w:rPr>
            </w:pPr>
            <w:r w:rsidRPr="00FE1270">
              <w:rPr>
                <w:rFonts w:ascii="Arial" w:hAnsi="Arial" w:cs="Arial"/>
                <w:noProof/>
                <w:color w:val="000000"/>
                <w:sz w:val="13"/>
                <w:szCs w:val="13"/>
                <w:lang w:eastAsia="hr-HR"/>
              </w:rPr>
              <w:t>7.219.336,76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0B81" w:rsidRPr="00FE1270" w:rsidRDefault="00663198" w:rsidP="00310B81">
            <w:pPr>
              <w:jc w:val="right"/>
              <w:rPr>
                <w:rFonts w:ascii="Arial" w:hAnsi="Arial" w:cs="Arial"/>
                <w:noProof/>
                <w:color w:val="000000"/>
                <w:sz w:val="13"/>
                <w:szCs w:val="13"/>
                <w:lang w:eastAsia="hr-HR"/>
              </w:rPr>
            </w:pPr>
            <w:r w:rsidRPr="00FE1270">
              <w:rPr>
                <w:rFonts w:ascii="Arial" w:hAnsi="Arial" w:cs="Arial"/>
                <w:noProof/>
                <w:sz w:val="13"/>
                <w:szCs w:val="13"/>
                <w:lang w:eastAsia="hr-HR"/>
              </w:rPr>
              <w:t>4.040.532,70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73570" w:rsidRPr="00FE1270" w:rsidRDefault="00F204CE" w:rsidP="00F204CE">
            <w:pPr>
              <w:jc w:val="center"/>
              <w:rPr>
                <w:rFonts w:ascii="Arial" w:hAnsi="Arial" w:cs="Arial"/>
                <w:noProof/>
                <w:sz w:val="13"/>
                <w:szCs w:val="13"/>
                <w:lang w:eastAsia="hr-HR"/>
              </w:rPr>
            </w:pPr>
            <w:r w:rsidRPr="00FE1270">
              <w:rPr>
                <w:rFonts w:ascii="Arial" w:hAnsi="Arial" w:cs="Arial"/>
                <w:noProof/>
                <w:sz w:val="13"/>
                <w:szCs w:val="13"/>
                <w:lang w:eastAsia="hr-HR"/>
              </w:rPr>
              <w:t>-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92DA7" w:rsidRPr="00FE1270" w:rsidRDefault="00592DA7" w:rsidP="00592DA7">
            <w:pPr>
              <w:jc w:val="center"/>
              <w:rPr>
                <w:rFonts w:ascii="Arial" w:hAnsi="Arial" w:cs="Arial"/>
                <w:noProof/>
                <w:color w:val="FF0000"/>
                <w:sz w:val="13"/>
                <w:szCs w:val="13"/>
                <w:lang w:eastAsia="hr-HR"/>
              </w:rPr>
            </w:pPr>
          </w:p>
          <w:p w:rsidR="00310B81" w:rsidRPr="00FE1270" w:rsidRDefault="00F2638E" w:rsidP="00592DA7">
            <w:pPr>
              <w:jc w:val="center"/>
              <w:rPr>
                <w:rFonts w:ascii="Arial" w:hAnsi="Arial" w:cs="Arial"/>
                <w:noProof/>
                <w:sz w:val="13"/>
                <w:szCs w:val="13"/>
                <w:lang w:eastAsia="hr-HR"/>
              </w:rPr>
            </w:pPr>
            <w:r w:rsidRPr="00FE1270">
              <w:rPr>
                <w:rFonts w:ascii="Arial" w:hAnsi="Arial" w:cs="Arial"/>
                <w:noProof/>
                <w:sz w:val="13"/>
                <w:szCs w:val="13"/>
                <w:lang w:eastAsia="hr-HR"/>
              </w:rPr>
              <w:t xml:space="preserve">   </w:t>
            </w:r>
            <w:r w:rsidR="00663198" w:rsidRPr="00FE1270">
              <w:rPr>
                <w:rFonts w:ascii="Arial" w:hAnsi="Arial" w:cs="Arial"/>
                <w:noProof/>
                <w:sz w:val="13"/>
                <w:szCs w:val="13"/>
                <w:lang w:eastAsia="hr-HR"/>
              </w:rPr>
              <w:t>2.000,37</w:t>
            </w:r>
          </w:p>
          <w:p w:rsidR="0010559F" w:rsidRPr="00FE1270" w:rsidRDefault="0010559F" w:rsidP="0010559F">
            <w:pPr>
              <w:jc w:val="center"/>
              <w:rPr>
                <w:rFonts w:ascii="Arial" w:hAnsi="Arial" w:cs="Arial"/>
                <w:noProof/>
                <w:color w:val="FF0000"/>
                <w:sz w:val="13"/>
                <w:szCs w:val="13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0B81" w:rsidRPr="00FE1270" w:rsidRDefault="00663198" w:rsidP="00310B81">
            <w:pPr>
              <w:jc w:val="right"/>
              <w:rPr>
                <w:rFonts w:ascii="Arial" w:hAnsi="Arial" w:cs="Arial"/>
                <w:noProof/>
                <w:color w:val="000000"/>
                <w:sz w:val="13"/>
                <w:szCs w:val="13"/>
                <w:lang w:eastAsia="hr-HR"/>
              </w:rPr>
            </w:pPr>
            <w:r w:rsidRPr="00FE1270">
              <w:rPr>
                <w:rFonts w:ascii="Arial" w:hAnsi="Arial" w:cs="Arial"/>
                <w:noProof/>
                <w:sz w:val="13"/>
                <w:szCs w:val="13"/>
                <w:lang w:eastAsia="hr-HR"/>
              </w:rPr>
              <w:t>1.710,99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0B81" w:rsidRPr="00FE1270" w:rsidRDefault="00663198" w:rsidP="00310B81">
            <w:pPr>
              <w:jc w:val="right"/>
              <w:rPr>
                <w:rFonts w:ascii="Arial" w:hAnsi="Arial" w:cs="Arial"/>
                <w:noProof/>
                <w:color w:val="FF0000"/>
                <w:sz w:val="13"/>
                <w:szCs w:val="13"/>
                <w:lang w:eastAsia="hr-HR"/>
              </w:rPr>
            </w:pPr>
            <w:r w:rsidRPr="00FE1270">
              <w:rPr>
                <w:rFonts w:ascii="Arial" w:hAnsi="Arial" w:cs="Arial"/>
                <w:noProof/>
                <w:sz w:val="13"/>
                <w:szCs w:val="13"/>
                <w:lang w:eastAsia="hr-HR"/>
              </w:rPr>
              <w:t>5.381,39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0B81" w:rsidRPr="00FE1270" w:rsidRDefault="00663198" w:rsidP="00310B81">
            <w:pPr>
              <w:jc w:val="right"/>
              <w:rPr>
                <w:rFonts w:ascii="Arial" w:hAnsi="Arial" w:cs="Arial"/>
                <w:noProof/>
                <w:color w:val="000000"/>
                <w:sz w:val="13"/>
                <w:szCs w:val="13"/>
                <w:lang w:eastAsia="hr-HR"/>
              </w:rPr>
            </w:pPr>
            <w:r w:rsidRPr="00FE1270">
              <w:rPr>
                <w:rFonts w:ascii="Arial" w:hAnsi="Arial" w:cs="Arial"/>
                <w:noProof/>
                <w:sz w:val="13"/>
                <w:szCs w:val="13"/>
                <w:lang w:eastAsia="hr-HR"/>
              </w:rPr>
              <w:t>1.405.516,87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0B81" w:rsidRPr="00FE1270" w:rsidRDefault="00E063F7" w:rsidP="00310B81">
            <w:pPr>
              <w:jc w:val="right"/>
              <w:rPr>
                <w:rFonts w:ascii="Arial" w:hAnsi="Arial" w:cs="Arial"/>
                <w:noProof/>
                <w:color w:val="000000"/>
                <w:sz w:val="13"/>
                <w:szCs w:val="13"/>
                <w:lang w:eastAsia="hr-HR"/>
              </w:rPr>
            </w:pPr>
            <w:r w:rsidRPr="00FE1270">
              <w:rPr>
                <w:rFonts w:ascii="Arial" w:hAnsi="Arial" w:cs="Arial"/>
                <w:noProof/>
                <w:color w:val="000000"/>
                <w:sz w:val="13"/>
                <w:szCs w:val="13"/>
                <w:lang w:eastAsia="hr-HR"/>
              </w:rPr>
              <w:t>399.424,15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0B81" w:rsidRPr="00FE1270" w:rsidRDefault="00E063F7" w:rsidP="001578B1">
            <w:pPr>
              <w:jc w:val="right"/>
              <w:rPr>
                <w:rFonts w:ascii="Arial" w:hAnsi="Arial" w:cs="Arial"/>
                <w:b/>
                <w:noProof/>
                <w:color w:val="000000"/>
                <w:sz w:val="13"/>
                <w:szCs w:val="13"/>
                <w:lang w:eastAsia="hr-HR"/>
              </w:rPr>
            </w:pPr>
            <w:r w:rsidRPr="00FE1270">
              <w:rPr>
                <w:rFonts w:ascii="Arial" w:hAnsi="Arial" w:cs="Arial"/>
                <w:b/>
                <w:noProof/>
                <w:color w:val="000000"/>
                <w:sz w:val="13"/>
                <w:szCs w:val="13"/>
                <w:lang w:eastAsia="hr-HR"/>
              </w:rPr>
              <w:t>5.854.566,47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0B81" w:rsidRPr="00FE1270" w:rsidRDefault="00E063F7" w:rsidP="00B614F0">
            <w:pPr>
              <w:jc w:val="center"/>
              <w:rPr>
                <w:rFonts w:ascii="Arial" w:hAnsi="Arial" w:cs="Arial"/>
                <w:noProof/>
                <w:color w:val="000000"/>
                <w:sz w:val="13"/>
                <w:szCs w:val="13"/>
                <w:lang w:eastAsia="hr-HR"/>
              </w:rPr>
            </w:pPr>
            <w:r w:rsidRPr="00FE1270">
              <w:rPr>
                <w:rFonts w:ascii="Arial" w:hAnsi="Arial" w:cs="Arial"/>
                <w:noProof/>
                <w:color w:val="000000"/>
                <w:sz w:val="13"/>
                <w:szCs w:val="13"/>
                <w:lang w:eastAsia="hr-HR"/>
              </w:rPr>
              <w:t>81,1</w:t>
            </w:r>
          </w:p>
        </w:tc>
      </w:tr>
      <w:tr w:rsidR="007B1FED" w:rsidRPr="00FE1270" w:rsidTr="00976942">
        <w:trPr>
          <w:trHeight w:val="54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0B81" w:rsidRPr="00976942" w:rsidRDefault="00976942" w:rsidP="00310B81">
            <w:pPr>
              <w:jc w:val="center"/>
              <w:rPr>
                <w:rFonts w:ascii="Arial" w:hAnsi="Arial" w:cs="Arial"/>
                <w:bCs/>
                <w:noProof/>
                <w:color w:val="000000"/>
                <w:sz w:val="13"/>
                <w:szCs w:val="13"/>
                <w:lang w:eastAsia="hr-HR"/>
              </w:rPr>
            </w:pPr>
            <w:r w:rsidRPr="00976942">
              <w:rPr>
                <w:rFonts w:ascii="Arial" w:hAnsi="Arial" w:cs="Arial"/>
                <w:bCs/>
                <w:noProof/>
                <w:color w:val="000000"/>
                <w:sz w:val="13"/>
                <w:szCs w:val="13"/>
                <w:lang w:eastAsia="hr-HR"/>
              </w:rPr>
              <w:t>Nedospjele</w:t>
            </w:r>
          </w:p>
          <w:p w:rsidR="00FD450D" w:rsidRPr="00976942" w:rsidRDefault="00FD450D" w:rsidP="00310B81">
            <w:pPr>
              <w:jc w:val="center"/>
              <w:rPr>
                <w:rFonts w:ascii="Arial" w:hAnsi="Arial" w:cs="Arial"/>
                <w:bCs/>
                <w:noProof/>
                <w:color w:val="000000"/>
                <w:sz w:val="13"/>
                <w:szCs w:val="13"/>
                <w:lang w:eastAsia="hr-HR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0B81" w:rsidRPr="00FE1270" w:rsidRDefault="00663198" w:rsidP="00310B81">
            <w:pPr>
              <w:jc w:val="right"/>
              <w:rPr>
                <w:rFonts w:ascii="Arial" w:hAnsi="Arial" w:cs="Arial"/>
                <w:noProof/>
                <w:color w:val="000000"/>
                <w:sz w:val="13"/>
                <w:szCs w:val="13"/>
                <w:lang w:eastAsia="hr-HR"/>
              </w:rPr>
            </w:pPr>
            <w:r w:rsidRPr="00FE1270">
              <w:rPr>
                <w:rFonts w:ascii="Arial" w:hAnsi="Arial" w:cs="Arial"/>
                <w:noProof/>
                <w:color w:val="000000"/>
                <w:sz w:val="13"/>
                <w:szCs w:val="13"/>
                <w:lang w:eastAsia="hr-HR"/>
              </w:rPr>
              <w:t>68.846.878,48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0B81" w:rsidRPr="00FE1270" w:rsidRDefault="00663198" w:rsidP="00310B81">
            <w:pPr>
              <w:jc w:val="right"/>
              <w:rPr>
                <w:rFonts w:ascii="Arial" w:hAnsi="Arial" w:cs="Arial"/>
                <w:noProof/>
                <w:color w:val="000000"/>
                <w:sz w:val="13"/>
                <w:szCs w:val="13"/>
                <w:lang w:eastAsia="hr-HR"/>
              </w:rPr>
            </w:pPr>
            <w:r w:rsidRPr="00FE1270">
              <w:rPr>
                <w:rFonts w:ascii="Arial" w:hAnsi="Arial" w:cs="Arial"/>
                <w:noProof/>
                <w:color w:val="000000"/>
                <w:sz w:val="13"/>
                <w:szCs w:val="13"/>
                <w:lang w:eastAsia="hr-HR"/>
              </w:rPr>
              <w:t>49.537.410,00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0B81" w:rsidRPr="00FE1270" w:rsidRDefault="00663198" w:rsidP="00310B81">
            <w:pPr>
              <w:jc w:val="right"/>
              <w:rPr>
                <w:rFonts w:ascii="Arial" w:hAnsi="Arial" w:cs="Arial"/>
                <w:noProof/>
                <w:color w:val="000000"/>
                <w:sz w:val="13"/>
                <w:szCs w:val="13"/>
                <w:lang w:eastAsia="hr-HR"/>
              </w:rPr>
            </w:pPr>
            <w:r w:rsidRPr="00FE1270">
              <w:rPr>
                <w:rFonts w:ascii="Arial" w:hAnsi="Arial" w:cs="Arial"/>
                <w:noProof/>
                <w:color w:val="000000"/>
                <w:sz w:val="13"/>
                <w:szCs w:val="13"/>
                <w:lang w:eastAsia="hr-HR"/>
              </w:rPr>
              <w:t>3.228.479,32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0B81" w:rsidRPr="00FE1270" w:rsidRDefault="00663198" w:rsidP="00663198">
            <w:pPr>
              <w:jc w:val="center"/>
              <w:rPr>
                <w:rFonts w:ascii="Arial" w:hAnsi="Arial" w:cs="Arial"/>
                <w:noProof/>
                <w:color w:val="FF0000"/>
                <w:sz w:val="13"/>
                <w:szCs w:val="13"/>
                <w:lang w:eastAsia="hr-HR"/>
              </w:rPr>
            </w:pPr>
            <w:r w:rsidRPr="00FE1270">
              <w:rPr>
                <w:rFonts w:ascii="Arial" w:hAnsi="Arial" w:cs="Arial"/>
                <w:noProof/>
                <w:sz w:val="13"/>
                <w:szCs w:val="13"/>
                <w:lang w:eastAsia="hr-HR"/>
              </w:rPr>
              <w:t>2.663,38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0B81" w:rsidRPr="00FE1270" w:rsidRDefault="00663198" w:rsidP="00310B81">
            <w:pPr>
              <w:jc w:val="right"/>
              <w:rPr>
                <w:rFonts w:ascii="Arial" w:hAnsi="Arial" w:cs="Arial"/>
                <w:noProof/>
                <w:color w:val="000000"/>
                <w:sz w:val="13"/>
                <w:szCs w:val="13"/>
                <w:lang w:eastAsia="hr-HR"/>
              </w:rPr>
            </w:pPr>
            <w:r w:rsidRPr="00FE1270">
              <w:rPr>
                <w:rFonts w:ascii="Arial" w:hAnsi="Arial" w:cs="Arial"/>
                <w:noProof/>
                <w:sz w:val="13"/>
                <w:szCs w:val="13"/>
                <w:lang w:eastAsia="hr-HR"/>
              </w:rPr>
              <w:t>1.998.260,39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0B81" w:rsidRPr="00FE1270" w:rsidRDefault="00663198" w:rsidP="00D8132A">
            <w:pPr>
              <w:jc w:val="right"/>
              <w:rPr>
                <w:rFonts w:ascii="Arial" w:hAnsi="Arial" w:cs="Arial"/>
                <w:noProof/>
                <w:color w:val="FF0000"/>
                <w:sz w:val="13"/>
                <w:szCs w:val="13"/>
                <w:lang w:eastAsia="hr-HR"/>
              </w:rPr>
            </w:pPr>
            <w:r w:rsidRPr="00FE1270">
              <w:rPr>
                <w:rFonts w:ascii="Arial" w:hAnsi="Arial" w:cs="Arial"/>
                <w:noProof/>
                <w:sz w:val="13"/>
                <w:szCs w:val="13"/>
                <w:lang w:eastAsia="hr-HR"/>
              </w:rPr>
              <w:t>489.509,10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0B81" w:rsidRPr="00FE1270" w:rsidRDefault="00663198" w:rsidP="00E36011">
            <w:pPr>
              <w:jc w:val="right"/>
              <w:rPr>
                <w:rFonts w:ascii="Arial" w:hAnsi="Arial" w:cs="Arial"/>
                <w:noProof/>
                <w:color w:val="000000"/>
                <w:sz w:val="13"/>
                <w:szCs w:val="13"/>
                <w:lang w:eastAsia="hr-HR"/>
              </w:rPr>
            </w:pPr>
            <w:r w:rsidRPr="00FE1270">
              <w:rPr>
                <w:rFonts w:ascii="Arial" w:hAnsi="Arial" w:cs="Arial"/>
                <w:noProof/>
                <w:color w:val="000000"/>
                <w:sz w:val="13"/>
                <w:szCs w:val="13"/>
                <w:lang w:eastAsia="hr-HR"/>
              </w:rPr>
              <w:t>7.427.314,08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0B81" w:rsidRPr="00FE1270" w:rsidRDefault="00E063F7" w:rsidP="00310B81">
            <w:pPr>
              <w:jc w:val="right"/>
              <w:rPr>
                <w:rFonts w:ascii="Arial" w:hAnsi="Arial" w:cs="Arial"/>
                <w:noProof/>
                <w:color w:val="000000"/>
                <w:sz w:val="13"/>
                <w:szCs w:val="13"/>
                <w:lang w:eastAsia="hr-HR"/>
              </w:rPr>
            </w:pPr>
            <w:r w:rsidRPr="00FE1270">
              <w:rPr>
                <w:rFonts w:ascii="Arial" w:hAnsi="Arial" w:cs="Arial"/>
                <w:noProof/>
                <w:color w:val="000000"/>
                <w:sz w:val="13"/>
                <w:szCs w:val="13"/>
                <w:lang w:eastAsia="hr-HR"/>
              </w:rPr>
              <w:t>1.476.573,64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0B81" w:rsidRPr="00FE1270" w:rsidRDefault="00E063F7" w:rsidP="00310B81">
            <w:pPr>
              <w:jc w:val="right"/>
              <w:rPr>
                <w:rFonts w:ascii="Arial" w:hAnsi="Arial" w:cs="Arial"/>
                <w:b/>
                <w:noProof/>
                <w:color w:val="000000"/>
                <w:sz w:val="13"/>
                <w:szCs w:val="13"/>
                <w:lang w:eastAsia="hr-HR"/>
              </w:rPr>
            </w:pPr>
            <w:r w:rsidRPr="00FE1270">
              <w:rPr>
                <w:rFonts w:ascii="Arial" w:hAnsi="Arial" w:cs="Arial"/>
                <w:b/>
                <w:noProof/>
                <w:color w:val="000000"/>
                <w:sz w:val="13"/>
                <w:szCs w:val="13"/>
                <w:lang w:eastAsia="hr-HR"/>
              </w:rPr>
              <w:t>64.160.209,91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0B81" w:rsidRPr="00FE1270" w:rsidRDefault="00E063F7" w:rsidP="00B614F0">
            <w:pPr>
              <w:jc w:val="center"/>
              <w:rPr>
                <w:rFonts w:ascii="Arial" w:hAnsi="Arial" w:cs="Arial"/>
                <w:noProof/>
                <w:color w:val="000000"/>
                <w:sz w:val="13"/>
                <w:szCs w:val="13"/>
                <w:lang w:eastAsia="hr-HR"/>
              </w:rPr>
            </w:pPr>
            <w:r w:rsidRPr="00FE1270">
              <w:rPr>
                <w:rFonts w:ascii="Arial" w:hAnsi="Arial" w:cs="Arial"/>
                <w:noProof/>
                <w:color w:val="000000"/>
                <w:sz w:val="13"/>
                <w:szCs w:val="13"/>
                <w:lang w:eastAsia="hr-HR"/>
              </w:rPr>
              <w:t>93,2</w:t>
            </w:r>
          </w:p>
        </w:tc>
      </w:tr>
    </w:tbl>
    <w:p w:rsidR="00FF0765" w:rsidRPr="00FE1270" w:rsidRDefault="00FF0765" w:rsidP="00BE33E0">
      <w:pPr>
        <w:rPr>
          <w:rFonts w:ascii="Arial" w:hAnsi="Arial" w:cs="Arial"/>
          <w:noProof/>
        </w:rPr>
      </w:pPr>
    </w:p>
    <w:p w:rsidR="00FF0765" w:rsidRPr="00FE1270" w:rsidRDefault="00FF0765" w:rsidP="00BE33E0">
      <w:pPr>
        <w:rPr>
          <w:rFonts w:ascii="Arial" w:hAnsi="Arial" w:cs="Arial"/>
          <w:noProof/>
        </w:rPr>
      </w:pPr>
    </w:p>
    <w:p w:rsidR="00FF0765" w:rsidRPr="00FE1270" w:rsidRDefault="00FF0765" w:rsidP="00BE33E0">
      <w:pPr>
        <w:rPr>
          <w:rFonts w:ascii="Arial" w:hAnsi="Arial" w:cs="Arial"/>
          <w:noProof/>
        </w:rPr>
      </w:pPr>
    </w:p>
    <w:p w:rsidR="00FF0765" w:rsidRPr="00FE1270" w:rsidRDefault="00FF0765" w:rsidP="00BE33E0">
      <w:pPr>
        <w:rPr>
          <w:rFonts w:ascii="Arial" w:hAnsi="Arial" w:cs="Arial"/>
          <w:noProof/>
        </w:rPr>
      </w:pPr>
    </w:p>
    <w:p w:rsidR="00FF0765" w:rsidRPr="00FE1270" w:rsidRDefault="00FF0765" w:rsidP="00BE33E0">
      <w:pPr>
        <w:rPr>
          <w:rFonts w:ascii="Arial" w:hAnsi="Arial" w:cs="Arial"/>
          <w:noProof/>
        </w:rPr>
      </w:pPr>
    </w:p>
    <w:p w:rsidR="00FF0765" w:rsidRPr="00FE1270" w:rsidRDefault="00FF0765" w:rsidP="00BE33E0">
      <w:pPr>
        <w:rPr>
          <w:rFonts w:ascii="Arial" w:hAnsi="Arial" w:cs="Arial"/>
          <w:noProof/>
        </w:rPr>
      </w:pPr>
    </w:p>
    <w:p w:rsidR="00FF0765" w:rsidRDefault="00FF0765" w:rsidP="00BE33E0">
      <w:pPr>
        <w:rPr>
          <w:rFonts w:ascii="Arial" w:hAnsi="Arial" w:cs="Arial"/>
          <w:noProof/>
        </w:rPr>
      </w:pPr>
    </w:p>
    <w:p w:rsidR="00A06642" w:rsidRDefault="00A06642" w:rsidP="00BE33E0">
      <w:pPr>
        <w:rPr>
          <w:rFonts w:ascii="Arial" w:hAnsi="Arial" w:cs="Arial"/>
          <w:noProof/>
        </w:rPr>
      </w:pPr>
    </w:p>
    <w:p w:rsidR="00A06642" w:rsidRDefault="00A06642" w:rsidP="00BE33E0">
      <w:pPr>
        <w:rPr>
          <w:rFonts w:ascii="Arial" w:hAnsi="Arial" w:cs="Arial"/>
          <w:noProof/>
        </w:rPr>
      </w:pPr>
    </w:p>
    <w:p w:rsidR="00A06642" w:rsidRDefault="00A06642" w:rsidP="00BE33E0">
      <w:pPr>
        <w:rPr>
          <w:rFonts w:ascii="Arial" w:hAnsi="Arial" w:cs="Arial"/>
          <w:noProof/>
        </w:rPr>
      </w:pPr>
    </w:p>
    <w:p w:rsidR="00A06642" w:rsidRDefault="00A06642" w:rsidP="00BE33E0">
      <w:pPr>
        <w:rPr>
          <w:rFonts w:ascii="Arial" w:hAnsi="Arial" w:cs="Arial"/>
          <w:noProof/>
        </w:rPr>
      </w:pPr>
    </w:p>
    <w:p w:rsidR="00A06642" w:rsidRDefault="00A06642" w:rsidP="00BE33E0">
      <w:pPr>
        <w:rPr>
          <w:rFonts w:ascii="Arial" w:hAnsi="Arial" w:cs="Arial"/>
          <w:noProof/>
        </w:rPr>
      </w:pPr>
    </w:p>
    <w:p w:rsidR="00A06642" w:rsidRDefault="00A06642" w:rsidP="00BE33E0">
      <w:pPr>
        <w:rPr>
          <w:rFonts w:ascii="Arial" w:hAnsi="Arial" w:cs="Arial"/>
          <w:noProof/>
        </w:rPr>
      </w:pPr>
    </w:p>
    <w:p w:rsidR="00A06642" w:rsidRDefault="00A06642" w:rsidP="00BE33E0">
      <w:pPr>
        <w:rPr>
          <w:rFonts w:ascii="Arial" w:hAnsi="Arial" w:cs="Arial"/>
          <w:noProof/>
        </w:rPr>
      </w:pPr>
    </w:p>
    <w:p w:rsidR="00A06642" w:rsidRDefault="00A06642" w:rsidP="00BE33E0">
      <w:pPr>
        <w:rPr>
          <w:rFonts w:ascii="Arial" w:hAnsi="Arial" w:cs="Arial"/>
          <w:noProof/>
        </w:rPr>
      </w:pPr>
    </w:p>
    <w:p w:rsidR="00A06642" w:rsidRDefault="00A06642" w:rsidP="00BE33E0">
      <w:pPr>
        <w:rPr>
          <w:rFonts w:ascii="Arial" w:hAnsi="Arial" w:cs="Arial"/>
          <w:noProof/>
        </w:rPr>
      </w:pPr>
    </w:p>
    <w:p w:rsidR="00A06642" w:rsidRDefault="00A06642" w:rsidP="00BE33E0">
      <w:pPr>
        <w:rPr>
          <w:rFonts w:ascii="Arial" w:hAnsi="Arial" w:cs="Arial"/>
          <w:noProof/>
        </w:rPr>
      </w:pPr>
    </w:p>
    <w:p w:rsidR="00A06642" w:rsidRDefault="00A06642" w:rsidP="00BE33E0">
      <w:pPr>
        <w:rPr>
          <w:rFonts w:ascii="Arial" w:hAnsi="Arial" w:cs="Arial"/>
          <w:noProof/>
        </w:rPr>
      </w:pPr>
    </w:p>
    <w:p w:rsidR="00A06642" w:rsidRPr="00FE1270" w:rsidRDefault="00A06642" w:rsidP="00BE33E0">
      <w:pPr>
        <w:rPr>
          <w:rFonts w:ascii="Arial" w:hAnsi="Arial" w:cs="Arial"/>
          <w:noProof/>
        </w:rPr>
      </w:pPr>
    </w:p>
    <w:p w:rsidR="009E7248" w:rsidRDefault="009E7248" w:rsidP="006D7A58">
      <w:pPr>
        <w:ind w:left="-709"/>
        <w:rPr>
          <w:rFonts w:ascii="Arial" w:hAnsi="Arial" w:cs="Arial"/>
          <w:noProof/>
        </w:rPr>
      </w:pPr>
    </w:p>
    <w:p w:rsidR="00A06642" w:rsidRDefault="00A06642" w:rsidP="006D7A58">
      <w:pPr>
        <w:ind w:left="-709"/>
        <w:rPr>
          <w:rFonts w:ascii="Arial" w:hAnsi="Arial" w:cs="Arial"/>
          <w:noProof/>
        </w:rPr>
      </w:pPr>
    </w:p>
    <w:p w:rsidR="005204BB" w:rsidRPr="00FE1270" w:rsidRDefault="005204BB" w:rsidP="006D7A58">
      <w:pPr>
        <w:ind w:left="-709"/>
        <w:rPr>
          <w:rFonts w:ascii="Arial" w:hAnsi="Arial" w:cs="Arial"/>
          <w:noProof/>
        </w:rPr>
      </w:pPr>
    </w:p>
    <w:p w:rsidR="00AA7BB6" w:rsidRPr="00FE1270" w:rsidRDefault="003435EB" w:rsidP="005A326B">
      <w:pPr>
        <w:ind w:left="-709" w:hanging="142"/>
        <w:rPr>
          <w:rFonts w:ascii="Arial" w:hAnsi="Arial" w:cs="Arial"/>
          <w:i/>
          <w:noProof/>
        </w:rPr>
      </w:pPr>
      <w:r w:rsidRPr="00FE1270">
        <w:rPr>
          <w:rFonts w:ascii="Arial" w:hAnsi="Arial" w:cs="Arial"/>
          <w:noProof/>
        </w:rPr>
        <w:lastRenderedPageBreak/>
        <w:t>Tablica 2.</w:t>
      </w:r>
      <w:r w:rsidR="009B457F" w:rsidRPr="00FE1270">
        <w:rPr>
          <w:rFonts w:ascii="Arial" w:hAnsi="Arial" w:cs="Arial"/>
          <w:noProof/>
        </w:rPr>
        <w:t xml:space="preserve"> </w:t>
      </w:r>
      <w:r w:rsidR="00F074B3" w:rsidRPr="00FE1270">
        <w:rPr>
          <w:rFonts w:ascii="Arial" w:hAnsi="Arial" w:cs="Arial"/>
          <w:noProof/>
        </w:rPr>
        <w:t>Pregled viška</w:t>
      </w:r>
      <w:r w:rsidR="00A06642">
        <w:rPr>
          <w:rFonts w:ascii="Arial" w:hAnsi="Arial" w:cs="Arial"/>
          <w:noProof/>
        </w:rPr>
        <w:t xml:space="preserve">/manjka, </w:t>
      </w:r>
      <w:r w:rsidR="00F074B3" w:rsidRPr="00FE1270">
        <w:rPr>
          <w:rFonts w:ascii="Arial" w:hAnsi="Arial" w:cs="Arial"/>
          <w:noProof/>
        </w:rPr>
        <w:t xml:space="preserve">dospjelih obveza </w:t>
      </w:r>
      <w:r w:rsidR="00A06642">
        <w:rPr>
          <w:rFonts w:ascii="Arial" w:hAnsi="Arial" w:cs="Arial"/>
          <w:noProof/>
        </w:rPr>
        <w:t xml:space="preserve">i stanja novčanih sredstava </w:t>
      </w:r>
      <w:r w:rsidR="00F074B3" w:rsidRPr="00FE1270">
        <w:rPr>
          <w:rFonts w:ascii="Arial" w:hAnsi="Arial" w:cs="Arial"/>
          <w:noProof/>
        </w:rPr>
        <w:t xml:space="preserve">po proračunskim korisnicima </w:t>
      </w:r>
    </w:p>
    <w:p w:rsidR="009E7248" w:rsidRPr="00FE1270" w:rsidRDefault="00FD036F" w:rsidP="00FD036F">
      <w:pPr>
        <w:ind w:left="-709"/>
        <w:jc w:val="right"/>
        <w:rPr>
          <w:rFonts w:ascii="Arial" w:hAnsi="Arial" w:cs="Arial"/>
          <w:i/>
          <w:noProof/>
          <w:sz w:val="16"/>
          <w:szCs w:val="16"/>
        </w:rPr>
      </w:pPr>
      <w:r w:rsidRPr="00FE1270">
        <w:rPr>
          <w:rFonts w:ascii="Arial" w:hAnsi="Arial" w:cs="Arial"/>
          <w:i/>
          <w:noProof/>
          <w:sz w:val="16"/>
          <w:szCs w:val="16"/>
        </w:rPr>
        <w:t>u EUR</w:t>
      </w:r>
    </w:p>
    <w:tbl>
      <w:tblPr>
        <w:tblW w:w="1105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694"/>
        <w:gridCol w:w="567"/>
        <w:gridCol w:w="1701"/>
        <w:gridCol w:w="1559"/>
        <w:gridCol w:w="1701"/>
        <w:gridCol w:w="1418"/>
        <w:gridCol w:w="1417"/>
      </w:tblGrid>
      <w:tr w:rsidR="00344DF7" w:rsidRPr="00FE1270" w:rsidTr="00242659">
        <w:trPr>
          <w:trHeight w:val="7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964545" w:rsidRPr="00FE1270" w:rsidRDefault="00964545" w:rsidP="009645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Naziv proračunskog korisnika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964545" w:rsidRPr="00FE1270" w:rsidRDefault="00964545" w:rsidP="009645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Broj kor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964545" w:rsidRPr="00FE1270" w:rsidRDefault="00964545" w:rsidP="009645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Višak/manjak razdoblja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964545" w:rsidRPr="00FE1270" w:rsidRDefault="00964545" w:rsidP="009645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Višak/manjak preneseni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964545" w:rsidRPr="00FE1270" w:rsidRDefault="00964545" w:rsidP="009645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Višak/manjak raspoloživ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32369E" w:rsidRPr="00FE1270" w:rsidRDefault="00964545" w:rsidP="003236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D</w:t>
            </w:r>
            <w:r w:rsidR="0032369E" w:rsidRPr="00FE127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ospjele</w:t>
            </w:r>
          </w:p>
          <w:p w:rsidR="00964545" w:rsidRPr="00FE1270" w:rsidRDefault="00964545" w:rsidP="003236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obveze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964545" w:rsidRPr="00FE1270" w:rsidRDefault="00964545" w:rsidP="009645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Stanje novčanih sredstava 31.12.2024.</w:t>
            </w:r>
          </w:p>
        </w:tc>
      </w:tr>
      <w:tr w:rsidR="00344DF7" w:rsidRPr="00FE1270" w:rsidTr="00242659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545" w:rsidRPr="00FE1270" w:rsidRDefault="00964545" w:rsidP="00964545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>Dječji vrtić "Rijeka"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545" w:rsidRPr="00FE1270" w:rsidRDefault="00964545" w:rsidP="00964545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-        873.948,67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-          9.256,85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-       883.205,52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  10.226,24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EC487B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      </w:t>
            </w:r>
            <w:r w:rsidR="00964545"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880,37    </w:t>
            </w:r>
          </w:p>
        </w:tc>
      </w:tr>
      <w:tr w:rsidR="00344DF7" w:rsidRPr="00FE1270" w:rsidTr="00242659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545" w:rsidRPr="00FE1270" w:rsidRDefault="00964545" w:rsidP="00964545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>Dječji vrtić "Sušak"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545" w:rsidRPr="00FE1270" w:rsidRDefault="00964545" w:rsidP="00964545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-        198.501,07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93.099,53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-       105.401,54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7B232D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</w:t>
            </w:r>
            <w:r w:rsidR="00964545"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317.943,54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                 -      </w:t>
            </w:r>
          </w:p>
        </w:tc>
      </w:tr>
      <w:tr w:rsidR="00344DF7" w:rsidRPr="00FE1270" w:rsidTr="00242659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545" w:rsidRPr="00FE1270" w:rsidRDefault="00964545" w:rsidP="00964545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>Dječji vrtić "More"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545" w:rsidRPr="00FE1270" w:rsidRDefault="00964545" w:rsidP="00964545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-        274.288,11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204.932,37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-        69.355,74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7B232D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</w:t>
            </w:r>
            <w:r w:rsidR="00964545"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409.944,82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                 -      </w:t>
            </w:r>
          </w:p>
        </w:tc>
      </w:tr>
      <w:tr w:rsidR="00344DF7" w:rsidRPr="00FE1270" w:rsidTr="005204BB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4545" w:rsidRPr="00FE1270" w:rsidRDefault="00964545" w:rsidP="00964545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UKUPNO DJEČJI VRTIĆI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4545" w:rsidRPr="00FE1270" w:rsidRDefault="00964545" w:rsidP="009645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-     1.346.737,85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      288.775,05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-    1.057.962,80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64545" w:rsidRPr="00FE1270" w:rsidRDefault="00BA2A3F" w:rsidP="006D7A5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        </w:t>
            </w:r>
            <w:r w:rsidR="00964545" w:rsidRPr="00FE127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738.114,60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64545" w:rsidRPr="00FE1270" w:rsidRDefault="00EC487B" w:rsidP="006D7A5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               </w:t>
            </w:r>
            <w:r w:rsidR="00964545" w:rsidRPr="00FE127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880,37    </w:t>
            </w:r>
          </w:p>
        </w:tc>
      </w:tr>
      <w:tr w:rsidR="00344DF7" w:rsidRPr="00FE1270" w:rsidTr="00242659">
        <w:trPr>
          <w:trHeight w:val="4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545" w:rsidRPr="00FE1270" w:rsidRDefault="00964545" w:rsidP="00964545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Dom mladih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545" w:rsidRPr="00FE1270" w:rsidRDefault="00964545" w:rsidP="00964545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138.667,25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99.357,50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238.024,75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    2.140,50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827156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    </w:t>
            </w:r>
            <w:r w:rsidR="00964545"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9.993,43    </w:t>
            </w:r>
          </w:p>
        </w:tc>
      </w:tr>
      <w:tr w:rsidR="00344DF7" w:rsidRPr="00FE1270" w:rsidTr="00242659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545" w:rsidRPr="00FE1270" w:rsidRDefault="00964545" w:rsidP="00964545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>OŠ-SE Belvedere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545" w:rsidRPr="00FE1270" w:rsidRDefault="00964545" w:rsidP="00964545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-                 2,66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-        11.865,27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-        11.867,93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       149,31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827156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       </w:t>
            </w:r>
            <w:r w:rsidR="00964545"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499,84    </w:t>
            </w:r>
          </w:p>
        </w:tc>
      </w:tr>
      <w:tr w:rsidR="00344DF7" w:rsidRPr="00FE1270" w:rsidTr="00242659">
        <w:trPr>
          <w:trHeight w:val="4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545" w:rsidRPr="00FE1270" w:rsidRDefault="00964545" w:rsidP="00964545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>OŠ Brajda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545" w:rsidRPr="00FE1270" w:rsidRDefault="00964545" w:rsidP="00964545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-         42.865,62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  7.387,83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-        35.477,79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  16.181,69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                 -      </w:t>
            </w:r>
          </w:p>
        </w:tc>
      </w:tr>
      <w:tr w:rsidR="00344DF7" w:rsidRPr="00FE1270" w:rsidTr="00242659">
        <w:trPr>
          <w:trHeight w:val="4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545" w:rsidRPr="00FE1270" w:rsidRDefault="00964545" w:rsidP="00964545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>OŠ Centar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545" w:rsidRPr="00FE1270" w:rsidRDefault="00964545" w:rsidP="00964545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-         30.747,71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  7.833,80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-        22.913,91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  85.471,31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827156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       </w:t>
            </w:r>
            <w:r w:rsidR="00964545"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813,18    </w:t>
            </w:r>
          </w:p>
        </w:tc>
      </w:tr>
      <w:tr w:rsidR="00344DF7" w:rsidRPr="00FE1270" w:rsidTr="00242659">
        <w:trPr>
          <w:trHeight w:val="4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545" w:rsidRPr="00FE1270" w:rsidRDefault="00964545" w:rsidP="00964545">
            <w:pPr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OŠ-SE Dolac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545" w:rsidRPr="00FE1270" w:rsidRDefault="00964545" w:rsidP="00964545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-         29.313,37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-          1.070,88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-        30.384,25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              -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 </w:t>
            </w:r>
            <w:r w:rsidR="00827156"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 </w:t>
            </w: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4,43    </w:t>
            </w:r>
          </w:p>
        </w:tc>
      </w:tr>
      <w:tr w:rsidR="00344DF7" w:rsidRPr="00FE1270" w:rsidTr="00242659">
        <w:trPr>
          <w:trHeight w:val="4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545" w:rsidRPr="00FE1270" w:rsidRDefault="00964545" w:rsidP="00964545">
            <w:pPr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OŠ Eugen Kumičić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545" w:rsidRPr="00FE1270" w:rsidRDefault="00964545" w:rsidP="00964545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-         27.812,43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-          4.973,07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-        32.785,50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  12.918,22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827156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         </w:t>
            </w:r>
            <w:r w:rsidR="00964545"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43,85    </w:t>
            </w:r>
          </w:p>
        </w:tc>
      </w:tr>
      <w:tr w:rsidR="00344DF7" w:rsidRPr="00FE1270" w:rsidTr="00242659">
        <w:trPr>
          <w:trHeight w:val="4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545" w:rsidRPr="00FE1270" w:rsidRDefault="00964545" w:rsidP="00964545">
            <w:pPr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OŠ Fran Franković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545" w:rsidRPr="00FE1270" w:rsidRDefault="00964545" w:rsidP="00964545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-           9.537,74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11.116,73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  1.578,99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              -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                 -      </w:t>
            </w:r>
          </w:p>
        </w:tc>
      </w:tr>
      <w:tr w:rsidR="00344DF7" w:rsidRPr="00FE1270" w:rsidTr="00242659">
        <w:trPr>
          <w:trHeight w:val="4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545" w:rsidRPr="00FE1270" w:rsidRDefault="00964545" w:rsidP="00964545">
            <w:pPr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OŠ-SE Gelsi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545" w:rsidRPr="00FE1270" w:rsidRDefault="00964545" w:rsidP="00964545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-         25.815,19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67.801,66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41.986,47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  91.306,07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827156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       </w:t>
            </w:r>
            <w:r w:rsidR="00964545"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102,71    </w:t>
            </w:r>
          </w:p>
        </w:tc>
      </w:tr>
      <w:tr w:rsidR="00344DF7" w:rsidRPr="00FE1270" w:rsidTr="00242659">
        <w:trPr>
          <w:trHeight w:val="4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545" w:rsidRPr="00FE1270" w:rsidRDefault="00964545" w:rsidP="00964545">
            <w:pPr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OŠ Gornja Vežica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545" w:rsidRPr="00FE1270" w:rsidRDefault="00964545" w:rsidP="00964545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-         37.615,74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  6.778,64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-        30.837,10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       356,21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                 -      </w:t>
            </w:r>
          </w:p>
        </w:tc>
      </w:tr>
      <w:tr w:rsidR="00344DF7" w:rsidRPr="00FE1270" w:rsidTr="00242659">
        <w:trPr>
          <w:trHeight w:val="4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545" w:rsidRPr="00FE1270" w:rsidRDefault="00964545" w:rsidP="00964545">
            <w:pPr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OŠ Ivana Zajca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545" w:rsidRPr="00FE1270" w:rsidRDefault="00964545" w:rsidP="00964545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-         17.792,80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-          3.684,44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-        21.477,24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       778,48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827156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      </w:t>
            </w:r>
            <w:r w:rsidR="00964545"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677,09    </w:t>
            </w:r>
          </w:p>
        </w:tc>
      </w:tr>
      <w:tr w:rsidR="00344DF7" w:rsidRPr="00FE1270" w:rsidTr="00242659">
        <w:trPr>
          <w:trHeight w:val="4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545" w:rsidRPr="00FE1270" w:rsidRDefault="00964545" w:rsidP="00964545">
            <w:pPr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OŠ Kantrida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545" w:rsidRPr="00FE1270" w:rsidRDefault="00964545" w:rsidP="00964545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-         28.074,14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-          3.414,48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-        31.488,62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  23.700,18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827156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       </w:t>
            </w:r>
            <w:r w:rsidR="00964545"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961,65    </w:t>
            </w:r>
          </w:p>
        </w:tc>
      </w:tr>
      <w:tr w:rsidR="00344DF7" w:rsidRPr="00FE1270" w:rsidTr="00242659">
        <w:trPr>
          <w:trHeight w:val="4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545" w:rsidRPr="00FE1270" w:rsidRDefault="00964545" w:rsidP="00964545">
            <w:pPr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OŠ Kozala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545" w:rsidRPr="00FE1270" w:rsidRDefault="00964545" w:rsidP="00964545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-              191,65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-          5.889,24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-          6.080,89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 111.858,99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</w:t>
            </w:r>
            <w:r w:rsidR="00827156"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</w:t>
            </w: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3.290,42    </w:t>
            </w:r>
          </w:p>
        </w:tc>
      </w:tr>
      <w:tr w:rsidR="00344DF7" w:rsidRPr="00FE1270" w:rsidTr="00242659">
        <w:trPr>
          <w:trHeight w:val="4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545" w:rsidRPr="00FE1270" w:rsidRDefault="00964545" w:rsidP="00964545">
            <w:pPr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OŠ Nikola Tesla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545" w:rsidRPr="00FE1270" w:rsidRDefault="00964545" w:rsidP="00964545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-         42.386,97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-          7.593,53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-        49.980,50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  11.842,33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827156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       </w:t>
            </w:r>
            <w:r w:rsidR="00964545"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838,51    </w:t>
            </w:r>
          </w:p>
        </w:tc>
      </w:tr>
      <w:tr w:rsidR="00344DF7" w:rsidRPr="00FE1270" w:rsidTr="00242659">
        <w:trPr>
          <w:trHeight w:val="4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545" w:rsidRPr="00FE1270" w:rsidRDefault="00964545" w:rsidP="00964545">
            <w:pPr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OŠ Pećine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545" w:rsidRPr="00FE1270" w:rsidRDefault="00964545" w:rsidP="00964545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-           7.605,44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  7.234,55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-             370,89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              -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827156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                </w:t>
            </w:r>
            <w:r w:rsidR="00964545"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-      </w:t>
            </w:r>
          </w:p>
        </w:tc>
      </w:tr>
      <w:tr w:rsidR="00344DF7" w:rsidRPr="00FE1270" w:rsidTr="00242659">
        <w:trPr>
          <w:trHeight w:val="4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545" w:rsidRPr="00FE1270" w:rsidRDefault="00964545" w:rsidP="00964545">
            <w:pPr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OŠ Pehlin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545" w:rsidRPr="00FE1270" w:rsidRDefault="00964545" w:rsidP="00964545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-         22.987,96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  8.291,38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-        14.696,58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  20.542,24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827156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       </w:t>
            </w:r>
            <w:r w:rsidR="00964545"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687,91    </w:t>
            </w:r>
          </w:p>
        </w:tc>
      </w:tr>
      <w:tr w:rsidR="00344DF7" w:rsidRPr="00FE1270" w:rsidTr="00242659">
        <w:trPr>
          <w:trHeight w:val="4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545" w:rsidRPr="00FE1270" w:rsidRDefault="00964545" w:rsidP="00964545">
            <w:pPr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OŠ Podmurvice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545" w:rsidRPr="00FE1270" w:rsidRDefault="00964545" w:rsidP="00964545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-         45.590,11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16.590,33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-        28.999,78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              -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827156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         </w:t>
            </w:r>
            <w:r w:rsidR="00964545"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61,10    </w:t>
            </w:r>
          </w:p>
        </w:tc>
      </w:tr>
      <w:tr w:rsidR="00344DF7" w:rsidRPr="00FE1270" w:rsidTr="00242659">
        <w:trPr>
          <w:trHeight w:val="4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545" w:rsidRPr="00FE1270" w:rsidRDefault="00964545" w:rsidP="00964545">
            <w:pPr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OŠ-SE San Nicolo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545" w:rsidRPr="00FE1270" w:rsidRDefault="00964545" w:rsidP="00964545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-           5.669,66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  1.697,22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-          3.972,44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    2.604,56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827156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               </w:t>
            </w:r>
            <w:r w:rsidR="00964545"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-      </w:t>
            </w:r>
          </w:p>
        </w:tc>
      </w:tr>
      <w:tr w:rsidR="00344DF7" w:rsidRPr="00FE1270" w:rsidTr="00242659">
        <w:trPr>
          <w:trHeight w:val="4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545" w:rsidRPr="00FE1270" w:rsidRDefault="00964545" w:rsidP="00964545">
            <w:pPr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OŠ Srdoči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545" w:rsidRPr="00FE1270" w:rsidRDefault="00964545" w:rsidP="00964545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-         36.303,63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  9.260,79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-        27.042,84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  21.567,13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827156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       </w:t>
            </w:r>
            <w:r w:rsidR="00964545"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484,90    </w:t>
            </w:r>
          </w:p>
        </w:tc>
      </w:tr>
      <w:tr w:rsidR="00344DF7" w:rsidRPr="00FE1270" w:rsidTr="00242659">
        <w:trPr>
          <w:trHeight w:val="4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545" w:rsidRPr="00FE1270" w:rsidRDefault="00964545" w:rsidP="00964545">
            <w:pPr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OŠ Škurinje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545" w:rsidRPr="00FE1270" w:rsidRDefault="00964545" w:rsidP="00964545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-         16.734,12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-          9.787,96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-        26.522,08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    1.306,64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   </w:t>
            </w:r>
            <w:r w:rsidR="00827156"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1.090,76    </w:t>
            </w:r>
          </w:p>
        </w:tc>
      </w:tr>
      <w:tr w:rsidR="00344DF7" w:rsidRPr="00FE1270" w:rsidTr="00242659">
        <w:trPr>
          <w:trHeight w:val="4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545" w:rsidRPr="00FE1270" w:rsidRDefault="00964545" w:rsidP="00964545">
            <w:pPr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OŠ Trsat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545" w:rsidRPr="00FE1270" w:rsidRDefault="00964545" w:rsidP="00964545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-         15.857,92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-          4.062,29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-        19.920,21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    5.223,09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827156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                </w:t>
            </w:r>
            <w:r w:rsidR="00964545"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-      </w:t>
            </w:r>
          </w:p>
        </w:tc>
      </w:tr>
      <w:tr w:rsidR="00344DF7" w:rsidRPr="00FE1270" w:rsidTr="00242659">
        <w:trPr>
          <w:trHeight w:val="4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545" w:rsidRPr="00FE1270" w:rsidRDefault="00964545" w:rsidP="00964545">
            <w:pPr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OŠ Turnić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545" w:rsidRPr="00FE1270" w:rsidRDefault="00964545" w:rsidP="00964545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-         10.374,92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-        20.608,92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-        30.983,84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  27.059,85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827156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    </w:t>
            </w:r>
            <w:r w:rsidR="00964545"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1.672,62    </w:t>
            </w:r>
          </w:p>
        </w:tc>
      </w:tr>
      <w:tr w:rsidR="00344DF7" w:rsidRPr="00FE1270" w:rsidTr="00242659">
        <w:trPr>
          <w:trHeight w:val="4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545" w:rsidRPr="00FE1270" w:rsidRDefault="00964545" w:rsidP="00964545">
            <w:pPr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OŠ Vežica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545" w:rsidRPr="00FE1270" w:rsidRDefault="00964545" w:rsidP="00964545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 11.072,92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-        34.761,53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-        23.688,61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  49.941,63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827156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    </w:t>
            </w:r>
            <w:r w:rsidR="00964545"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3.120,19    </w:t>
            </w:r>
          </w:p>
        </w:tc>
      </w:tr>
      <w:tr w:rsidR="00344DF7" w:rsidRPr="00FE1270" w:rsidTr="00242659">
        <w:trPr>
          <w:trHeight w:val="4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545" w:rsidRPr="00FE1270" w:rsidRDefault="00964545" w:rsidP="00964545">
            <w:pPr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OŠ Vladimir Gortan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545" w:rsidRPr="00FE1270" w:rsidRDefault="00964545" w:rsidP="00964545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   9.069,26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-        14.581,99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-          5.512,73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       217,41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827156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                </w:t>
            </w:r>
            <w:r w:rsidR="00964545"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-      </w:t>
            </w:r>
          </w:p>
        </w:tc>
      </w:tr>
      <w:tr w:rsidR="00344DF7" w:rsidRPr="00FE1270" w:rsidTr="00242659">
        <w:trPr>
          <w:trHeight w:val="4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545" w:rsidRPr="00FE1270" w:rsidRDefault="00964545" w:rsidP="00964545">
            <w:pPr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OŠ Zamet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545" w:rsidRPr="00FE1270" w:rsidRDefault="00964545" w:rsidP="00964545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-         63.145,04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-        19.003,30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-        82.148,34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  53.838,53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827156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       </w:t>
            </w:r>
            <w:r w:rsidR="00964545"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455,88    </w:t>
            </w:r>
          </w:p>
        </w:tc>
      </w:tr>
      <w:tr w:rsidR="00344DF7" w:rsidRPr="00FE1270" w:rsidTr="00242659">
        <w:trPr>
          <w:trHeight w:val="4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545" w:rsidRPr="00FE1270" w:rsidRDefault="00964545" w:rsidP="00964545">
            <w:pPr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Centar za odgoj I obrazovanje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545" w:rsidRPr="00FE1270" w:rsidRDefault="00964545" w:rsidP="00964545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-        269.339,45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236.273,22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-        33.066,23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              -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827156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                </w:t>
            </w:r>
            <w:r w:rsidR="00964545"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-      </w:t>
            </w:r>
          </w:p>
        </w:tc>
      </w:tr>
      <w:tr w:rsidR="00344DF7" w:rsidRPr="00FE1270" w:rsidTr="00242659">
        <w:trPr>
          <w:trHeight w:val="4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545" w:rsidRPr="00FE1270" w:rsidRDefault="00964545" w:rsidP="00964545">
            <w:pPr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Centar za autizam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545" w:rsidRPr="00FE1270" w:rsidRDefault="00964545" w:rsidP="00964545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   5.958,52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  9.869,61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15.828,13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827156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</w:t>
            </w:r>
            <w:r w:rsidR="00964545"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128.397,90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    </w:t>
            </w:r>
            <w:r w:rsidR="00827156"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   </w:t>
            </w: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-      </w:t>
            </w:r>
          </w:p>
        </w:tc>
      </w:tr>
      <w:tr w:rsidR="00344DF7" w:rsidRPr="00FE1270" w:rsidTr="00B055B3">
        <w:trPr>
          <w:trHeight w:val="6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4545" w:rsidRPr="00FE1270" w:rsidRDefault="00964545" w:rsidP="00964545">
            <w:pPr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hr-HR"/>
              </w:rPr>
              <w:t>Ukupno 24 OŠ, Dom mladih i Centar za autizam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4545" w:rsidRPr="00FE1270" w:rsidRDefault="00964545" w:rsidP="009645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-        620.996,32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      348.196,36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-       272.799,96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4545" w:rsidRPr="00FE1270" w:rsidRDefault="00827156" w:rsidP="006D7A5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        </w:t>
            </w:r>
            <w:r w:rsidR="00964545" w:rsidRPr="00FE127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667.402,27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4545" w:rsidRPr="00FE1270" w:rsidRDefault="00827156" w:rsidP="006D7A5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          </w:t>
            </w:r>
            <w:r w:rsidR="00964545" w:rsidRPr="00FE127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24.798,47    </w:t>
            </w:r>
          </w:p>
        </w:tc>
      </w:tr>
      <w:tr w:rsidR="00344DF7" w:rsidRPr="00FE1270" w:rsidTr="00B055B3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64545" w:rsidRPr="00FE1270" w:rsidRDefault="00964545" w:rsidP="00964545">
            <w:pPr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hr-HR"/>
              </w:rPr>
              <w:t>UKUPNO ODGOJ, OBRAZOVANJE I MLADI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64545" w:rsidRPr="00FE1270" w:rsidRDefault="00964545" w:rsidP="009645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-     1.967.734,17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      636.971,41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-    1.330.762,76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964545" w:rsidRPr="00FE1270" w:rsidRDefault="00827156" w:rsidP="006D7A5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     </w:t>
            </w:r>
            <w:r w:rsidR="00964545" w:rsidRPr="00FE127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1.405.516,87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964545" w:rsidRPr="00FE1270" w:rsidRDefault="00827156" w:rsidP="006D7A5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          </w:t>
            </w:r>
            <w:r w:rsidR="00964545" w:rsidRPr="00FE127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25.678,84    </w:t>
            </w:r>
          </w:p>
        </w:tc>
      </w:tr>
      <w:tr w:rsidR="00242659" w:rsidRPr="00FE1270" w:rsidTr="00B055B3">
        <w:trPr>
          <w:trHeight w:val="7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6D7A58" w:rsidRPr="00FE1270" w:rsidRDefault="006D7A58" w:rsidP="000774EE">
            <w:pPr>
              <w:jc w:val="center"/>
              <w:rPr>
                <w:rFonts w:ascii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noProof/>
                <w:color w:val="000000"/>
                <w:sz w:val="16"/>
                <w:szCs w:val="16"/>
                <w:lang w:eastAsia="hr-HR"/>
              </w:rPr>
              <w:lastRenderedPageBreak/>
              <w:t xml:space="preserve">Naziv proračunskog korisnika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6D7A58" w:rsidRPr="00FE1270" w:rsidRDefault="006D7A58" w:rsidP="000774E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Broj kor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6D7A58" w:rsidRPr="00FE1270" w:rsidRDefault="006D7A58" w:rsidP="000774E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Višak/manjak razdoblja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6D7A58" w:rsidRPr="00FE1270" w:rsidRDefault="006D7A58" w:rsidP="000774E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Višak/manjak preneseni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6D7A58" w:rsidRPr="00FE1270" w:rsidRDefault="006D7A58" w:rsidP="000774E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Višak/manjak raspoloživ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6D7A58" w:rsidRPr="00FE1270" w:rsidRDefault="006D7A58" w:rsidP="00816BC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D</w:t>
            </w:r>
            <w:r w:rsidR="00816BC1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ospjele</w:t>
            </w:r>
            <w:r w:rsidRPr="00FE127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 w:rsidR="00816BC1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FE127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obveze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6D7A58" w:rsidRPr="00FE1270" w:rsidRDefault="006D7A58" w:rsidP="000774E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Stanje novčanih sredstava 31.12.2024.</w:t>
            </w:r>
          </w:p>
        </w:tc>
      </w:tr>
      <w:tr w:rsidR="006D7A58" w:rsidRPr="00FE1270" w:rsidTr="00242659">
        <w:trPr>
          <w:trHeight w:val="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A58" w:rsidRPr="00FE1270" w:rsidRDefault="006D7A58" w:rsidP="006D7A58">
            <w:pPr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Centar za pružanje usluga u zajednici Tić Rijeka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A58" w:rsidRPr="00FE1270" w:rsidRDefault="006D7A58" w:rsidP="000774EE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A58" w:rsidRPr="00FE1270" w:rsidRDefault="006D7A58" w:rsidP="000774EE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-         30.038,23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A58" w:rsidRPr="00FE1270" w:rsidRDefault="006D7A58" w:rsidP="000774EE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12.219,66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A58" w:rsidRPr="00FE1270" w:rsidRDefault="006D7A58" w:rsidP="000774EE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-        17.818,57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A58" w:rsidRPr="00FE1270" w:rsidRDefault="006D7A58" w:rsidP="000774EE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    1.710,99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A58" w:rsidRPr="00FE1270" w:rsidRDefault="006D7A58" w:rsidP="000774EE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    </w:t>
            </w:r>
            <w:r w:rsidR="00C5755E"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   </w:t>
            </w: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-      </w:t>
            </w:r>
          </w:p>
        </w:tc>
      </w:tr>
      <w:tr w:rsidR="00344DF7" w:rsidRPr="00FE1270" w:rsidTr="00242659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545" w:rsidRPr="00FE1270" w:rsidRDefault="00964545" w:rsidP="00964545">
            <w:pPr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Psihijatrijska bolnica Lopača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545" w:rsidRPr="00FE1270" w:rsidRDefault="00964545" w:rsidP="00964545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 23.696,63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-      755.713,58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-       732.016,95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              -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C5755E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</w:t>
            </w:r>
            <w:r w:rsidR="00964545"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1.381.096,22    </w:t>
            </w:r>
          </w:p>
        </w:tc>
      </w:tr>
      <w:tr w:rsidR="00344DF7" w:rsidRPr="00FE1270" w:rsidTr="00242659">
        <w:trPr>
          <w:trHeight w:val="5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545" w:rsidRPr="00FE1270" w:rsidRDefault="00964545" w:rsidP="00964545">
            <w:pPr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Javna vatrogasna postrojba Grada Rijeke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545" w:rsidRPr="00FE1270" w:rsidRDefault="00964545" w:rsidP="00964545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-        658.771,68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340.442,58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-       318.329,10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    5.381,39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>-</w:t>
            </w:r>
          </w:p>
        </w:tc>
      </w:tr>
      <w:tr w:rsidR="00344DF7" w:rsidRPr="00FE1270" w:rsidTr="00242659">
        <w:trPr>
          <w:trHeight w:val="7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964545" w:rsidRPr="00FE1270" w:rsidRDefault="00964545" w:rsidP="00964545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UKUPNO ZDRAVSTVO, SOCIJALNA ZAŠTITA I UNAPREĐENJE KVALITETE ŽIVOTA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64545" w:rsidRPr="00FE1270" w:rsidRDefault="00964545" w:rsidP="009645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-        665.113,28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-      403.051,34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-    1.068.164,62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            7.092,38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64545" w:rsidRPr="00FE1270" w:rsidRDefault="00C5755E" w:rsidP="006D7A5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     </w:t>
            </w:r>
            <w:r w:rsidR="00964545" w:rsidRPr="00FE127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1.381.096,22    </w:t>
            </w:r>
          </w:p>
        </w:tc>
      </w:tr>
      <w:tr w:rsidR="00344DF7" w:rsidRPr="00FE1270" w:rsidTr="00242659">
        <w:trPr>
          <w:trHeight w:val="4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545" w:rsidRPr="00FE1270" w:rsidRDefault="00964545" w:rsidP="00964545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Gradska knjižnica Rijeka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545" w:rsidRPr="00FE1270" w:rsidRDefault="00964545" w:rsidP="00964545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-         77.134,50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93.219,00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16.084,50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  17.303,45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C5755E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    </w:t>
            </w:r>
            <w:r w:rsidR="00964545"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2.358,53    </w:t>
            </w:r>
          </w:p>
        </w:tc>
      </w:tr>
      <w:tr w:rsidR="00344DF7" w:rsidRPr="00FE1270" w:rsidTr="00242659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545" w:rsidRPr="00FE1270" w:rsidRDefault="00964545" w:rsidP="00964545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Muzej grada Rijeke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545" w:rsidRPr="00FE1270" w:rsidRDefault="00964545" w:rsidP="00964545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-         42.828,55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14.143,93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-        28.684,62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</w:t>
            </w:r>
            <w:r w:rsidR="00C5755E"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 </w:t>
            </w: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364,20    </w:t>
            </w:r>
          </w:p>
        </w:tc>
      </w:tr>
      <w:tr w:rsidR="00344DF7" w:rsidRPr="00FE1270" w:rsidTr="00242659">
        <w:trPr>
          <w:trHeight w:val="495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545" w:rsidRPr="00FE1270" w:rsidRDefault="00964545" w:rsidP="00964545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Muzej moderne i suvremene umjetnosti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545" w:rsidRPr="00FE1270" w:rsidRDefault="00964545" w:rsidP="00964545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   5.822,56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    331,90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  6.154,46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    5.395,99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C5755E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       </w:t>
            </w:r>
            <w:r w:rsidR="00964545"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103,85    </w:t>
            </w:r>
          </w:p>
        </w:tc>
      </w:tr>
      <w:tr w:rsidR="00344DF7" w:rsidRPr="00FE1270" w:rsidTr="00242659">
        <w:trPr>
          <w:trHeight w:val="4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545" w:rsidRPr="00FE1270" w:rsidRDefault="00964545" w:rsidP="00964545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>HNK Ivana pl. Zajca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545" w:rsidRPr="00FE1270" w:rsidRDefault="00964545" w:rsidP="00964545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-        712.708,91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-      368.789,70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-    1.081.498,61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C5755E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</w:t>
            </w:r>
            <w:r w:rsidR="00964545"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368.036,26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C5755E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    </w:t>
            </w:r>
            <w:r w:rsidR="00964545"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3.732,13    </w:t>
            </w:r>
          </w:p>
        </w:tc>
      </w:tr>
      <w:tr w:rsidR="00344DF7" w:rsidRPr="00FE1270" w:rsidTr="00242659">
        <w:trPr>
          <w:trHeight w:val="4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545" w:rsidRPr="00FE1270" w:rsidRDefault="00964545" w:rsidP="00964545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>Gradsko kazalište lutaka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545" w:rsidRPr="00FE1270" w:rsidRDefault="00964545" w:rsidP="00964545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-         88.314,23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65.019,80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-        23.294,43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    2.901,53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C5755E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       </w:t>
            </w:r>
            <w:r w:rsidR="00964545"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200,00    </w:t>
            </w:r>
          </w:p>
        </w:tc>
      </w:tr>
      <w:tr w:rsidR="00344DF7" w:rsidRPr="00FE1270" w:rsidTr="00242659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545" w:rsidRPr="00FE1270" w:rsidRDefault="00964545" w:rsidP="00964545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>Art-kino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545" w:rsidRPr="00FE1270" w:rsidRDefault="00964545" w:rsidP="00964545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-         65.609,65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53.441,60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-        12.168,05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    5.538,03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C5755E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       </w:t>
            </w:r>
            <w:r w:rsidR="00964545"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291,00    </w:t>
            </w:r>
          </w:p>
        </w:tc>
      </w:tr>
      <w:tr w:rsidR="00344DF7" w:rsidRPr="00FE1270" w:rsidTr="00242659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545" w:rsidRPr="00FE1270" w:rsidRDefault="00964545" w:rsidP="00964545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>Hrvatski kulturni dom na Sušaku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545" w:rsidRPr="00FE1270" w:rsidRDefault="00964545" w:rsidP="00964545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 56.535,00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-        40.275,04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16.259,96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       248,89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</w:t>
            </w:r>
            <w:r w:rsidR="00C5755E"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           </w:t>
            </w: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-      </w:t>
            </w:r>
          </w:p>
        </w:tc>
      </w:tr>
      <w:tr w:rsidR="00344DF7" w:rsidRPr="00FE1270" w:rsidTr="00242659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64545" w:rsidRPr="00FE1270" w:rsidRDefault="00964545" w:rsidP="00964545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UKUPNO USTANOVE  KULTURE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64545" w:rsidRPr="00FE1270" w:rsidRDefault="00964545" w:rsidP="009645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-        924.238,28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-      182.908,51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-    1.107.146,79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64545" w:rsidRPr="00FE1270" w:rsidRDefault="00C5755E" w:rsidP="006D7A5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        </w:t>
            </w:r>
            <w:r w:rsidR="00964545" w:rsidRPr="00FE127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399.424,15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64545" w:rsidRPr="00FE1270" w:rsidRDefault="00C5755E" w:rsidP="006D7A5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            </w:t>
            </w:r>
            <w:r w:rsidR="00964545" w:rsidRPr="00FE127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7.049,71    </w:t>
            </w:r>
          </w:p>
        </w:tc>
      </w:tr>
      <w:tr w:rsidR="00344DF7" w:rsidRPr="00FE1270" w:rsidTr="00242659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545" w:rsidRPr="00FE1270" w:rsidRDefault="00964545" w:rsidP="00964545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>Mjesni odbori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545" w:rsidRPr="00FE1270" w:rsidRDefault="00964545" w:rsidP="00964545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-           1.292,68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  1.865,30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     572,62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    2.000,37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>-</w:t>
            </w:r>
          </w:p>
        </w:tc>
      </w:tr>
      <w:tr w:rsidR="00344DF7" w:rsidRPr="00FE1270" w:rsidTr="00242659">
        <w:trPr>
          <w:trHeight w:val="5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545" w:rsidRPr="00FE1270" w:rsidRDefault="00964545" w:rsidP="00EE6711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8 vijeća </w:t>
            </w:r>
            <w:r w:rsidR="00EE6711" w:rsidRPr="00FE1270">
              <w:rPr>
                <w:rFonts w:ascii="Arial" w:hAnsi="Arial" w:cs="Arial"/>
                <w:sz w:val="16"/>
                <w:szCs w:val="16"/>
                <w:lang w:eastAsia="hr-HR"/>
              </w:rPr>
              <w:t>NM</w:t>
            </w: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i 1 predstavnica vijeća nacionalnih manjina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545" w:rsidRPr="00FE1270" w:rsidRDefault="00964545" w:rsidP="00964545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      181,37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12.292,53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12.473,90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C5755E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    </w:t>
            </w:r>
            <w:r w:rsidR="00964545"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3.143,67    </w:t>
            </w:r>
          </w:p>
        </w:tc>
      </w:tr>
      <w:tr w:rsidR="00344DF7" w:rsidRPr="00FE1270" w:rsidTr="00242659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545" w:rsidRPr="00FE1270" w:rsidRDefault="00964545" w:rsidP="00964545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>Agencija za društveno poticanu stanogradnju Grada Rijeke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545" w:rsidRPr="00FE1270" w:rsidRDefault="00964545" w:rsidP="00964545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-         12.319,09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193.461,26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181.142,17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C5755E" w:rsidP="006D7A58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</w:t>
            </w:r>
            <w:r w:rsidR="00964545" w:rsidRPr="00FE1270">
              <w:rPr>
                <w:rFonts w:ascii="Arial" w:hAnsi="Arial" w:cs="Arial"/>
                <w:sz w:val="16"/>
                <w:szCs w:val="16"/>
                <w:lang w:eastAsia="hr-HR"/>
              </w:rPr>
              <w:t xml:space="preserve">232.174,84    </w:t>
            </w:r>
          </w:p>
        </w:tc>
      </w:tr>
      <w:tr w:rsidR="00344DF7" w:rsidRPr="00FE1270" w:rsidTr="00242659">
        <w:trPr>
          <w:trHeight w:val="4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64545" w:rsidRPr="00FE1270" w:rsidRDefault="00964545" w:rsidP="0096454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UKUPNO KORISNICI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64545" w:rsidRPr="00FE1270" w:rsidRDefault="00964545" w:rsidP="0096454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 83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-     3.570.516,13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      258.630,65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-    3.311.885,48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      1.814.033,77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         1.649.143,28    </w:t>
            </w:r>
          </w:p>
        </w:tc>
      </w:tr>
      <w:tr w:rsidR="00964545" w:rsidRPr="00FE1270" w:rsidTr="00DC19F9">
        <w:trPr>
          <w:trHeight w:val="49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19F9" w:rsidRPr="00FE1270" w:rsidRDefault="00DC19F9" w:rsidP="00964545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  <w:p w:rsidR="00964545" w:rsidRPr="00FE1270" w:rsidRDefault="00964545" w:rsidP="00964545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GRAD RIJEKA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19F9" w:rsidRPr="00FE1270" w:rsidRDefault="00964545" w:rsidP="006D7A5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   </w:t>
            </w:r>
          </w:p>
          <w:p w:rsidR="00964545" w:rsidRPr="00FE1270" w:rsidRDefault="00964545" w:rsidP="006D7A5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11.403.816,55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19F9" w:rsidRPr="00FE1270" w:rsidRDefault="00964545" w:rsidP="006D7A5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 </w:t>
            </w:r>
          </w:p>
          <w:p w:rsidR="00964545" w:rsidRPr="00FE1270" w:rsidRDefault="00964545" w:rsidP="006D7A5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17.167.553,24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19F9" w:rsidRPr="00FE1270" w:rsidRDefault="00964545" w:rsidP="006D7A5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  </w:t>
            </w:r>
          </w:p>
          <w:p w:rsidR="00964545" w:rsidRPr="00FE1270" w:rsidRDefault="00964545" w:rsidP="006D7A5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28.571.369,79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19F9" w:rsidRPr="00FE1270" w:rsidRDefault="00964545" w:rsidP="006D7A5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     </w:t>
            </w:r>
          </w:p>
          <w:p w:rsidR="00964545" w:rsidRPr="00FE1270" w:rsidRDefault="00964545" w:rsidP="006D7A5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4.040.532,70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545" w:rsidRPr="00FE1270" w:rsidRDefault="00DC19F9" w:rsidP="006D7A5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   </w:t>
            </w:r>
            <w:r w:rsidR="00964545" w:rsidRPr="00FE127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47.227.037,28    </w:t>
            </w:r>
          </w:p>
        </w:tc>
      </w:tr>
      <w:tr w:rsidR="00964545" w:rsidRPr="00FE1270" w:rsidTr="00DC19F9">
        <w:trPr>
          <w:trHeight w:val="5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964545" w:rsidRPr="00FE1270" w:rsidRDefault="00964545" w:rsidP="0096454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SVEUKUPNO GRAD S KORISNICIMA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     7.833.300,42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  17.426.183,89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964545" w:rsidRPr="00FE1270" w:rsidRDefault="00964545" w:rsidP="006D7A5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  25.259.484,31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964545" w:rsidRPr="00FE1270" w:rsidRDefault="00DC19F9" w:rsidP="006D7A5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     </w:t>
            </w:r>
            <w:r w:rsidR="00964545" w:rsidRPr="00FE12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5.854.566,47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964545" w:rsidRPr="00FE1270" w:rsidRDefault="00DC19F9" w:rsidP="006D7A5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E12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  </w:t>
            </w:r>
            <w:r w:rsidR="00964545" w:rsidRPr="00FE12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48.876.180,56    </w:t>
            </w:r>
          </w:p>
        </w:tc>
      </w:tr>
    </w:tbl>
    <w:p w:rsidR="008126F0" w:rsidRPr="00FE1270" w:rsidRDefault="008126F0" w:rsidP="006D7A58">
      <w:pPr>
        <w:ind w:left="-851" w:firstLine="142"/>
        <w:jc w:val="both"/>
        <w:rPr>
          <w:rFonts w:ascii="Arial" w:hAnsi="Arial" w:cs="Arial"/>
          <w:i/>
          <w:noProof/>
          <w:sz w:val="16"/>
          <w:szCs w:val="16"/>
        </w:rPr>
      </w:pPr>
    </w:p>
    <w:p w:rsidR="00B17646" w:rsidRPr="00FE1270" w:rsidRDefault="00362F89" w:rsidP="006D7A58">
      <w:pPr>
        <w:ind w:left="-851" w:firstLine="142"/>
        <w:jc w:val="both"/>
        <w:rPr>
          <w:rFonts w:ascii="Arial" w:hAnsi="Arial" w:cs="Arial"/>
          <w:b/>
          <w:noProof/>
          <w:sz w:val="16"/>
          <w:szCs w:val="16"/>
        </w:rPr>
      </w:pPr>
      <w:r w:rsidRPr="00FE1270">
        <w:rPr>
          <w:rFonts w:ascii="Arial" w:hAnsi="Arial" w:cs="Arial"/>
          <w:i/>
          <w:noProof/>
          <w:sz w:val="16"/>
          <w:szCs w:val="16"/>
        </w:rPr>
        <w:t xml:space="preserve">Podaci: </w:t>
      </w:r>
      <w:r w:rsidR="00B00141" w:rsidRPr="00FE1270">
        <w:rPr>
          <w:rFonts w:ascii="Arial" w:hAnsi="Arial" w:cs="Arial"/>
          <w:i/>
          <w:noProof/>
          <w:sz w:val="16"/>
          <w:szCs w:val="16"/>
        </w:rPr>
        <w:t>Konsolidirani financijski</w:t>
      </w:r>
      <w:r w:rsidR="007E7029" w:rsidRPr="00FE1270">
        <w:rPr>
          <w:rFonts w:ascii="Arial" w:hAnsi="Arial" w:cs="Arial"/>
          <w:i/>
          <w:noProof/>
          <w:sz w:val="16"/>
          <w:szCs w:val="16"/>
        </w:rPr>
        <w:t xml:space="preserve"> izvještaj Grada Rijeke za 2024</w:t>
      </w:r>
      <w:r w:rsidR="00B00141" w:rsidRPr="00FE1270">
        <w:rPr>
          <w:rFonts w:ascii="Arial" w:hAnsi="Arial" w:cs="Arial"/>
          <w:i/>
          <w:noProof/>
          <w:sz w:val="16"/>
          <w:szCs w:val="16"/>
        </w:rPr>
        <w:t>. godinu</w:t>
      </w:r>
      <w:r w:rsidR="0024193C" w:rsidRPr="00FE1270">
        <w:rPr>
          <w:rFonts w:ascii="Arial" w:hAnsi="Arial" w:cs="Arial"/>
          <w:b/>
          <w:noProof/>
          <w:sz w:val="16"/>
          <w:szCs w:val="16"/>
        </w:rPr>
        <w:tab/>
      </w:r>
      <w:r w:rsidR="0024193C" w:rsidRPr="00FE1270">
        <w:rPr>
          <w:rFonts w:ascii="Arial" w:hAnsi="Arial" w:cs="Arial"/>
          <w:b/>
          <w:noProof/>
          <w:sz w:val="16"/>
          <w:szCs w:val="16"/>
        </w:rPr>
        <w:tab/>
      </w:r>
      <w:r w:rsidR="0024193C" w:rsidRPr="00FE1270">
        <w:rPr>
          <w:rFonts w:ascii="Arial" w:hAnsi="Arial" w:cs="Arial"/>
          <w:b/>
          <w:noProof/>
          <w:sz w:val="16"/>
          <w:szCs w:val="16"/>
        </w:rPr>
        <w:tab/>
      </w:r>
      <w:r w:rsidR="0024193C" w:rsidRPr="00FE1270">
        <w:rPr>
          <w:rFonts w:ascii="Arial" w:hAnsi="Arial" w:cs="Arial"/>
          <w:b/>
          <w:noProof/>
          <w:sz w:val="16"/>
          <w:szCs w:val="16"/>
        </w:rPr>
        <w:tab/>
      </w:r>
      <w:r w:rsidR="0024193C" w:rsidRPr="00FE1270">
        <w:rPr>
          <w:rFonts w:ascii="Arial" w:hAnsi="Arial" w:cs="Arial"/>
          <w:b/>
          <w:noProof/>
          <w:sz w:val="16"/>
          <w:szCs w:val="16"/>
        </w:rPr>
        <w:tab/>
      </w:r>
      <w:r w:rsidR="0024193C" w:rsidRPr="00FE1270">
        <w:rPr>
          <w:rFonts w:ascii="Arial" w:hAnsi="Arial" w:cs="Arial"/>
          <w:b/>
          <w:noProof/>
          <w:sz w:val="16"/>
          <w:szCs w:val="16"/>
        </w:rPr>
        <w:tab/>
      </w:r>
    </w:p>
    <w:p w:rsidR="006D7A58" w:rsidRPr="00FE1270" w:rsidRDefault="006D7A58" w:rsidP="00B00141">
      <w:pPr>
        <w:jc w:val="both"/>
        <w:rPr>
          <w:rFonts w:ascii="Arial" w:hAnsi="Arial" w:cs="Arial"/>
          <w:noProof/>
        </w:rPr>
      </w:pPr>
    </w:p>
    <w:p w:rsidR="006D7A58" w:rsidRPr="00FE1270" w:rsidRDefault="006D7A58" w:rsidP="00B00141">
      <w:pPr>
        <w:jc w:val="both"/>
        <w:rPr>
          <w:rFonts w:ascii="Arial" w:hAnsi="Arial" w:cs="Arial"/>
          <w:noProof/>
        </w:rPr>
      </w:pPr>
    </w:p>
    <w:p w:rsidR="006D7A58" w:rsidRPr="00FE1270" w:rsidRDefault="006D7A58" w:rsidP="00B00141">
      <w:pPr>
        <w:jc w:val="both"/>
        <w:rPr>
          <w:rFonts w:ascii="Arial" w:hAnsi="Arial" w:cs="Arial"/>
          <w:noProof/>
        </w:rPr>
      </w:pPr>
    </w:p>
    <w:p w:rsidR="006D7A58" w:rsidRPr="00FE1270" w:rsidRDefault="006D7A58" w:rsidP="00B00141">
      <w:pPr>
        <w:jc w:val="both"/>
        <w:rPr>
          <w:rFonts w:ascii="Arial" w:hAnsi="Arial" w:cs="Arial"/>
          <w:noProof/>
        </w:rPr>
      </w:pPr>
    </w:p>
    <w:p w:rsidR="006D7A58" w:rsidRPr="00FE1270" w:rsidRDefault="006D7A58" w:rsidP="00B00141">
      <w:pPr>
        <w:jc w:val="both"/>
        <w:rPr>
          <w:rFonts w:ascii="Arial" w:hAnsi="Arial" w:cs="Arial"/>
          <w:noProof/>
        </w:rPr>
      </w:pPr>
    </w:p>
    <w:p w:rsidR="00B00141" w:rsidRPr="00FE1270" w:rsidRDefault="00B00141" w:rsidP="00B00141">
      <w:pPr>
        <w:jc w:val="both"/>
        <w:rPr>
          <w:rFonts w:ascii="Arial" w:hAnsi="Arial" w:cs="Arial"/>
          <w:i/>
          <w:noProof/>
          <w:sz w:val="18"/>
          <w:szCs w:val="18"/>
        </w:rPr>
      </w:pPr>
      <w:r w:rsidRPr="00F00AA1">
        <w:rPr>
          <w:rFonts w:ascii="Arial" w:hAnsi="Arial" w:cs="Arial"/>
          <w:noProof/>
        </w:rPr>
        <w:t>Rijeka, 2</w:t>
      </w:r>
      <w:r w:rsidR="002849CA" w:rsidRPr="00F00AA1">
        <w:rPr>
          <w:rFonts w:ascii="Arial" w:hAnsi="Arial" w:cs="Arial"/>
          <w:noProof/>
        </w:rPr>
        <w:t>6</w:t>
      </w:r>
      <w:r w:rsidRPr="00F00AA1">
        <w:rPr>
          <w:rFonts w:ascii="Arial" w:hAnsi="Arial" w:cs="Arial"/>
          <w:noProof/>
        </w:rPr>
        <w:t xml:space="preserve">. veljače </w:t>
      </w:r>
      <w:r w:rsidR="007E7029" w:rsidRPr="00F00AA1">
        <w:rPr>
          <w:rFonts w:ascii="Arial" w:hAnsi="Arial" w:cs="Arial"/>
          <w:noProof/>
        </w:rPr>
        <w:t>2025</w:t>
      </w:r>
      <w:r w:rsidRPr="00F00AA1">
        <w:rPr>
          <w:rFonts w:ascii="Arial" w:hAnsi="Arial" w:cs="Arial"/>
          <w:noProof/>
        </w:rPr>
        <w:t>.</w:t>
      </w:r>
    </w:p>
    <w:p w:rsidR="00B00141" w:rsidRPr="00FE1270" w:rsidRDefault="00B00141" w:rsidP="00B00141">
      <w:pPr>
        <w:rPr>
          <w:rFonts w:ascii="Arial" w:hAnsi="Arial" w:cs="Arial"/>
          <w:i/>
          <w:noProof/>
        </w:rPr>
      </w:pPr>
    </w:p>
    <w:p w:rsidR="00501DEB" w:rsidRPr="00FE1270" w:rsidRDefault="00501DEB" w:rsidP="00B00141">
      <w:pPr>
        <w:rPr>
          <w:rFonts w:ascii="Arial" w:hAnsi="Arial" w:cs="Arial"/>
          <w:i/>
          <w:noProof/>
        </w:rPr>
      </w:pPr>
    </w:p>
    <w:p w:rsidR="00B00141" w:rsidRPr="00FE1270" w:rsidRDefault="00B00141" w:rsidP="00B00141">
      <w:pPr>
        <w:rPr>
          <w:rFonts w:ascii="Arial" w:hAnsi="Arial" w:cs="Arial"/>
          <w:noProof/>
        </w:rPr>
      </w:pPr>
      <w:r w:rsidRPr="00FE1270">
        <w:rPr>
          <w:rFonts w:ascii="Arial" w:hAnsi="Arial" w:cs="Arial"/>
          <w:noProof/>
        </w:rPr>
        <w:t>Bilješke sastavil</w:t>
      </w:r>
      <w:r w:rsidR="002D2AA8" w:rsidRPr="00FE1270">
        <w:rPr>
          <w:rFonts w:ascii="Arial" w:hAnsi="Arial" w:cs="Arial"/>
          <w:noProof/>
        </w:rPr>
        <w:t>e</w:t>
      </w:r>
      <w:r w:rsidRPr="00FE1270">
        <w:rPr>
          <w:rFonts w:ascii="Arial" w:hAnsi="Arial" w:cs="Arial"/>
          <w:noProof/>
        </w:rPr>
        <w:t>:</w:t>
      </w:r>
    </w:p>
    <w:p w:rsidR="002D2AA8" w:rsidRPr="00FE1270" w:rsidRDefault="002D2AA8" w:rsidP="00B00141">
      <w:pPr>
        <w:rPr>
          <w:rFonts w:ascii="Arial" w:hAnsi="Arial" w:cs="Arial"/>
          <w:b/>
          <w:noProof/>
        </w:rPr>
      </w:pPr>
    </w:p>
    <w:p w:rsidR="002D2AA8" w:rsidRPr="00FE1270" w:rsidRDefault="00542C00" w:rsidP="00B00141">
      <w:pPr>
        <w:jc w:val="both"/>
        <w:outlineLvl w:val="0"/>
        <w:rPr>
          <w:rFonts w:ascii="Arial" w:hAnsi="Arial" w:cs="Arial"/>
          <w:noProof/>
        </w:rPr>
      </w:pPr>
      <w:r w:rsidRPr="00FE1270">
        <w:rPr>
          <w:rFonts w:ascii="Arial" w:hAnsi="Arial" w:cs="Arial"/>
          <w:noProof/>
        </w:rPr>
        <w:t>Vanda Sesar</w:t>
      </w:r>
      <w:r w:rsidR="002D2AA8" w:rsidRPr="00FE1270">
        <w:rPr>
          <w:rFonts w:ascii="Arial" w:hAnsi="Arial" w:cs="Arial"/>
          <w:noProof/>
        </w:rPr>
        <w:t xml:space="preserve"> i </w:t>
      </w:r>
    </w:p>
    <w:p w:rsidR="00B00141" w:rsidRPr="00FE1270" w:rsidRDefault="002D2AA8" w:rsidP="00B00141">
      <w:pPr>
        <w:jc w:val="both"/>
        <w:outlineLvl w:val="0"/>
        <w:rPr>
          <w:rFonts w:ascii="Arial" w:hAnsi="Arial" w:cs="Arial"/>
          <w:i/>
          <w:noProof/>
        </w:rPr>
      </w:pPr>
      <w:r w:rsidRPr="00FE1270">
        <w:rPr>
          <w:rFonts w:ascii="Arial" w:hAnsi="Arial" w:cs="Arial"/>
          <w:noProof/>
        </w:rPr>
        <w:t>L</w:t>
      </w:r>
      <w:r w:rsidR="00242659" w:rsidRPr="00FE1270">
        <w:rPr>
          <w:rFonts w:ascii="Arial" w:hAnsi="Arial" w:cs="Arial"/>
          <w:noProof/>
        </w:rPr>
        <w:t>oredana Balen</w:t>
      </w:r>
      <w:r w:rsidR="00542C00" w:rsidRPr="00FE1270">
        <w:rPr>
          <w:rFonts w:ascii="Arial" w:hAnsi="Arial" w:cs="Arial"/>
          <w:noProof/>
        </w:rPr>
        <w:t xml:space="preserve">                                                                                                      </w:t>
      </w:r>
      <w:r w:rsidR="00133BE8" w:rsidRPr="00FE1270">
        <w:rPr>
          <w:rFonts w:ascii="Arial" w:hAnsi="Arial" w:cs="Arial"/>
          <w:b/>
          <w:noProof/>
          <w:sz w:val="22"/>
          <w:szCs w:val="22"/>
        </w:rPr>
        <w:t>Gradonačelnik</w:t>
      </w:r>
    </w:p>
    <w:p w:rsidR="002D2AA8" w:rsidRPr="00FE1270" w:rsidRDefault="002D2AA8" w:rsidP="00B00141">
      <w:pPr>
        <w:rPr>
          <w:rFonts w:ascii="Arial" w:hAnsi="Arial" w:cs="Arial"/>
          <w:b/>
          <w:noProof/>
        </w:rPr>
      </w:pPr>
    </w:p>
    <w:p w:rsidR="001F7A51" w:rsidRPr="00FE1270" w:rsidRDefault="00B00141" w:rsidP="00B00141">
      <w:pPr>
        <w:rPr>
          <w:rFonts w:ascii="Arial" w:hAnsi="Arial" w:cs="Arial"/>
          <w:b/>
          <w:noProof/>
          <w:sz w:val="22"/>
          <w:szCs w:val="22"/>
        </w:rPr>
      </w:pPr>
      <w:r w:rsidRPr="00FE1270">
        <w:rPr>
          <w:rFonts w:ascii="Arial" w:hAnsi="Arial" w:cs="Arial"/>
          <w:b/>
          <w:noProof/>
          <w:sz w:val="22"/>
          <w:szCs w:val="22"/>
        </w:rPr>
        <w:t xml:space="preserve">                                                            </w:t>
      </w:r>
    </w:p>
    <w:p w:rsidR="0024193C" w:rsidRPr="000F70A9" w:rsidRDefault="001F7A51" w:rsidP="00B00141">
      <w:pPr>
        <w:rPr>
          <w:rFonts w:ascii="Arial" w:hAnsi="Arial" w:cs="Arial"/>
          <w:b/>
          <w:noProof/>
          <w:sz w:val="22"/>
          <w:szCs w:val="22"/>
        </w:rPr>
      </w:pPr>
      <w:r w:rsidRPr="00FE1270">
        <w:rPr>
          <w:rFonts w:ascii="Arial" w:hAnsi="Arial" w:cs="Arial"/>
          <w:b/>
          <w:noProof/>
          <w:sz w:val="22"/>
          <w:szCs w:val="22"/>
        </w:rPr>
        <w:tab/>
      </w:r>
      <w:r w:rsidRPr="00FE1270">
        <w:rPr>
          <w:rFonts w:ascii="Arial" w:hAnsi="Arial" w:cs="Arial"/>
          <w:b/>
          <w:noProof/>
          <w:sz w:val="22"/>
          <w:szCs w:val="22"/>
        </w:rPr>
        <w:tab/>
      </w:r>
      <w:r w:rsidRPr="00FE1270">
        <w:rPr>
          <w:rFonts w:ascii="Arial" w:hAnsi="Arial" w:cs="Arial"/>
          <w:b/>
          <w:noProof/>
          <w:sz w:val="22"/>
          <w:szCs w:val="22"/>
        </w:rPr>
        <w:tab/>
      </w:r>
      <w:r>
        <w:rPr>
          <w:rFonts w:ascii="Arial" w:hAnsi="Arial" w:cs="Arial"/>
          <w:b/>
          <w:noProof/>
          <w:sz w:val="22"/>
          <w:szCs w:val="22"/>
        </w:rPr>
        <w:tab/>
      </w:r>
      <w:r>
        <w:rPr>
          <w:rFonts w:ascii="Arial" w:hAnsi="Arial" w:cs="Arial"/>
          <w:b/>
          <w:noProof/>
          <w:sz w:val="22"/>
          <w:szCs w:val="22"/>
        </w:rPr>
        <w:tab/>
      </w:r>
      <w:r w:rsidR="00B00141" w:rsidRPr="006B67D8">
        <w:rPr>
          <w:rFonts w:ascii="Arial" w:hAnsi="Arial" w:cs="Arial"/>
          <w:b/>
          <w:noProof/>
          <w:sz w:val="22"/>
          <w:szCs w:val="22"/>
        </w:rPr>
        <w:tab/>
        <w:t xml:space="preserve">M.P. </w:t>
      </w:r>
      <w:r w:rsidR="00B00141" w:rsidRPr="006B67D8">
        <w:rPr>
          <w:rFonts w:ascii="Arial" w:hAnsi="Arial" w:cs="Arial"/>
          <w:b/>
          <w:noProof/>
          <w:sz w:val="22"/>
          <w:szCs w:val="22"/>
        </w:rPr>
        <w:tab/>
      </w:r>
      <w:r w:rsidR="00B00141" w:rsidRPr="006B67D8">
        <w:rPr>
          <w:rFonts w:ascii="Arial" w:hAnsi="Arial" w:cs="Arial"/>
          <w:b/>
          <w:noProof/>
          <w:sz w:val="22"/>
          <w:szCs w:val="22"/>
        </w:rPr>
        <w:tab/>
      </w:r>
      <w:r w:rsidR="00B00141" w:rsidRPr="006B67D8">
        <w:rPr>
          <w:rFonts w:ascii="Arial" w:hAnsi="Arial" w:cs="Arial"/>
          <w:b/>
          <w:noProof/>
          <w:sz w:val="22"/>
          <w:szCs w:val="22"/>
        </w:rPr>
        <w:tab/>
      </w:r>
      <w:r w:rsidR="002D2AA8">
        <w:rPr>
          <w:rFonts w:ascii="Arial" w:hAnsi="Arial" w:cs="Arial"/>
          <w:b/>
          <w:noProof/>
          <w:sz w:val="22"/>
          <w:szCs w:val="22"/>
        </w:rPr>
        <w:t xml:space="preserve">    </w:t>
      </w:r>
      <w:r w:rsidR="00B00141" w:rsidRPr="006B67D8">
        <w:rPr>
          <w:rFonts w:ascii="Arial" w:hAnsi="Arial" w:cs="Arial"/>
          <w:b/>
          <w:noProof/>
          <w:sz w:val="22"/>
          <w:szCs w:val="22"/>
        </w:rPr>
        <w:t xml:space="preserve">    </w:t>
      </w:r>
      <w:r w:rsidR="00133BE8">
        <w:rPr>
          <w:rFonts w:ascii="Arial" w:hAnsi="Arial" w:cs="Arial"/>
          <w:b/>
          <w:noProof/>
          <w:sz w:val="22"/>
          <w:szCs w:val="22"/>
        </w:rPr>
        <w:t xml:space="preserve">  </w:t>
      </w:r>
      <w:r w:rsidR="008D4303">
        <w:rPr>
          <w:rFonts w:ascii="Arial" w:hAnsi="Arial" w:cs="Arial"/>
          <w:b/>
          <w:noProof/>
          <w:sz w:val="22"/>
          <w:szCs w:val="22"/>
        </w:rPr>
        <w:t>Marko Filipović</w:t>
      </w:r>
    </w:p>
    <w:sectPr w:rsidR="0024193C" w:rsidRPr="000F70A9" w:rsidSect="00344DF7">
      <w:footerReference w:type="even" r:id="rId10"/>
      <w:footerReference w:type="default" r:id="rId11"/>
      <w:pgSz w:w="11906" w:h="16838" w:code="9"/>
      <w:pgMar w:top="851" w:right="567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979" w:rsidRDefault="00E32979">
      <w:r>
        <w:separator/>
      </w:r>
    </w:p>
  </w:endnote>
  <w:endnote w:type="continuationSeparator" w:id="0">
    <w:p w:rsidR="00E32979" w:rsidRDefault="00E3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83" w:rsidRDefault="00B57B83" w:rsidP="00204C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57B83" w:rsidRDefault="00B57B83" w:rsidP="00204C8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83" w:rsidRDefault="00B57B83" w:rsidP="00204C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7C32">
      <w:rPr>
        <w:rStyle w:val="PageNumber"/>
        <w:noProof/>
      </w:rPr>
      <w:t>11</w:t>
    </w:r>
    <w:r>
      <w:rPr>
        <w:rStyle w:val="PageNumber"/>
      </w:rPr>
      <w:fldChar w:fldCharType="end"/>
    </w:r>
  </w:p>
  <w:p w:rsidR="00B57B83" w:rsidRDefault="00B57B83" w:rsidP="00204C8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979" w:rsidRDefault="00E32979">
      <w:r>
        <w:separator/>
      </w:r>
    </w:p>
  </w:footnote>
  <w:footnote w:type="continuationSeparator" w:id="0">
    <w:p w:rsidR="00E32979" w:rsidRDefault="00E32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15029"/>
    <w:multiLevelType w:val="singleLevel"/>
    <w:tmpl w:val="46DCEA1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F5B5775"/>
    <w:multiLevelType w:val="hybridMultilevel"/>
    <w:tmpl w:val="D9BC79C6"/>
    <w:lvl w:ilvl="0" w:tplc="041A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AE740F0"/>
    <w:multiLevelType w:val="singleLevel"/>
    <w:tmpl w:val="46DCEA1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3244D20"/>
    <w:multiLevelType w:val="hybridMultilevel"/>
    <w:tmpl w:val="29BA35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95619"/>
    <w:multiLevelType w:val="singleLevel"/>
    <w:tmpl w:val="46DCEA1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FBE40E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A2C7A11"/>
    <w:multiLevelType w:val="singleLevel"/>
    <w:tmpl w:val="46DCEA1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51846D09"/>
    <w:multiLevelType w:val="singleLevel"/>
    <w:tmpl w:val="46DCEA1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545E5E48"/>
    <w:multiLevelType w:val="singleLevel"/>
    <w:tmpl w:val="46DCEA1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6542179"/>
    <w:multiLevelType w:val="singleLevel"/>
    <w:tmpl w:val="6408ECF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10" w15:restartNumberingAfterBreak="0">
    <w:nsid w:val="594E4743"/>
    <w:multiLevelType w:val="singleLevel"/>
    <w:tmpl w:val="46DCEA1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5E2872BB"/>
    <w:multiLevelType w:val="singleLevel"/>
    <w:tmpl w:val="46DCEA1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3905CFF"/>
    <w:multiLevelType w:val="hybridMultilevel"/>
    <w:tmpl w:val="A1C44A68"/>
    <w:lvl w:ilvl="0" w:tplc="0D6A18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6E5151"/>
    <w:multiLevelType w:val="singleLevel"/>
    <w:tmpl w:val="46DCEA1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8612FC1"/>
    <w:multiLevelType w:val="singleLevel"/>
    <w:tmpl w:val="46DCEA1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98610DB"/>
    <w:multiLevelType w:val="singleLevel"/>
    <w:tmpl w:val="46DCEA1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6B0E53FE"/>
    <w:multiLevelType w:val="hybridMultilevel"/>
    <w:tmpl w:val="140C617E"/>
    <w:lvl w:ilvl="0" w:tplc="041A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CF10730"/>
    <w:multiLevelType w:val="hybridMultilevel"/>
    <w:tmpl w:val="D8F23370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EA378AA"/>
    <w:multiLevelType w:val="singleLevel"/>
    <w:tmpl w:val="46DCEA1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8"/>
  </w:num>
  <w:num w:numId="5">
    <w:abstractNumId w:val="13"/>
  </w:num>
  <w:num w:numId="6">
    <w:abstractNumId w:val="14"/>
  </w:num>
  <w:num w:numId="7">
    <w:abstractNumId w:val="6"/>
  </w:num>
  <w:num w:numId="8">
    <w:abstractNumId w:val="5"/>
  </w:num>
  <w:num w:numId="9">
    <w:abstractNumId w:val="2"/>
  </w:num>
  <w:num w:numId="10">
    <w:abstractNumId w:val="15"/>
  </w:num>
  <w:num w:numId="11">
    <w:abstractNumId w:val="11"/>
  </w:num>
  <w:num w:numId="12">
    <w:abstractNumId w:val="7"/>
  </w:num>
  <w:num w:numId="13">
    <w:abstractNumId w:val="0"/>
  </w:num>
  <w:num w:numId="14">
    <w:abstractNumId w:val="18"/>
  </w:num>
  <w:num w:numId="15">
    <w:abstractNumId w:val="1"/>
  </w:num>
  <w:num w:numId="16">
    <w:abstractNumId w:val="16"/>
  </w:num>
  <w:num w:numId="17">
    <w:abstractNumId w:val="12"/>
  </w:num>
  <w:num w:numId="18">
    <w:abstractNumId w:val="17"/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15A"/>
    <w:rsid w:val="00000D78"/>
    <w:rsid w:val="0000134B"/>
    <w:rsid w:val="00001404"/>
    <w:rsid w:val="00001670"/>
    <w:rsid w:val="000027A4"/>
    <w:rsid w:val="00002B77"/>
    <w:rsid w:val="00002DCC"/>
    <w:rsid w:val="00003762"/>
    <w:rsid w:val="00003D8E"/>
    <w:rsid w:val="00003EEA"/>
    <w:rsid w:val="00004234"/>
    <w:rsid w:val="00004300"/>
    <w:rsid w:val="00005CE7"/>
    <w:rsid w:val="00005F7F"/>
    <w:rsid w:val="0000613B"/>
    <w:rsid w:val="000066EF"/>
    <w:rsid w:val="00006B97"/>
    <w:rsid w:val="00007397"/>
    <w:rsid w:val="00007C26"/>
    <w:rsid w:val="000103BD"/>
    <w:rsid w:val="0001066B"/>
    <w:rsid w:val="0001097E"/>
    <w:rsid w:val="00011156"/>
    <w:rsid w:val="0001175A"/>
    <w:rsid w:val="0001250B"/>
    <w:rsid w:val="00013055"/>
    <w:rsid w:val="0001355A"/>
    <w:rsid w:val="00013761"/>
    <w:rsid w:val="0001445B"/>
    <w:rsid w:val="000146F4"/>
    <w:rsid w:val="00017851"/>
    <w:rsid w:val="00017DED"/>
    <w:rsid w:val="0002055C"/>
    <w:rsid w:val="00020B5E"/>
    <w:rsid w:val="00020BE1"/>
    <w:rsid w:val="000211C0"/>
    <w:rsid w:val="0002301E"/>
    <w:rsid w:val="000241E8"/>
    <w:rsid w:val="00024360"/>
    <w:rsid w:val="000243F8"/>
    <w:rsid w:val="0002552B"/>
    <w:rsid w:val="00025FD2"/>
    <w:rsid w:val="00025FE0"/>
    <w:rsid w:val="00026502"/>
    <w:rsid w:val="00026743"/>
    <w:rsid w:val="00030449"/>
    <w:rsid w:val="00030BB1"/>
    <w:rsid w:val="00031BCF"/>
    <w:rsid w:val="00031C10"/>
    <w:rsid w:val="00032EC2"/>
    <w:rsid w:val="000334DA"/>
    <w:rsid w:val="00034091"/>
    <w:rsid w:val="00035203"/>
    <w:rsid w:val="00035B6C"/>
    <w:rsid w:val="00035BDF"/>
    <w:rsid w:val="000364B9"/>
    <w:rsid w:val="00036BE0"/>
    <w:rsid w:val="000371E2"/>
    <w:rsid w:val="000373B3"/>
    <w:rsid w:val="00037409"/>
    <w:rsid w:val="00037A0E"/>
    <w:rsid w:val="00037B79"/>
    <w:rsid w:val="000403A0"/>
    <w:rsid w:val="00040654"/>
    <w:rsid w:val="00040C54"/>
    <w:rsid w:val="00041211"/>
    <w:rsid w:val="0004184F"/>
    <w:rsid w:val="00041993"/>
    <w:rsid w:val="00041CFB"/>
    <w:rsid w:val="00042A6B"/>
    <w:rsid w:val="000434D6"/>
    <w:rsid w:val="00043842"/>
    <w:rsid w:val="000454C2"/>
    <w:rsid w:val="0004659A"/>
    <w:rsid w:val="00050018"/>
    <w:rsid w:val="0005086F"/>
    <w:rsid w:val="00051112"/>
    <w:rsid w:val="0005119C"/>
    <w:rsid w:val="00051CAB"/>
    <w:rsid w:val="000520C2"/>
    <w:rsid w:val="00053651"/>
    <w:rsid w:val="000552EE"/>
    <w:rsid w:val="00055680"/>
    <w:rsid w:val="00056962"/>
    <w:rsid w:val="00056B62"/>
    <w:rsid w:val="00057231"/>
    <w:rsid w:val="000579F4"/>
    <w:rsid w:val="00057F26"/>
    <w:rsid w:val="000604BF"/>
    <w:rsid w:val="00060BED"/>
    <w:rsid w:val="00061494"/>
    <w:rsid w:val="000615BD"/>
    <w:rsid w:val="00061784"/>
    <w:rsid w:val="00061C5B"/>
    <w:rsid w:val="0006208A"/>
    <w:rsid w:val="00062A45"/>
    <w:rsid w:val="000658B4"/>
    <w:rsid w:val="0006594A"/>
    <w:rsid w:val="00067040"/>
    <w:rsid w:val="00067761"/>
    <w:rsid w:val="00067DB1"/>
    <w:rsid w:val="00067EF5"/>
    <w:rsid w:val="0007046F"/>
    <w:rsid w:val="000705A8"/>
    <w:rsid w:val="0007193C"/>
    <w:rsid w:val="00071AD7"/>
    <w:rsid w:val="0007338A"/>
    <w:rsid w:val="00073A95"/>
    <w:rsid w:val="00073AAB"/>
    <w:rsid w:val="00073AB1"/>
    <w:rsid w:val="000743FB"/>
    <w:rsid w:val="00075D12"/>
    <w:rsid w:val="000767D8"/>
    <w:rsid w:val="00076C4E"/>
    <w:rsid w:val="000774EE"/>
    <w:rsid w:val="000777E4"/>
    <w:rsid w:val="00077DC7"/>
    <w:rsid w:val="000804B9"/>
    <w:rsid w:val="000808CA"/>
    <w:rsid w:val="00081C53"/>
    <w:rsid w:val="00082119"/>
    <w:rsid w:val="000826E5"/>
    <w:rsid w:val="00083870"/>
    <w:rsid w:val="00087DCA"/>
    <w:rsid w:val="00090609"/>
    <w:rsid w:val="000909D5"/>
    <w:rsid w:val="00090C82"/>
    <w:rsid w:val="00091104"/>
    <w:rsid w:val="00091DDE"/>
    <w:rsid w:val="00092420"/>
    <w:rsid w:val="00092859"/>
    <w:rsid w:val="0009292C"/>
    <w:rsid w:val="0009386F"/>
    <w:rsid w:val="00093AAE"/>
    <w:rsid w:val="00094C6F"/>
    <w:rsid w:val="00094DFA"/>
    <w:rsid w:val="00094E62"/>
    <w:rsid w:val="000957DF"/>
    <w:rsid w:val="00095FF2"/>
    <w:rsid w:val="00097B8C"/>
    <w:rsid w:val="000A07F7"/>
    <w:rsid w:val="000A1785"/>
    <w:rsid w:val="000A1B72"/>
    <w:rsid w:val="000A1DC1"/>
    <w:rsid w:val="000A239F"/>
    <w:rsid w:val="000A356D"/>
    <w:rsid w:val="000A3745"/>
    <w:rsid w:val="000A5552"/>
    <w:rsid w:val="000A5D41"/>
    <w:rsid w:val="000A6D47"/>
    <w:rsid w:val="000A720A"/>
    <w:rsid w:val="000A7682"/>
    <w:rsid w:val="000A7795"/>
    <w:rsid w:val="000A78D3"/>
    <w:rsid w:val="000A794D"/>
    <w:rsid w:val="000B06D8"/>
    <w:rsid w:val="000B0823"/>
    <w:rsid w:val="000B0879"/>
    <w:rsid w:val="000B2B30"/>
    <w:rsid w:val="000B2FAF"/>
    <w:rsid w:val="000B3AAC"/>
    <w:rsid w:val="000B409E"/>
    <w:rsid w:val="000B47E9"/>
    <w:rsid w:val="000B4DA5"/>
    <w:rsid w:val="000B5C95"/>
    <w:rsid w:val="000B7935"/>
    <w:rsid w:val="000B7AE7"/>
    <w:rsid w:val="000B7D4D"/>
    <w:rsid w:val="000C0E18"/>
    <w:rsid w:val="000C1474"/>
    <w:rsid w:val="000C1545"/>
    <w:rsid w:val="000C1AF8"/>
    <w:rsid w:val="000C3661"/>
    <w:rsid w:val="000C368D"/>
    <w:rsid w:val="000C3F54"/>
    <w:rsid w:val="000C4DCF"/>
    <w:rsid w:val="000C4EA4"/>
    <w:rsid w:val="000C615F"/>
    <w:rsid w:val="000C7147"/>
    <w:rsid w:val="000C7587"/>
    <w:rsid w:val="000C7C17"/>
    <w:rsid w:val="000C7D4C"/>
    <w:rsid w:val="000D1380"/>
    <w:rsid w:val="000D1B44"/>
    <w:rsid w:val="000D2533"/>
    <w:rsid w:val="000D27A3"/>
    <w:rsid w:val="000D5C87"/>
    <w:rsid w:val="000D6A11"/>
    <w:rsid w:val="000D6CA3"/>
    <w:rsid w:val="000D7AAF"/>
    <w:rsid w:val="000E05CA"/>
    <w:rsid w:val="000E0B76"/>
    <w:rsid w:val="000E27D8"/>
    <w:rsid w:val="000E3905"/>
    <w:rsid w:val="000E3A66"/>
    <w:rsid w:val="000E3E21"/>
    <w:rsid w:val="000E4A05"/>
    <w:rsid w:val="000E5357"/>
    <w:rsid w:val="000E618C"/>
    <w:rsid w:val="000E6673"/>
    <w:rsid w:val="000E6E9D"/>
    <w:rsid w:val="000E716F"/>
    <w:rsid w:val="000E787D"/>
    <w:rsid w:val="000F0450"/>
    <w:rsid w:val="000F0959"/>
    <w:rsid w:val="000F11C5"/>
    <w:rsid w:val="000F241A"/>
    <w:rsid w:val="000F44A5"/>
    <w:rsid w:val="000F5211"/>
    <w:rsid w:val="000F6D7E"/>
    <w:rsid w:val="000F6DCA"/>
    <w:rsid w:val="000F70A9"/>
    <w:rsid w:val="00100A3D"/>
    <w:rsid w:val="00100BB5"/>
    <w:rsid w:val="00101B49"/>
    <w:rsid w:val="00102AE0"/>
    <w:rsid w:val="00102DF2"/>
    <w:rsid w:val="00102EC4"/>
    <w:rsid w:val="0010378C"/>
    <w:rsid w:val="00103C42"/>
    <w:rsid w:val="0010559F"/>
    <w:rsid w:val="00105E0B"/>
    <w:rsid w:val="0010650D"/>
    <w:rsid w:val="001065CC"/>
    <w:rsid w:val="0010710E"/>
    <w:rsid w:val="001079B6"/>
    <w:rsid w:val="00107D71"/>
    <w:rsid w:val="001117BB"/>
    <w:rsid w:val="00112106"/>
    <w:rsid w:val="001123E8"/>
    <w:rsid w:val="0011341F"/>
    <w:rsid w:val="00113BB4"/>
    <w:rsid w:val="001146CD"/>
    <w:rsid w:val="00114C30"/>
    <w:rsid w:val="00115307"/>
    <w:rsid w:val="001154F3"/>
    <w:rsid w:val="00116C18"/>
    <w:rsid w:val="00116C5B"/>
    <w:rsid w:val="00116D34"/>
    <w:rsid w:val="00120A2C"/>
    <w:rsid w:val="00120DD6"/>
    <w:rsid w:val="00120E75"/>
    <w:rsid w:val="00121AD4"/>
    <w:rsid w:val="00121C87"/>
    <w:rsid w:val="00121EE4"/>
    <w:rsid w:val="001221CC"/>
    <w:rsid w:val="00122FCB"/>
    <w:rsid w:val="001231FD"/>
    <w:rsid w:val="00124B79"/>
    <w:rsid w:val="00124BED"/>
    <w:rsid w:val="00124D10"/>
    <w:rsid w:val="00125349"/>
    <w:rsid w:val="00126189"/>
    <w:rsid w:val="0012656A"/>
    <w:rsid w:val="001268F1"/>
    <w:rsid w:val="00126DD0"/>
    <w:rsid w:val="00126ECD"/>
    <w:rsid w:val="00127ACC"/>
    <w:rsid w:val="00127DBC"/>
    <w:rsid w:val="001303FB"/>
    <w:rsid w:val="00131589"/>
    <w:rsid w:val="00131BF6"/>
    <w:rsid w:val="00132EEF"/>
    <w:rsid w:val="0013342D"/>
    <w:rsid w:val="00133B95"/>
    <w:rsid w:val="00133BE8"/>
    <w:rsid w:val="001341F6"/>
    <w:rsid w:val="00134511"/>
    <w:rsid w:val="00134FD8"/>
    <w:rsid w:val="00137103"/>
    <w:rsid w:val="00137831"/>
    <w:rsid w:val="001406BC"/>
    <w:rsid w:val="0014134F"/>
    <w:rsid w:val="0014166C"/>
    <w:rsid w:val="00141B9B"/>
    <w:rsid w:val="00143696"/>
    <w:rsid w:val="00143F31"/>
    <w:rsid w:val="001440AD"/>
    <w:rsid w:val="00145220"/>
    <w:rsid w:val="0014522A"/>
    <w:rsid w:val="00146D1C"/>
    <w:rsid w:val="00150FA1"/>
    <w:rsid w:val="00152023"/>
    <w:rsid w:val="00153056"/>
    <w:rsid w:val="00153068"/>
    <w:rsid w:val="001534C9"/>
    <w:rsid w:val="001536BD"/>
    <w:rsid w:val="00153B1E"/>
    <w:rsid w:val="001545F0"/>
    <w:rsid w:val="00154983"/>
    <w:rsid w:val="0015608F"/>
    <w:rsid w:val="0015682E"/>
    <w:rsid w:val="001568C8"/>
    <w:rsid w:val="00156A0A"/>
    <w:rsid w:val="00156AB1"/>
    <w:rsid w:val="0015733B"/>
    <w:rsid w:val="001573D8"/>
    <w:rsid w:val="001578B1"/>
    <w:rsid w:val="00162071"/>
    <w:rsid w:val="00162C1C"/>
    <w:rsid w:val="00162D4C"/>
    <w:rsid w:val="00163F04"/>
    <w:rsid w:val="00165BAF"/>
    <w:rsid w:val="00166043"/>
    <w:rsid w:val="001663DD"/>
    <w:rsid w:val="001673F5"/>
    <w:rsid w:val="001674C4"/>
    <w:rsid w:val="00167CFD"/>
    <w:rsid w:val="00170200"/>
    <w:rsid w:val="00170BD7"/>
    <w:rsid w:val="00170EF4"/>
    <w:rsid w:val="00171060"/>
    <w:rsid w:val="00171BDD"/>
    <w:rsid w:val="00173E12"/>
    <w:rsid w:val="0017485D"/>
    <w:rsid w:val="00174A43"/>
    <w:rsid w:val="001756BF"/>
    <w:rsid w:val="001757CB"/>
    <w:rsid w:val="001762E6"/>
    <w:rsid w:val="001766F7"/>
    <w:rsid w:val="001773C5"/>
    <w:rsid w:val="00177B62"/>
    <w:rsid w:val="00177F69"/>
    <w:rsid w:val="00180B4C"/>
    <w:rsid w:val="00180D45"/>
    <w:rsid w:val="00180FD4"/>
    <w:rsid w:val="001820DC"/>
    <w:rsid w:val="00182109"/>
    <w:rsid w:val="00182971"/>
    <w:rsid w:val="0018352E"/>
    <w:rsid w:val="001860C8"/>
    <w:rsid w:val="00186572"/>
    <w:rsid w:val="0018682C"/>
    <w:rsid w:val="00190139"/>
    <w:rsid w:val="0019093D"/>
    <w:rsid w:val="00191BF2"/>
    <w:rsid w:val="00191C90"/>
    <w:rsid w:val="001927E5"/>
    <w:rsid w:val="00192B2D"/>
    <w:rsid w:val="00193A1A"/>
    <w:rsid w:val="00193F37"/>
    <w:rsid w:val="0019513D"/>
    <w:rsid w:val="0019528E"/>
    <w:rsid w:val="00195B0B"/>
    <w:rsid w:val="00195BF7"/>
    <w:rsid w:val="0019651D"/>
    <w:rsid w:val="00196D2C"/>
    <w:rsid w:val="001A22B0"/>
    <w:rsid w:val="001A28C3"/>
    <w:rsid w:val="001A3D7D"/>
    <w:rsid w:val="001A3E76"/>
    <w:rsid w:val="001A457E"/>
    <w:rsid w:val="001A4698"/>
    <w:rsid w:val="001A4E3D"/>
    <w:rsid w:val="001A53DD"/>
    <w:rsid w:val="001A55BC"/>
    <w:rsid w:val="001A5B51"/>
    <w:rsid w:val="001A6AFC"/>
    <w:rsid w:val="001A6CC2"/>
    <w:rsid w:val="001A6E0E"/>
    <w:rsid w:val="001A77AE"/>
    <w:rsid w:val="001A79AA"/>
    <w:rsid w:val="001A7E00"/>
    <w:rsid w:val="001B1682"/>
    <w:rsid w:val="001B1A94"/>
    <w:rsid w:val="001B1D9A"/>
    <w:rsid w:val="001B1DFD"/>
    <w:rsid w:val="001B1EB3"/>
    <w:rsid w:val="001B2080"/>
    <w:rsid w:val="001B24B5"/>
    <w:rsid w:val="001B2961"/>
    <w:rsid w:val="001B37BA"/>
    <w:rsid w:val="001B40A2"/>
    <w:rsid w:val="001B4FC5"/>
    <w:rsid w:val="001B5438"/>
    <w:rsid w:val="001B65CA"/>
    <w:rsid w:val="001B694D"/>
    <w:rsid w:val="001B69E2"/>
    <w:rsid w:val="001B6CA1"/>
    <w:rsid w:val="001B772E"/>
    <w:rsid w:val="001B79E7"/>
    <w:rsid w:val="001C0F6C"/>
    <w:rsid w:val="001C1239"/>
    <w:rsid w:val="001C130A"/>
    <w:rsid w:val="001C1BEA"/>
    <w:rsid w:val="001C2D23"/>
    <w:rsid w:val="001C2E56"/>
    <w:rsid w:val="001C3708"/>
    <w:rsid w:val="001C39BF"/>
    <w:rsid w:val="001C4253"/>
    <w:rsid w:val="001C4AFE"/>
    <w:rsid w:val="001C4DF1"/>
    <w:rsid w:val="001C54FE"/>
    <w:rsid w:val="001C7102"/>
    <w:rsid w:val="001C76B8"/>
    <w:rsid w:val="001C7FEF"/>
    <w:rsid w:val="001D0069"/>
    <w:rsid w:val="001D049E"/>
    <w:rsid w:val="001D10DC"/>
    <w:rsid w:val="001D3605"/>
    <w:rsid w:val="001D4569"/>
    <w:rsid w:val="001D4C97"/>
    <w:rsid w:val="001D4C9E"/>
    <w:rsid w:val="001D564E"/>
    <w:rsid w:val="001D5CF0"/>
    <w:rsid w:val="001D6049"/>
    <w:rsid w:val="001D642C"/>
    <w:rsid w:val="001D7E0D"/>
    <w:rsid w:val="001E1412"/>
    <w:rsid w:val="001E1414"/>
    <w:rsid w:val="001E3D70"/>
    <w:rsid w:val="001E48F9"/>
    <w:rsid w:val="001E497D"/>
    <w:rsid w:val="001E4AD7"/>
    <w:rsid w:val="001E4CB1"/>
    <w:rsid w:val="001E58F7"/>
    <w:rsid w:val="001E5C57"/>
    <w:rsid w:val="001E5EF1"/>
    <w:rsid w:val="001E6006"/>
    <w:rsid w:val="001E61B4"/>
    <w:rsid w:val="001E6D09"/>
    <w:rsid w:val="001E725B"/>
    <w:rsid w:val="001E7C32"/>
    <w:rsid w:val="001E7D2C"/>
    <w:rsid w:val="001F080D"/>
    <w:rsid w:val="001F1E96"/>
    <w:rsid w:val="001F1FD9"/>
    <w:rsid w:val="001F2F79"/>
    <w:rsid w:val="001F3AFF"/>
    <w:rsid w:val="001F430B"/>
    <w:rsid w:val="001F455E"/>
    <w:rsid w:val="001F4ADD"/>
    <w:rsid w:val="001F57C5"/>
    <w:rsid w:val="001F5D96"/>
    <w:rsid w:val="001F6230"/>
    <w:rsid w:val="001F7A51"/>
    <w:rsid w:val="001F7AB8"/>
    <w:rsid w:val="001F7C72"/>
    <w:rsid w:val="001F7F37"/>
    <w:rsid w:val="002004AA"/>
    <w:rsid w:val="00200576"/>
    <w:rsid w:val="00201690"/>
    <w:rsid w:val="002018BA"/>
    <w:rsid w:val="00201EED"/>
    <w:rsid w:val="00201F18"/>
    <w:rsid w:val="00202C09"/>
    <w:rsid w:val="00203843"/>
    <w:rsid w:val="00204C88"/>
    <w:rsid w:val="00204C8D"/>
    <w:rsid w:val="00205EB6"/>
    <w:rsid w:val="00206BD8"/>
    <w:rsid w:val="0021246A"/>
    <w:rsid w:val="00212F16"/>
    <w:rsid w:val="00214B8F"/>
    <w:rsid w:val="00215C7E"/>
    <w:rsid w:val="00216D74"/>
    <w:rsid w:val="00216E2E"/>
    <w:rsid w:val="00217291"/>
    <w:rsid w:val="00217672"/>
    <w:rsid w:val="00217788"/>
    <w:rsid w:val="00221E03"/>
    <w:rsid w:val="00222355"/>
    <w:rsid w:val="00222455"/>
    <w:rsid w:val="0022260E"/>
    <w:rsid w:val="002228C3"/>
    <w:rsid w:val="00222F76"/>
    <w:rsid w:val="0022379E"/>
    <w:rsid w:val="00223CE8"/>
    <w:rsid w:val="00224B84"/>
    <w:rsid w:val="002256AF"/>
    <w:rsid w:val="00225A90"/>
    <w:rsid w:val="00225BA2"/>
    <w:rsid w:val="00225C0A"/>
    <w:rsid w:val="002263CB"/>
    <w:rsid w:val="00226434"/>
    <w:rsid w:val="0022676A"/>
    <w:rsid w:val="00226C4B"/>
    <w:rsid w:val="00226F34"/>
    <w:rsid w:val="0022700B"/>
    <w:rsid w:val="002276C3"/>
    <w:rsid w:val="00227DBE"/>
    <w:rsid w:val="002306F2"/>
    <w:rsid w:val="00231E78"/>
    <w:rsid w:val="00232C74"/>
    <w:rsid w:val="00233981"/>
    <w:rsid w:val="0023427D"/>
    <w:rsid w:val="0023453F"/>
    <w:rsid w:val="00234922"/>
    <w:rsid w:val="00234FE2"/>
    <w:rsid w:val="002350DF"/>
    <w:rsid w:val="00235242"/>
    <w:rsid w:val="00235327"/>
    <w:rsid w:val="00235B33"/>
    <w:rsid w:val="00237090"/>
    <w:rsid w:val="002376CC"/>
    <w:rsid w:val="00237C29"/>
    <w:rsid w:val="002408AF"/>
    <w:rsid w:val="00240FBD"/>
    <w:rsid w:val="00241401"/>
    <w:rsid w:val="0024193C"/>
    <w:rsid w:val="00241FCB"/>
    <w:rsid w:val="002422BE"/>
    <w:rsid w:val="00242659"/>
    <w:rsid w:val="0024275F"/>
    <w:rsid w:val="002428B2"/>
    <w:rsid w:val="00242CF5"/>
    <w:rsid w:val="002430A8"/>
    <w:rsid w:val="00243240"/>
    <w:rsid w:val="00244011"/>
    <w:rsid w:val="002443A7"/>
    <w:rsid w:val="00245FD0"/>
    <w:rsid w:val="00245FF5"/>
    <w:rsid w:val="00246358"/>
    <w:rsid w:val="002464FC"/>
    <w:rsid w:val="00246DE6"/>
    <w:rsid w:val="002472B1"/>
    <w:rsid w:val="00250BD0"/>
    <w:rsid w:val="00251107"/>
    <w:rsid w:val="00252041"/>
    <w:rsid w:val="0025262D"/>
    <w:rsid w:val="002527F4"/>
    <w:rsid w:val="002530EE"/>
    <w:rsid w:val="00253FDC"/>
    <w:rsid w:val="0025425F"/>
    <w:rsid w:val="0025474B"/>
    <w:rsid w:val="00254901"/>
    <w:rsid w:val="00254BA8"/>
    <w:rsid w:val="00254BBE"/>
    <w:rsid w:val="00254C78"/>
    <w:rsid w:val="002563DD"/>
    <w:rsid w:val="002564CF"/>
    <w:rsid w:val="002573ED"/>
    <w:rsid w:val="00257B58"/>
    <w:rsid w:val="00260894"/>
    <w:rsid w:val="002610B7"/>
    <w:rsid w:val="00261419"/>
    <w:rsid w:val="00261514"/>
    <w:rsid w:val="00261A11"/>
    <w:rsid w:val="00261A28"/>
    <w:rsid w:val="0026246D"/>
    <w:rsid w:val="0026330A"/>
    <w:rsid w:val="002634E5"/>
    <w:rsid w:val="00264067"/>
    <w:rsid w:val="002647D4"/>
    <w:rsid w:val="00265689"/>
    <w:rsid w:val="00266BD0"/>
    <w:rsid w:val="0026727F"/>
    <w:rsid w:val="00267756"/>
    <w:rsid w:val="0027078C"/>
    <w:rsid w:val="0027131D"/>
    <w:rsid w:val="00271789"/>
    <w:rsid w:val="002734FD"/>
    <w:rsid w:val="00274AF1"/>
    <w:rsid w:val="00274D58"/>
    <w:rsid w:val="002756FA"/>
    <w:rsid w:val="0027606D"/>
    <w:rsid w:val="00277317"/>
    <w:rsid w:val="002806FD"/>
    <w:rsid w:val="002809F2"/>
    <w:rsid w:val="00280D37"/>
    <w:rsid w:val="00281006"/>
    <w:rsid w:val="00281175"/>
    <w:rsid w:val="0028143F"/>
    <w:rsid w:val="0028148F"/>
    <w:rsid w:val="00281B43"/>
    <w:rsid w:val="00282497"/>
    <w:rsid w:val="00282751"/>
    <w:rsid w:val="00282B58"/>
    <w:rsid w:val="0028364C"/>
    <w:rsid w:val="00283B53"/>
    <w:rsid w:val="0028411C"/>
    <w:rsid w:val="002849CA"/>
    <w:rsid w:val="0028564D"/>
    <w:rsid w:val="00285D40"/>
    <w:rsid w:val="00286FCA"/>
    <w:rsid w:val="002872C9"/>
    <w:rsid w:val="00290750"/>
    <w:rsid w:val="002919CC"/>
    <w:rsid w:val="00291BDB"/>
    <w:rsid w:val="00291BEC"/>
    <w:rsid w:val="00293369"/>
    <w:rsid w:val="00293A32"/>
    <w:rsid w:val="00294889"/>
    <w:rsid w:val="0029506D"/>
    <w:rsid w:val="002960A0"/>
    <w:rsid w:val="002966D9"/>
    <w:rsid w:val="002977BB"/>
    <w:rsid w:val="0029786A"/>
    <w:rsid w:val="002A0180"/>
    <w:rsid w:val="002A1D33"/>
    <w:rsid w:val="002A2BCB"/>
    <w:rsid w:val="002A31EA"/>
    <w:rsid w:val="002A3535"/>
    <w:rsid w:val="002A4054"/>
    <w:rsid w:val="002A4949"/>
    <w:rsid w:val="002A4C3B"/>
    <w:rsid w:val="002A4E2D"/>
    <w:rsid w:val="002A4E47"/>
    <w:rsid w:val="002A5945"/>
    <w:rsid w:val="002A5BC8"/>
    <w:rsid w:val="002A5D46"/>
    <w:rsid w:val="002A77F3"/>
    <w:rsid w:val="002A7BD3"/>
    <w:rsid w:val="002A7D64"/>
    <w:rsid w:val="002A7FAE"/>
    <w:rsid w:val="002B05DE"/>
    <w:rsid w:val="002B087C"/>
    <w:rsid w:val="002B0983"/>
    <w:rsid w:val="002B0C39"/>
    <w:rsid w:val="002B1472"/>
    <w:rsid w:val="002B197D"/>
    <w:rsid w:val="002B1D3F"/>
    <w:rsid w:val="002B28BB"/>
    <w:rsid w:val="002B2D2E"/>
    <w:rsid w:val="002B2F45"/>
    <w:rsid w:val="002B36DC"/>
    <w:rsid w:val="002B3D27"/>
    <w:rsid w:val="002B3E8B"/>
    <w:rsid w:val="002B3FFC"/>
    <w:rsid w:val="002B40E8"/>
    <w:rsid w:val="002B5A64"/>
    <w:rsid w:val="002B5EEB"/>
    <w:rsid w:val="002B63D5"/>
    <w:rsid w:val="002B65F6"/>
    <w:rsid w:val="002B7865"/>
    <w:rsid w:val="002C0562"/>
    <w:rsid w:val="002C0DD0"/>
    <w:rsid w:val="002C155B"/>
    <w:rsid w:val="002C1567"/>
    <w:rsid w:val="002C1CB2"/>
    <w:rsid w:val="002C265D"/>
    <w:rsid w:val="002C30DB"/>
    <w:rsid w:val="002C37D8"/>
    <w:rsid w:val="002C37E1"/>
    <w:rsid w:val="002C3BD1"/>
    <w:rsid w:val="002C53D3"/>
    <w:rsid w:val="002C5B36"/>
    <w:rsid w:val="002C5F30"/>
    <w:rsid w:val="002C60B8"/>
    <w:rsid w:val="002C61A4"/>
    <w:rsid w:val="002C6BC9"/>
    <w:rsid w:val="002C7003"/>
    <w:rsid w:val="002C719B"/>
    <w:rsid w:val="002D02CD"/>
    <w:rsid w:val="002D0600"/>
    <w:rsid w:val="002D0757"/>
    <w:rsid w:val="002D0982"/>
    <w:rsid w:val="002D1013"/>
    <w:rsid w:val="002D2628"/>
    <w:rsid w:val="002D2AA8"/>
    <w:rsid w:val="002D2B7A"/>
    <w:rsid w:val="002D426A"/>
    <w:rsid w:val="002D453F"/>
    <w:rsid w:val="002E1170"/>
    <w:rsid w:val="002E126E"/>
    <w:rsid w:val="002E163A"/>
    <w:rsid w:val="002E1C01"/>
    <w:rsid w:val="002E2063"/>
    <w:rsid w:val="002E220E"/>
    <w:rsid w:val="002E29CC"/>
    <w:rsid w:val="002E2A38"/>
    <w:rsid w:val="002E2A39"/>
    <w:rsid w:val="002E2DEA"/>
    <w:rsid w:val="002E31A5"/>
    <w:rsid w:val="002E3B89"/>
    <w:rsid w:val="002E55F1"/>
    <w:rsid w:val="002E5F32"/>
    <w:rsid w:val="002E629B"/>
    <w:rsid w:val="002E7475"/>
    <w:rsid w:val="002F0009"/>
    <w:rsid w:val="002F026E"/>
    <w:rsid w:val="002F1EA1"/>
    <w:rsid w:val="002F26FC"/>
    <w:rsid w:val="002F2A63"/>
    <w:rsid w:val="002F2BA3"/>
    <w:rsid w:val="002F2E73"/>
    <w:rsid w:val="002F411D"/>
    <w:rsid w:val="002F453C"/>
    <w:rsid w:val="002F4C58"/>
    <w:rsid w:val="002F51EA"/>
    <w:rsid w:val="002F5C68"/>
    <w:rsid w:val="002F6470"/>
    <w:rsid w:val="002F6A89"/>
    <w:rsid w:val="002F764E"/>
    <w:rsid w:val="0030053E"/>
    <w:rsid w:val="00300821"/>
    <w:rsid w:val="00300C22"/>
    <w:rsid w:val="003011EF"/>
    <w:rsid w:val="00301467"/>
    <w:rsid w:val="00301522"/>
    <w:rsid w:val="00301D07"/>
    <w:rsid w:val="0030265D"/>
    <w:rsid w:val="00302BD7"/>
    <w:rsid w:val="0030313F"/>
    <w:rsid w:val="00304052"/>
    <w:rsid w:val="00304075"/>
    <w:rsid w:val="00304677"/>
    <w:rsid w:val="0030472B"/>
    <w:rsid w:val="00304838"/>
    <w:rsid w:val="00305491"/>
    <w:rsid w:val="003054BF"/>
    <w:rsid w:val="003059E6"/>
    <w:rsid w:val="00305A7A"/>
    <w:rsid w:val="00305D1E"/>
    <w:rsid w:val="003065A2"/>
    <w:rsid w:val="003074DE"/>
    <w:rsid w:val="003108A6"/>
    <w:rsid w:val="00310B81"/>
    <w:rsid w:val="00310D92"/>
    <w:rsid w:val="0031132A"/>
    <w:rsid w:val="0031199D"/>
    <w:rsid w:val="00312AFD"/>
    <w:rsid w:val="003135F6"/>
    <w:rsid w:val="00313CB8"/>
    <w:rsid w:val="00314245"/>
    <w:rsid w:val="00316053"/>
    <w:rsid w:val="0031656B"/>
    <w:rsid w:val="003203C2"/>
    <w:rsid w:val="003203EF"/>
    <w:rsid w:val="00321404"/>
    <w:rsid w:val="00321CE3"/>
    <w:rsid w:val="00321E5D"/>
    <w:rsid w:val="003226B2"/>
    <w:rsid w:val="00322902"/>
    <w:rsid w:val="00322E0C"/>
    <w:rsid w:val="00322F30"/>
    <w:rsid w:val="00323031"/>
    <w:rsid w:val="00323318"/>
    <w:rsid w:val="00323622"/>
    <w:rsid w:val="0032369E"/>
    <w:rsid w:val="00324231"/>
    <w:rsid w:val="003244AF"/>
    <w:rsid w:val="00324CB5"/>
    <w:rsid w:val="003250A6"/>
    <w:rsid w:val="00326AB0"/>
    <w:rsid w:val="00327F1C"/>
    <w:rsid w:val="00330663"/>
    <w:rsid w:val="003308DC"/>
    <w:rsid w:val="00330D7A"/>
    <w:rsid w:val="00331822"/>
    <w:rsid w:val="00332137"/>
    <w:rsid w:val="00332196"/>
    <w:rsid w:val="003325C1"/>
    <w:rsid w:val="0033338C"/>
    <w:rsid w:val="003353DE"/>
    <w:rsid w:val="0033540F"/>
    <w:rsid w:val="00335570"/>
    <w:rsid w:val="00335EDA"/>
    <w:rsid w:val="003367D2"/>
    <w:rsid w:val="00336843"/>
    <w:rsid w:val="00336E92"/>
    <w:rsid w:val="00337099"/>
    <w:rsid w:val="00337A1D"/>
    <w:rsid w:val="003407B9"/>
    <w:rsid w:val="00341128"/>
    <w:rsid w:val="00341AB3"/>
    <w:rsid w:val="00341C2C"/>
    <w:rsid w:val="0034258D"/>
    <w:rsid w:val="00342D59"/>
    <w:rsid w:val="00342F0E"/>
    <w:rsid w:val="003435EB"/>
    <w:rsid w:val="0034361E"/>
    <w:rsid w:val="00344DF7"/>
    <w:rsid w:val="00345745"/>
    <w:rsid w:val="0034614A"/>
    <w:rsid w:val="00347534"/>
    <w:rsid w:val="00347E4F"/>
    <w:rsid w:val="00350382"/>
    <w:rsid w:val="0035071E"/>
    <w:rsid w:val="003508E6"/>
    <w:rsid w:val="0035125A"/>
    <w:rsid w:val="00351D25"/>
    <w:rsid w:val="00351D9B"/>
    <w:rsid w:val="00353EDE"/>
    <w:rsid w:val="003553C2"/>
    <w:rsid w:val="0035580C"/>
    <w:rsid w:val="00356787"/>
    <w:rsid w:val="003579FB"/>
    <w:rsid w:val="003603EC"/>
    <w:rsid w:val="00360B4B"/>
    <w:rsid w:val="00361159"/>
    <w:rsid w:val="00362F89"/>
    <w:rsid w:val="00363E3D"/>
    <w:rsid w:val="003645CB"/>
    <w:rsid w:val="00364E23"/>
    <w:rsid w:val="003650AA"/>
    <w:rsid w:val="00365596"/>
    <w:rsid w:val="0036560D"/>
    <w:rsid w:val="00366882"/>
    <w:rsid w:val="003678DF"/>
    <w:rsid w:val="00367E0C"/>
    <w:rsid w:val="0037032D"/>
    <w:rsid w:val="00370F62"/>
    <w:rsid w:val="00371224"/>
    <w:rsid w:val="0037191C"/>
    <w:rsid w:val="00371B19"/>
    <w:rsid w:val="00371C3E"/>
    <w:rsid w:val="0037201D"/>
    <w:rsid w:val="00372698"/>
    <w:rsid w:val="00372924"/>
    <w:rsid w:val="00372ACB"/>
    <w:rsid w:val="00372E0F"/>
    <w:rsid w:val="0037360F"/>
    <w:rsid w:val="00373A9E"/>
    <w:rsid w:val="003744B1"/>
    <w:rsid w:val="0037512A"/>
    <w:rsid w:val="00375662"/>
    <w:rsid w:val="00375F18"/>
    <w:rsid w:val="0037638A"/>
    <w:rsid w:val="003768DB"/>
    <w:rsid w:val="00377804"/>
    <w:rsid w:val="00377AEB"/>
    <w:rsid w:val="00380720"/>
    <w:rsid w:val="00381FAB"/>
    <w:rsid w:val="0038204D"/>
    <w:rsid w:val="003821F9"/>
    <w:rsid w:val="003824BB"/>
    <w:rsid w:val="00382AD9"/>
    <w:rsid w:val="00383AD1"/>
    <w:rsid w:val="00383D01"/>
    <w:rsid w:val="00383F6A"/>
    <w:rsid w:val="003846F9"/>
    <w:rsid w:val="0038514C"/>
    <w:rsid w:val="0038626E"/>
    <w:rsid w:val="00386843"/>
    <w:rsid w:val="00386E06"/>
    <w:rsid w:val="003870AB"/>
    <w:rsid w:val="00387117"/>
    <w:rsid w:val="003906DF"/>
    <w:rsid w:val="003910D5"/>
    <w:rsid w:val="00391304"/>
    <w:rsid w:val="00392391"/>
    <w:rsid w:val="003930EB"/>
    <w:rsid w:val="00393EF1"/>
    <w:rsid w:val="0039574E"/>
    <w:rsid w:val="00395EC3"/>
    <w:rsid w:val="00396F91"/>
    <w:rsid w:val="003971F7"/>
    <w:rsid w:val="003976A1"/>
    <w:rsid w:val="003A16E7"/>
    <w:rsid w:val="003A1F45"/>
    <w:rsid w:val="003A2D27"/>
    <w:rsid w:val="003A40C2"/>
    <w:rsid w:val="003A481E"/>
    <w:rsid w:val="003A48C5"/>
    <w:rsid w:val="003A4BC6"/>
    <w:rsid w:val="003A69D0"/>
    <w:rsid w:val="003A766D"/>
    <w:rsid w:val="003A7A7F"/>
    <w:rsid w:val="003A7B9B"/>
    <w:rsid w:val="003B0773"/>
    <w:rsid w:val="003B079A"/>
    <w:rsid w:val="003B2D09"/>
    <w:rsid w:val="003B44F2"/>
    <w:rsid w:val="003B4762"/>
    <w:rsid w:val="003B498D"/>
    <w:rsid w:val="003B55E7"/>
    <w:rsid w:val="003B6500"/>
    <w:rsid w:val="003B688F"/>
    <w:rsid w:val="003B7A83"/>
    <w:rsid w:val="003B7DB4"/>
    <w:rsid w:val="003C02E2"/>
    <w:rsid w:val="003C0558"/>
    <w:rsid w:val="003C12B2"/>
    <w:rsid w:val="003C12D3"/>
    <w:rsid w:val="003C14A2"/>
    <w:rsid w:val="003C1FFB"/>
    <w:rsid w:val="003C3477"/>
    <w:rsid w:val="003C3B37"/>
    <w:rsid w:val="003C40EF"/>
    <w:rsid w:val="003C4B0A"/>
    <w:rsid w:val="003C5EA7"/>
    <w:rsid w:val="003C5F44"/>
    <w:rsid w:val="003C69D7"/>
    <w:rsid w:val="003C6F13"/>
    <w:rsid w:val="003C731F"/>
    <w:rsid w:val="003D019E"/>
    <w:rsid w:val="003D0AC5"/>
    <w:rsid w:val="003D0F4C"/>
    <w:rsid w:val="003D1EC9"/>
    <w:rsid w:val="003D2740"/>
    <w:rsid w:val="003D2758"/>
    <w:rsid w:val="003D344E"/>
    <w:rsid w:val="003D3C7A"/>
    <w:rsid w:val="003D3C9E"/>
    <w:rsid w:val="003D3D7E"/>
    <w:rsid w:val="003D3EF5"/>
    <w:rsid w:val="003D5246"/>
    <w:rsid w:val="003D5E52"/>
    <w:rsid w:val="003D6890"/>
    <w:rsid w:val="003D6F91"/>
    <w:rsid w:val="003D7883"/>
    <w:rsid w:val="003D78AC"/>
    <w:rsid w:val="003D7FFA"/>
    <w:rsid w:val="003E0D88"/>
    <w:rsid w:val="003E0E07"/>
    <w:rsid w:val="003E0FD7"/>
    <w:rsid w:val="003E1582"/>
    <w:rsid w:val="003E1C1F"/>
    <w:rsid w:val="003E32EA"/>
    <w:rsid w:val="003E3AF5"/>
    <w:rsid w:val="003E457A"/>
    <w:rsid w:val="003E4FC6"/>
    <w:rsid w:val="003E5831"/>
    <w:rsid w:val="003E5AD9"/>
    <w:rsid w:val="003E6891"/>
    <w:rsid w:val="003E7311"/>
    <w:rsid w:val="003E75A6"/>
    <w:rsid w:val="003E78BA"/>
    <w:rsid w:val="003E7DDB"/>
    <w:rsid w:val="003F029A"/>
    <w:rsid w:val="003F1662"/>
    <w:rsid w:val="003F3480"/>
    <w:rsid w:val="003F3BA3"/>
    <w:rsid w:val="003F3C3B"/>
    <w:rsid w:val="003F3CD7"/>
    <w:rsid w:val="003F4688"/>
    <w:rsid w:val="003F492E"/>
    <w:rsid w:val="003F4951"/>
    <w:rsid w:val="003F526E"/>
    <w:rsid w:val="003F6949"/>
    <w:rsid w:val="0040194D"/>
    <w:rsid w:val="00401C63"/>
    <w:rsid w:val="004024A9"/>
    <w:rsid w:val="00402BFC"/>
    <w:rsid w:val="0040313C"/>
    <w:rsid w:val="004046B5"/>
    <w:rsid w:val="00404ACD"/>
    <w:rsid w:val="00404D6F"/>
    <w:rsid w:val="004061C8"/>
    <w:rsid w:val="0040737C"/>
    <w:rsid w:val="0040774E"/>
    <w:rsid w:val="00410254"/>
    <w:rsid w:val="00410C94"/>
    <w:rsid w:val="004112AB"/>
    <w:rsid w:val="00411A52"/>
    <w:rsid w:val="00412159"/>
    <w:rsid w:val="00412A8F"/>
    <w:rsid w:val="00412FB4"/>
    <w:rsid w:val="00413216"/>
    <w:rsid w:val="00413C45"/>
    <w:rsid w:val="00413F9B"/>
    <w:rsid w:val="0041417C"/>
    <w:rsid w:val="004142D4"/>
    <w:rsid w:val="004147AD"/>
    <w:rsid w:val="004147C2"/>
    <w:rsid w:val="00415038"/>
    <w:rsid w:val="004153F6"/>
    <w:rsid w:val="0041583B"/>
    <w:rsid w:val="00415F67"/>
    <w:rsid w:val="00416506"/>
    <w:rsid w:val="00416876"/>
    <w:rsid w:val="004169FD"/>
    <w:rsid w:val="00416B3C"/>
    <w:rsid w:val="00417DFC"/>
    <w:rsid w:val="00417E84"/>
    <w:rsid w:val="00417F8F"/>
    <w:rsid w:val="004210D0"/>
    <w:rsid w:val="004219A0"/>
    <w:rsid w:val="00421B66"/>
    <w:rsid w:val="004220F0"/>
    <w:rsid w:val="00422191"/>
    <w:rsid w:val="004223BA"/>
    <w:rsid w:val="004223C3"/>
    <w:rsid w:val="0042456E"/>
    <w:rsid w:val="004245B1"/>
    <w:rsid w:val="00424A23"/>
    <w:rsid w:val="00424A90"/>
    <w:rsid w:val="00424E22"/>
    <w:rsid w:val="004261DE"/>
    <w:rsid w:val="00427A66"/>
    <w:rsid w:val="00427F46"/>
    <w:rsid w:val="0043047D"/>
    <w:rsid w:val="00431E72"/>
    <w:rsid w:val="00432B29"/>
    <w:rsid w:val="004334BE"/>
    <w:rsid w:val="00434188"/>
    <w:rsid w:val="00434564"/>
    <w:rsid w:val="00434E83"/>
    <w:rsid w:val="0043541B"/>
    <w:rsid w:val="00436958"/>
    <w:rsid w:val="00436BE3"/>
    <w:rsid w:val="00441ADD"/>
    <w:rsid w:val="0044340B"/>
    <w:rsid w:val="00444DA8"/>
    <w:rsid w:val="0044522C"/>
    <w:rsid w:val="00445519"/>
    <w:rsid w:val="0044676B"/>
    <w:rsid w:val="00446E1A"/>
    <w:rsid w:val="00447362"/>
    <w:rsid w:val="00447502"/>
    <w:rsid w:val="00447598"/>
    <w:rsid w:val="00447FB6"/>
    <w:rsid w:val="00450A8D"/>
    <w:rsid w:val="00450C09"/>
    <w:rsid w:val="0045264D"/>
    <w:rsid w:val="00453912"/>
    <w:rsid w:val="00454936"/>
    <w:rsid w:val="00455437"/>
    <w:rsid w:val="00455655"/>
    <w:rsid w:val="00456874"/>
    <w:rsid w:val="004569C3"/>
    <w:rsid w:val="00457B71"/>
    <w:rsid w:val="00457E34"/>
    <w:rsid w:val="004607E6"/>
    <w:rsid w:val="00460A0B"/>
    <w:rsid w:val="0046182C"/>
    <w:rsid w:val="00461AB1"/>
    <w:rsid w:val="004624FB"/>
    <w:rsid w:val="00462DA7"/>
    <w:rsid w:val="0046502F"/>
    <w:rsid w:val="00465231"/>
    <w:rsid w:val="00465FDC"/>
    <w:rsid w:val="0046615D"/>
    <w:rsid w:val="0046646D"/>
    <w:rsid w:val="0047125F"/>
    <w:rsid w:val="004712FC"/>
    <w:rsid w:val="00471BFD"/>
    <w:rsid w:val="00471F60"/>
    <w:rsid w:val="00472D34"/>
    <w:rsid w:val="00473D9A"/>
    <w:rsid w:val="00473FC0"/>
    <w:rsid w:val="00473FDC"/>
    <w:rsid w:val="00474161"/>
    <w:rsid w:val="00475757"/>
    <w:rsid w:val="00475DF5"/>
    <w:rsid w:val="00475ED8"/>
    <w:rsid w:val="0047633F"/>
    <w:rsid w:val="00476559"/>
    <w:rsid w:val="004771BA"/>
    <w:rsid w:val="004776BC"/>
    <w:rsid w:val="00477739"/>
    <w:rsid w:val="00477F57"/>
    <w:rsid w:val="0048064D"/>
    <w:rsid w:val="00481906"/>
    <w:rsid w:val="00481E0C"/>
    <w:rsid w:val="00481F35"/>
    <w:rsid w:val="0048212D"/>
    <w:rsid w:val="00482A17"/>
    <w:rsid w:val="0048362E"/>
    <w:rsid w:val="00483862"/>
    <w:rsid w:val="00483C52"/>
    <w:rsid w:val="00485005"/>
    <w:rsid w:val="0048511C"/>
    <w:rsid w:val="00485302"/>
    <w:rsid w:val="004856C9"/>
    <w:rsid w:val="0048719E"/>
    <w:rsid w:val="00490DD9"/>
    <w:rsid w:val="004911D4"/>
    <w:rsid w:val="0049160A"/>
    <w:rsid w:val="004926B8"/>
    <w:rsid w:val="00492F89"/>
    <w:rsid w:val="00493433"/>
    <w:rsid w:val="00493798"/>
    <w:rsid w:val="00494281"/>
    <w:rsid w:val="00494B35"/>
    <w:rsid w:val="00494E67"/>
    <w:rsid w:val="004951C2"/>
    <w:rsid w:val="00495271"/>
    <w:rsid w:val="0049558E"/>
    <w:rsid w:val="00495EDD"/>
    <w:rsid w:val="004964FB"/>
    <w:rsid w:val="00496AF5"/>
    <w:rsid w:val="00497126"/>
    <w:rsid w:val="00497526"/>
    <w:rsid w:val="004979CC"/>
    <w:rsid w:val="00497C4C"/>
    <w:rsid w:val="00497EEE"/>
    <w:rsid w:val="004A0992"/>
    <w:rsid w:val="004A0E37"/>
    <w:rsid w:val="004A0F02"/>
    <w:rsid w:val="004A106B"/>
    <w:rsid w:val="004A13CF"/>
    <w:rsid w:val="004A1465"/>
    <w:rsid w:val="004A1A51"/>
    <w:rsid w:val="004A1B3C"/>
    <w:rsid w:val="004A323E"/>
    <w:rsid w:val="004A32C7"/>
    <w:rsid w:val="004A37C2"/>
    <w:rsid w:val="004A3A41"/>
    <w:rsid w:val="004A3B0E"/>
    <w:rsid w:val="004A41CF"/>
    <w:rsid w:val="004A422E"/>
    <w:rsid w:val="004A4C6E"/>
    <w:rsid w:val="004A5192"/>
    <w:rsid w:val="004A55B3"/>
    <w:rsid w:val="004A6939"/>
    <w:rsid w:val="004A6981"/>
    <w:rsid w:val="004A717B"/>
    <w:rsid w:val="004B06CE"/>
    <w:rsid w:val="004B0A08"/>
    <w:rsid w:val="004B1049"/>
    <w:rsid w:val="004B1072"/>
    <w:rsid w:val="004B13D4"/>
    <w:rsid w:val="004B13E8"/>
    <w:rsid w:val="004B16A8"/>
    <w:rsid w:val="004B1D41"/>
    <w:rsid w:val="004B23BF"/>
    <w:rsid w:val="004B25CD"/>
    <w:rsid w:val="004B25DD"/>
    <w:rsid w:val="004B47F4"/>
    <w:rsid w:val="004B4AAE"/>
    <w:rsid w:val="004B5252"/>
    <w:rsid w:val="004B5536"/>
    <w:rsid w:val="004B5DA0"/>
    <w:rsid w:val="004B6494"/>
    <w:rsid w:val="004C3BCA"/>
    <w:rsid w:val="004C4FC3"/>
    <w:rsid w:val="004C5297"/>
    <w:rsid w:val="004C547A"/>
    <w:rsid w:val="004C613D"/>
    <w:rsid w:val="004C754F"/>
    <w:rsid w:val="004C7EA3"/>
    <w:rsid w:val="004D0252"/>
    <w:rsid w:val="004D0462"/>
    <w:rsid w:val="004D2423"/>
    <w:rsid w:val="004D25D6"/>
    <w:rsid w:val="004D2C93"/>
    <w:rsid w:val="004D354A"/>
    <w:rsid w:val="004D3A1A"/>
    <w:rsid w:val="004D3F31"/>
    <w:rsid w:val="004D48EA"/>
    <w:rsid w:val="004D5331"/>
    <w:rsid w:val="004D539F"/>
    <w:rsid w:val="004D5788"/>
    <w:rsid w:val="004D5EDB"/>
    <w:rsid w:val="004D67EF"/>
    <w:rsid w:val="004D7290"/>
    <w:rsid w:val="004E171E"/>
    <w:rsid w:val="004E19B8"/>
    <w:rsid w:val="004E2B1D"/>
    <w:rsid w:val="004E4024"/>
    <w:rsid w:val="004E4B73"/>
    <w:rsid w:val="004E5094"/>
    <w:rsid w:val="004E61E5"/>
    <w:rsid w:val="004E70CF"/>
    <w:rsid w:val="004F1484"/>
    <w:rsid w:val="004F1CD9"/>
    <w:rsid w:val="004F266F"/>
    <w:rsid w:val="004F30CB"/>
    <w:rsid w:val="004F3789"/>
    <w:rsid w:val="004F3905"/>
    <w:rsid w:val="004F41E2"/>
    <w:rsid w:val="004F4B1E"/>
    <w:rsid w:val="004F5402"/>
    <w:rsid w:val="004F60C4"/>
    <w:rsid w:val="004F60DF"/>
    <w:rsid w:val="004F710D"/>
    <w:rsid w:val="004F75EF"/>
    <w:rsid w:val="005000CC"/>
    <w:rsid w:val="00501DCB"/>
    <w:rsid w:val="00501DEB"/>
    <w:rsid w:val="00502033"/>
    <w:rsid w:val="005045B1"/>
    <w:rsid w:val="005045DA"/>
    <w:rsid w:val="00504A5C"/>
    <w:rsid w:val="00506027"/>
    <w:rsid w:val="00506636"/>
    <w:rsid w:val="0050676A"/>
    <w:rsid w:val="005077D3"/>
    <w:rsid w:val="00507E6F"/>
    <w:rsid w:val="00510AC1"/>
    <w:rsid w:val="00510C57"/>
    <w:rsid w:val="00511207"/>
    <w:rsid w:val="0051203A"/>
    <w:rsid w:val="0051217C"/>
    <w:rsid w:val="005126E3"/>
    <w:rsid w:val="00513125"/>
    <w:rsid w:val="00513482"/>
    <w:rsid w:val="00513714"/>
    <w:rsid w:val="00513802"/>
    <w:rsid w:val="00513DAC"/>
    <w:rsid w:val="00514983"/>
    <w:rsid w:val="00515018"/>
    <w:rsid w:val="00516471"/>
    <w:rsid w:val="005174B1"/>
    <w:rsid w:val="0051781B"/>
    <w:rsid w:val="00520495"/>
    <w:rsid w:val="005204BB"/>
    <w:rsid w:val="00520F2E"/>
    <w:rsid w:val="0052212B"/>
    <w:rsid w:val="0052268A"/>
    <w:rsid w:val="00523380"/>
    <w:rsid w:val="005243F7"/>
    <w:rsid w:val="00525F99"/>
    <w:rsid w:val="00526437"/>
    <w:rsid w:val="005264DA"/>
    <w:rsid w:val="00526925"/>
    <w:rsid w:val="00526B5E"/>
    <w:rsid w:val="00526EE8"/>
    <w:rsid w:val="00527855"/>
    <w:rsid w:val="00530BEB"/>
    <w:rsid w:val="005324A6"/>
    <w:rsid w:val="005339A9"/>
    <w:rsid w:val="00533D4B"/>
    <w:rsid w:val="00534E1F"/>
    <w:rsid w:val="005361B6"/>
    <w:rsid w:val="00537EA8"/>
    <w:rsid w:val="005409F7"/>
    <w:rsid w:val="00540B3A"/>
    <w:rsid w:val="00542430"/>
    <w:rsid w:val="00542C00"/>
    <w:rsid w:val="005435DF"/>
    <w:rsid w:val="00543722"/>
    <w:rsid w:val="005442AB"/>
    <w:rsid w:val="00544EC6"/>
    <w:rsid w:val="00545988"/>
    <w:rsid w:val="00546148"/>
    <w:rsid w:val="0054636C"/>
    <w:rsid w:val="00546937"/>
    <w:rsid w:val="00546B55"/>
    <w:rsid w:val="005473EC"/>
    <w:rsid w:val="00547499"/>
    <w:rsid w:val="00550BB4"/>
    <w:rsid w:val="00550C0C"/>
    <w:rsid w:val="00550E73"/>
    <w:rsid w:val="0055166A"/>
    <w:rsid w:val="005519BB"/>
    <w:rsid w:val="00552B84"/>
    <w:rsid w:val="00552C0E"/>
    <w:rsid w:val="00552C67"/>
    <w:rsid w:val="0055333A"/>
    <w:rsid w:val="005533EB"/>
    <w:rsid w:val="00553B98"/>
    <w:rsid w:val="00554B0E"/>
    <w:rsid w:val="005575AF"/>
    <w:rsid w:val="00557CA6"/>
    <w:rsid w:val="00557CCF"/>
    <w:rsid w:val="00561558"/>
    <w:rsid w:val="00562B6F"/>
    <w:rsid w:val="00563343"/>
    <w:rsid w:val="005639D4"/>
    <w:rsid w:val="00563A0F"/>
    <w:rsid w:val="005649AF"/>
    <w:rsid w:val="00564F22"/>
    <w:rsid w:val="0056524A"/>
    <w:rsid w:val="0056533E"/>
    <w:rsid w:val="00565492"/>
    <w:rsid w:val="00565922"/>
    <w:rsid w:val="00565FF4"/>
    <w:rsid w:val="00566694"/>
    <w:rsid w:val="005703FA"/>
    <w:rsid w:val="005709F6"/>
    <w:rsid w:val="00570B87"/>
    <w:rsid w:val="00571104"/>
    <w:rsid w:val="005724C1"/>
    <w:rsid w:val="00572C8B"/>
    <w:rsid w:val="005731EC"/>
    <w:rsid w:val="00573DA8"/>
    <w:rsid w:val="0057500D"/>
    <w:rsid w:val="00575568"/>
    <w:rsid w:val="00575A9E"/>
    <w:rsid w:val="005761E3"/>
    <w:rsid w:val="0057640A"/>
    <w:rsid w:val="00576471"/>
    <w:rsid w:val="00576657"/>
    <w:rsid w:val="005769E8"/>
    <w:rsid w:val="00576F58"/>
    <w:rsid w:val="005774C2"/>
    <w:rsid w:val="00577746"/>
    <w:rsid w:val="00577761"/>
    <w:rsid w:val="00577D6C"/>
    <w:rsid w:val="00577F4C"/>
    <w:rsid w:val="005803EA"/>
    <w:rsid w:val="005817A7"/>
    <w:rsid w:val="0058328A"/>
    <w:rsid w:val="0058332F"/>
    <w:rsid w:val="00583F0D"/>
    <w:rsid w:val="005850B2"/>
    <w:rsid w:val="00585463"/>
    <w:rsid w:val="005858D8"/>
    <w:rsid w:val="00585AB1"/>
    <w:rsid w:val="00585C9E"/>
    <w:rsid w:val="00585E66"/>
    <w:rsid w:val="00586007"/>
    <w:rsid w:val="0058695D"/>
    <w:rsid w:val="0058765E"/>
    <w:rsid w:val="00587822"/>
    <w:rsid w:val="005900C4"/>
    <w:rsid w:val="00590CDC"/>
    <w:rsid w:val="00591393"/>
    <w:rsid w:val="005916FC"/>
    <w:rsid w:val="00591B90"/>
    <w:rsid w:val="00592DA7"/>
    <w:rsid w:val="005949D2"/>
    <w:rsid w:val="00595066"/>
    <w:rsid w:val="005956B4"/>
    <w:rsid w:val="00595C78"/>
    <w:rsid w:val="00596027"/>
    <w:rsid w:val="00597C00"/>
    <w:rsid w:val="005A00A0"/>
    <w:rsid w:val="005A0599"/>
    <w:rsid w:val="005A0775"/>
    <w:rsid w:val="005A1396"/>
    <w:rsid w:val="005A1559"/>
    <w:rsid w:val="005A1C9C"/>
    <w:rsid w:val="005A1FEC"/>
    <w:rsid w:val="005A2CE6"/>
    <w:rsid w:val="005A326B"/>
    <w:rsid w:val="005A3D3C"/>
    <w:rsid w:val="005A54F3"/>
    <w:rsid w:val="005A619F"/>
    <w:rsid w:val="005A7FA1"/>
    <w:rsid w:val="005B011E"/>
    <w:rsid w:val="005B0AFF"/>
    <w:rsid w:val="005B1190"/>
    <w:rsid w:val="005B1DDE"/>
    <w:rsid w:val="005B3303"/>
    <w:rsid w:val="005B5745"/>
    <w:rsid w:val="005B5771"/>
    <w:rsid w:val="005B6DE5"/>
    <w:rsid w:val="005B6E55"/>
    <w:rsid w:val="005C2517"/>
    <w:rsid w:val="005C2E27"/>
    <w:rsid w:val="005C36DE"/>
    <w:rsid w:val="005C3924"/>
    <w:rsid w:val="005C451B"/>
    <w:rsid w:val="005C4E74"/>
    <w:rsid w:val="005C6070"/>
    <w:rsid w:val="005C6490"/>
    <w:rsid w:val="005C6C71"/>
    <w:rsid w:val="005C7977"/>
    <w:rsid w:val="005C7C9D"/>
    <w:rsid w:val="005D00D5"/>
    <w:rsid w:val="005D10B3"/>
    <w:rsid w:val="005D15E8"/>
    <w:rsid w:val="005D1612"/>
    <w:rsid w:val="005D174D"/>
    <w:rsid w:val="005D1EBB"/>
    <w:rsid w:val="005D1F38"/>
    <w:rsid w:val="005D2282"/>
    <w:rsid w:val="005D25B5"/>
    <w:rsid w:val="005D2CE5"/>
    <w:rsid w:val="005D3CEC"/>
    <w:rsid w:val="005D4105"/>
    <w:rsid w:val="005D481C"/>
    <w:rsid w:val="005D4963"/>
    <w:rsid w:val="005D4BCB"/>
    <w:rsid w:val="005D4C8A"/>
    <w:rsid w:val="005D4CC1"/>
    <w:rsid w:val="005D5107"/>
    <w:rsid w:val="005D5B32"/>
    <w:rsid w:val="005D5FC7"/>
    <w:rsid w:val="005D61F6"/>
    <w:rsid w:val="005D6F15"/>
    <w:rsid w:val="005D76AF"/>
    <w:rsid w:val="005D778B"/>
    <w:rsid w:val="005D7A03"/>
    <w:rsid w:val="005E05F8"/>
    <w:rsid w:val="005E0792"/>
    <w:rsid w:val="005E1016"/>
    <w:rsid w:val="005E1200"/>
    <w:rsid w:val="005E1340"/>
    <w:rsid w:val="005E1874"/>
    <w:rsid w:val="005E21F7"/>
    <w:rsid w:val="005E38DD"/>
    <w:rsid w:val="005E458A"/>
    <w:rsid w:val="005E552C"/>
    <w:rsid w:val="005E55E9"/>
    <w:rsid w:val="005E5BC1"/>
    <w:rsid w:val="005E5E07"/>
    <w:rsid w:val="005E6578"/>
    <w:rsid w:val="005E75D5"/>
    <w:rsid w:val="005E78CD"/>
    <w:rsid w:val="005E7D4C"/>
    <w:rsid w:val="005E7EAE"/>
    <w:rsid w:val="005E7F5E"/>
    <w:rsid w:val="005E7FE1"/>
    <w:rsid w:val="005E7FEC"/>
    <w:rsid w:val="005F0444"/>
    <w:rsid w:val="005F0A9A"/>
    <w:rsid w:val="005F0CF6"/>
    <w:rsid w:val="005F12FA"/>
    <w:rsid w:val="005F1CB4"/>
    <w:rsid w:val="005F2D47"/>
    <w:rsid w:val="005F4436"/>
    <w:rsid w:val="005F52E6"/>
    <w:rsid w:val="005F673A"/>
    <w:rsid w:val="005F677C"/>
    <w:rsid w:val="005F6BD6"/>
    <w:rsid w:val="005F6F01"/>
    <w:rsid w:val="005F71E4"/>
    <w:rsid w:val="005F736F"/>
    <w:rsid w:val="005F77DA"/>
    <w:rsid w:val="006005FA"/>
    <w:rsid w:val="00600881"/>
    <w:rsid w:val="006010AC"/>
    <w:rsid w:val="0060167A"/>
    <w:rsid w:val="006018C7"/>
    <w:rsid w:val="00602783"/>
    <w:rsid w:val="00602863"/>
    <w:rsid w:val="00602B32"/>
    <w:rsid w:val="00602ECD"/>
    <w:rsid w:val="00603781"/>
    <w:rsid w:val="00604337"/>
    <w:rsid w:val="00605085"/>
    <w:rsid w:val="00605678"/>
    <w:rsid w:val="00605E24"/>
    <w:rsid w:val="00605F10"/>
    <w:rsid w:val="00605F93"/>
    <w:rsid w:val="006069E6"/>
    <w:rsid w:val="006074EE"/>
    <w:rsid w:val="0061005B"/>
    <w:rsid w:val="0061076C"/>
    <w:rsid w:val="006117AC"/>
    <w:rsid w:val="00611C61"/>
    <w:rsid w:val="00611ED2"/>
    <w:rsid w:val="0061255C"/>
    <w:rsid w:val="006131CC"/>
    <w:rsid w:val="00613BE3"/>
    <w:rsid w:val="00613D45"/>
    <w:rsid w:val="006141EF"/>
    <w:rsid w:val="00614438"/>
    <w:rsid w:val="00615599"/>
    <w:rsid w:val="0061596B"/>
    <w:rsid w:val="00615B54"/>
    <w:rsid w:val="00615C1E"/>
    <w:rsid w:val="00616209"/>
    <w:rsid w:val="0061630C"/>
    <w:rsid w:val="00616C39"/>
    <w:rsid w:val="00616D0A"/>
    <w:rsid w:val="00617DAD"/>
    <w:rsid w:val="006203FF"/>
    <w:rsid w:val="00620764"/>
    <w:rsid w:val="00620E23"/>
    <w:rsid w:val="00620E97"/>
    <w:rsid w:val="00621539"/>
    <w:rsid w:val="00621B1B"/>
    <w:rsid w:val="00621E16"/>
    <w:rsid w:val="00621F61"/>
    <w:rsid w:val="00622708"/>
    <w:rsid w:val="006237B0"/>
    <w:rsid w:val="00623830"/>
    <w:rsid w:val="00624056"/>
    <w:rsid w:val="006241C2"/>
    <w:rsid w:val="0062443F"/>
    <w:rsid w:val="00624771"/>
    <w:rsid w:val="006247AF"/>
    <w:rsid w:val="00624AC8"/>
    <w:rsid w:val="006263C2"/>
    <w:rsid w:val="00626754"/>
    <w:rsid w:val="006276E6"/>
    <w:rsid w:val="006307CD"/>
    <w:rsid w:val="006314D6"/>
    <w:rsid w:val="0063298A"/>
    <w:rsid w:val="00632E11"/>
    <w:rsid w:val="00632FF0"/>
    <w:rsid w:val="006331D2"/>
    <w:rsid w:val="0063398F"/>
    <w:rsid w:val="00633ADA"/>
    <w:rsid w:val="00633B4B"/>
    <w:rsid w:val="00633E62"/>
    <w:rsid w:val="00634B48"/>
    <w:rsid w:val="0063550F"/>
    <w:rsid w:val="00635731"/>
    <w:rsid w:val="00635F64"/>
    <w:rsid w:val="00635FCA"/>
    <w:rsid w:val="00636813"/>
    <w:rsid w:val="00636EAC"/>
    <w:rsid w:val="00637697"/>
    <w:rsid w:val="0064057E"/>
    <w:rsid w:val="00641B7C"/>
    <w:rsid w:val="006439FF"/>
    <w:rsid w:val="00643AB5"/>
    <w:rsid w:val="006441CC"/>
    <w:rsid w:val="006445B9"/>
    <w:rsid w:val="00644D36"/>
    <w:rsid w:val="0064525E"/>
    <w:rsid w:val="006457C4"/>
    <w:rsid w:val="00645C95"/>
    <w:rsid w:val="00646F84"/>
    <w:rsid w:val="00647227"/>
    <w:rsid w:val="00651268"/>
    <w:rsid w:val="00651E72"/>
    <w:rsid w:val="00651EF9"/>
    <w:rsid w:val="00654062"/>
    <w:rsid w:val="00656607"/>
    <w:rsid w:val="006574D5"/>
    <w:rsid w:val="00657542"/>
    <w:rsid w:val="006611E7"/>
    <w:rsid w:val="00661AD8"/>
    <w:rsid w:val="00662AB2"/>
    <w:rsid w:val="00662B8F"/>
    <w:rsid w:val="00662CBA"/>
    <w:rsid w:val="00662E3D"/>
    <w:rsid w:val="00662FC3"/>
    <w:rsid w:val="00663198"/>
    <w:rsid w:val="00663230"/>
    <w:rsid w:val="00663692"/>
    <w:rsid w:val="006636B0"/>
    <w:rsid w:val="0066384B"/>
    <w:rsid w:val="006639A7"/>
    <w:rsid w:val="00663F82"/>
    <w:rsid w:val="0066418E"/>
    <w:rsid w:val="00665433"/>
    <w:rsid w:val="0066674C"/>
    <w:rsid w:val="006675B9"/>
    <w:rsid w:val="00667966"/>
    <w:rsid w:val="00667DD3"/>
    <w:rsid w:val="00670214"/>
    <w:rsid w:val="006706FC"/>
    <w:rsid w:val="00670ABC"/>
    <w:rsid w:val="00670C66"/>
    <w:rsid w:val="00670E6C"/>
    <w:rsid w:val="00671552"/>
    <w:rsid w:val="0067245D"/>
    <w:rsid w:val="00672B11"/>
    <w:rsid w:val="006733FC"/>
    <w:rsid w:val="00674348"/>
    <w:rsid w:val="0067580F"/>
    <w:rsid w:val="00676449"/>
    <w:rsid w:val="00677AE8"/>
    <w:rsid w:val="00677BA8"/>
    <w:rsid w:val="00680024"/>
    <w:rsid w:val="00680201"/>
    <w:rsid w:val="0068091B"/>
    <w:rsid w:val="00681705"/>
    <w:rsid w:val="006825E5"/>
    <w:rsid w:val="00682A4D"/>
    <w:rsid w:val="00683BF4"/>
    <w:rsid w:val="00684440"/>
    <w:rsid w:val="00684685"/>
    <w:rsid w:val="00684878"/>
    <w:rsid w:val="00684CE8"/>
    <w:rsid w:val="00684D6F"/>
    <w:rsid w:val="006858CE"/>
    <w:rsid w:val="00685B30"/>
    <w:rsid w:val="006863BC"/>
    <w:rsid w:val="006869DE"/>
    <w:rsid w:val="00687220"/>
    <w:rsid w:val="00687224"/>
    <w:rsid w:val="00687C35"/>
    <w:rsid w:val="00690812"/>
    <w:rsid w:val="00690C9B"/>
    <w:rsid w:val="00690DAB"/>
    <w:rsid w:val="00692003"/>
    <w:rsid w:val="0069223F"/>
    <w:rsid w:val="00692D54"/>
    <w:rsid w:val="006937EB"/>
    <w:rsid w:val="00693880"/>
    <w:rsid w:val="00693976"/>
    <w:rsid w:val="00693F7E"/>
    <w:rsid w:val="00695CB1"/>
    <w:rsid w:val="00695F27"/>
    <w:rsid w:val="006961A5"/>
    <w:rsid w:val="00696766"/>
    <w:rsid w:val="0069694A"/>
    <w:rsid w:val="006971E2"/>
    <w:rsid w:val="00697462"/>
    <w:rsid w:val="0069793A"/>
    <w:rsid w:val="00697CCA"/>
    <w:rsid w:val="006A04B0"/>
    <w:rsid w:val="006A0FE6"/>
    <w:rsid w:val="006A1C03"/>
    <w:rsid w:val="006A1E44"/>
    <w:rsid w:val="006A1FF4"/>
    <w:rsid w:val="006A255D"/>
    <w:rsid w:val="006A2BB8"/>
    <w:rsid w:val="006A2D94"/>
    <w:rsid w:val="006A2E47"/>
    <w:rsid w:val="006A33BA"/>
    <w:rsid w:val="006A3D57"/>
    <w:rsid w:val="006A456A"/>
    <w:rsid w:val="006A481E"/>
    <w:rsid w:val="006A5485"/>
    <w:rsid w:val="006A7AF3"/>
    <w:rsid w:val="006A7E7B"/>
    <w:rsid w:val="006B0C5D"/>
    <w:rsid w:val="006B0CFB"/>
    <w:rsid w:val="006B0E85"/>
    <w:rsid w:val="006B0FE3"/>
    <w:rsid w:val="006B2794"/>
    <w:rsid w:val="006B2E1F"/>
    <w:rsid w:val="006B3650"/>
    <w:rsid w:val="006B38D6"/>
    <w:rsid w:val="006B3D2F"/>
    <w:rsid w:val="006B4859"/>
    <w:rsid w:val="006B49CB"/>
    <w:rsid w:val="006B4CBC"/>
    <w:rsid w:val="006B649A"/>
    <w:rsid w:val="006B67D8"/>
    <w:rsid w:val="006B79FB"/>
    <w:rsid w:val="006B7A72"/>
    <w:rsid w:val="006C084C"/>
    <w:rsid w:val="006C0BB8"/>
    <w:rsid w:val="006C1CC4"/>
    <w:rsid w:val="006C22BD"/>
    <w:rsid w:val="006C32EE"/>
    <w:rsid w:val="006C365B"/>
    <w:rsid w:val="006C3862"/>
    <w:rsid w:val="006C4251"/>
    <w:rsid w:val="006C4565"/>
    <w:rsid w:val="006C48DC"/>
    <w:rsid w:val="006C56A3"/>
    <w:rsid w:val="006C5F2E"/>
    <w:rsid w:val="006C69A3"/>
    <w:rsid w:val="006C6DCD"/>
    <w:rsid w:val="006C6E5C"/>
    <w:rsid w:val="006C75D5"/>
    <w:rsid w:val="006C7ED0"/>
    <w:rsid w:val="006D0032"/>
    <w:rsid w:val="006D0877"/>
    <w:rsid w:val="006D0C00"/>
    <w:rsid w:val="006D2DC1"/>
    <w:rsid w:val="006D2EFD"/>
    <w:rsid w:val="006D3993"/>
    <w:rsid w:val="006D4390"/>
    <w:rsid w:val="006D5799"/>
    <w:rsid w:val="006D5A88"/>
    <w:rsid w:val="006D5E19"/>
    <w:rsid w:val="006D616C"/>
    <w:rsid w:val="006D666B"/>
    <w:rsid w:val="006D6CC8"/>
    <w:rsid w:val="006D6F22"/>
    <w:rsid w:val="006D7578"/>
    <w:rsid w:val="006D7673"/>
    <w:rsid w:val="006D7A58"/>
    <w:rsid w:val="006D7CB6"/>
    <w:rsid w:val="006E2683"/>
    <w:rsid w:val="006E2685"/>
    <w:rsid w:val="006E2B0A"/>
    <w:rsid w:val="006E466C"/>
    <w:rsid w:val="006E4E89"/>
    <w:rsid w:val="006E52E5"/>
    <w:rsid w:val="006E5B9E"/>
    <w:rsid w:val="006E6364"/>
    <w:rsid w:val="006F0352"/>
    <w:rsid w:val="006F18D2"/>
    <w:rsid w:val="006F1B9D"/>
    <w:rsid w:val="006F2A61"/>
    <w:rsid w:val="006F3363"/>
    <w:rsid w:val="006F40CB"/>
    <w:rsid w:val="006F467C"/>
    <w:rsid w:val="006F47ED"/>
    <w:rsid w:val="006F4FDD"/>
    <w:rsid w:val="006F5499"/>
    <w:rsid w:val="006F5635"/>
    <w:rsid w:val="006F5B47"/>
    <w:rsid w:val="006F63D1"/>
    <w:rsid w:val="006F7881"/>
    <w:rsid w:val="006F7A12"/>
    <w:rsid w:val="007005E3"/>
    <w:rsid w:val="00700B5E"/>
    <w:rsid w:val="00700D8D"/>
    <w:rsid w:val="00701033"/>
    <w:rsid w:val="00701435"/>
    <w:rsid w:val="0070183F"/>
    <w:rsid w:val="007021BC"/>
    <w:rsid w:val="0070269F"/>
    <w:rsid w:val="00702743"/>
    <w:rsid w:val="007027DD"/>
    <w:rsid w:val="0070340D"/>
    <w:rsid w:val="007035E1"/>
    <w:rsid w:val="00703C65"/>
    <w:rsid w:val="00703F12"/>
    <w:rsid w:val="007042D6"/>
    <w:rsid w:val="007051AD"/>
    <w:rsid w:val="007051E1"/>
    <w:rsid w:val="00705F9A"/>
    <w:rsid w:val="00706575"/>
    <w:rsid w:val="00707412"/>
    <w:rsid w:val="00707480"/>
    <w:rsid w:val="00707E3F"/>
    <w:rsid w:val="00710686"/>
    <w:rsid w:val="00711B11"/>
    <w:rsid w:val="00711E38"/>
    <w:rsid w:val="00712B40"/>
    <w:rsid w:val="0071352E"/>
    <w:rsid w:val="007142F7"/>
    <w:rsid w:val="0071478B"/>
    <w:rsid w:val="00714BA4"/>
    <w:rsid w:val="00715923"/>
    <w:rsid w:val="00715BC0"/>
    <w:rsid w:val="00716309"/>
    <w:rsid w:val="007176D0"/>
    <w:rsid w:val="0072035F"/>
    <w:rsid w:val="00720B4A"/>
    <w:rsid w:val="00720C8A"/>
    <w:rsid w:val="0072215A"/>
    <w:rsid w:val="007225C5"/>
    <w:rsid w:val="007225E2"/>
    <w:rsid w:val="00723289"/>
    <w:rsid w:val="007248D0"/>
    <w:rsid w:val="007249E2"/>
    <w:rsid w:val="007250D5"/>
    <w:rsid w:val="00727280"/>
    <w:rsid w:val="0073028D"/>
    <w:rsid w:val="00730699"/>
    <w:rsid w:val="0073118B"/>
    <w:rsid w:val="0073146B"/>
    <w:rsid w:val="007314E5"/>
    <w:rsid w:val="00731BBB"/>
    <w:rsid w:val="00732781"/>
    <w:rsid w:val="00733DD6"/>
    <w:rsid w:val="00733F62"/>
    <w:rsid w:val="0073432A"/>
    <w:rsid w:val="00734EAB"/>
    <w:rsid w:val="00734F44"/>
    <w:rsid w:val="00735E0C"/>
    <w:rsid w:val="007362C4"/>
    <w:rsid w:val="007377A8"/>
    <w:rsid w:val="0074085D"/>
    <w:rsid w:val="00740923"/>
    <w:rsid w:val="00740AAB"/>
    <w:rsid w:val="0074147F"/>
    <w:rsid w:val="00741AD0"/>
    <w:rsid w:val="00741ADD"/>
    <w:rsid w:val="00741F45"/>
    <w:rsid w:val="0074285E"/>
    <w:rsid w:val="00743998"/>
    <w:rsid w:val="00744DBA"/>
    <w:rsid w:val="00745DB7"/>
    <w:rsid w:val="00745FF6"/>
    <w:rsid w:val="0074648D"/>
    <w:rsid w:val="007478BB"/>
    <w:rsid w:val="00747C68"/>
    <w:rsid w:val="00750C3A"/>
    <w:rsid w:val="0075236D"/>
    <w:rsid w:val="007531D3"/>
    <w:rsid w:val="00753366"/>
    <w:rsid w:val="00753B45"/>
    <w:rsid w:val="007546B4"/>
    <w:rsid w:val="00754C8B"/>
    <w:rsid w:val="0075531A"/>
    <w:rsid w:val="0075583E"/>
    <w:rsid w:val="00756528"/>
    <w:rsid w:val="0076108C"/>
    <w:rsid w:val="007613FD"/>
    <w:rsid w:val="00761A37"/>
    <w:rsid w:val="00761FAF"/>
    <w:rsid w:val="007655EC"/>
    <w:rsid w:val="00766390"/>
    <w:rsid w:val="00766B47"/>
    <w:rsid w:val="00766D82"/>
    <w:rsid w:val="00766F13"/>
    <w:rsid w:val="007672F3"/>
    <w:rsid w:val="00767C1A"/>
    <w:rsid w:val="007701E8"/>
    <w:rsid w:val="007708B2"/>
    <w:rsid w:val="00770942"/>
    <w:rsid w:val="00771102"/>
    <w:rsid w:val="00771E82"/>
    <w:rsid w:val="0077266C"/>
    <w:rsid w:val="00773B83"/>
    <w:rsid w:val="007744C6"/>
    <w:rsid w:val="00775151"/>
    <w:rsid w:val="007751A6"/>
    <w:rsid w:val="00775500"/>
    <w:rsid w:val="00775C96"/>
    <w:rsid w:val="007760D3"/>
    <w:rsid w:val="007761D8"/>
    <w:rsid w:val="0077644D"/>
    <w:rsid w:val="00776543"/>
    <w:rsid w:val="00776A00"/>
    <w:rsid w:val="00776C5E"/>
    <w:rsid w:val="00780938"/>
    <w:rsid w:val="007811E9"/>
    <w:rsid w:val="00781AFF"/>
    <w:rsid w:val="007820BE"/>
    <w:rsid w:val="00782631"/>
    <w:rsid w:val="007826C9"/>
    <w:rsid w:val="00782764"/>
    <w:rsid w:val="007830B7"/>
    <w:rsid w:val="0078418B"/>
    <w:rsid w:val="00784671"/>
    <w:rsid w:val="00784801"/>
    <w:rsid w:val="007848A3"/>
    <w:rsid w:val="00784AD8"/>
    <w:rsid w:val="00785A25"/>
    <w:rsid w:val="00785BEF"/>
    <w:rsid w:val="00786091"/>
    <w:rsid w:val="00786CA0"/>
    <w:rsid w:val="007874D3"/>
    <w:rsid w:val="00791151"/>
    <w:rsid w:val="0079130F"/>
    <w:rsid w:val="0079154C"/>
    <w:rsid w:val="0079357F"/>
    <w:rsid w:val="00793AB2"/>
    <w:rsid w:val="00793C3B"/>
    <w:rsid w:val="00794001"/>
    <w:rsid w:val="00795789"/>
    <w:rsid w:val="0079600B"/>
    <w:rsid w:val="007961FE"/>
    <w:rsid w:val="00797185"/>
    <w:rsid w:val="00797C83"/>
    <w:rsid w:val="00797DDC"/>
    <w:rsid w:val="007A0129"/>
    <w:rsid w:val="007A3A6D"/>
    <w:rsid w:val="007A3D2F"/>
    <w:rsid w:val="007A3D9A"/>
    <w:rsid w:val="007A3E79"/>
    <w:rsid w:val="007A49B1"/>
    <w:rsid w:val="007A6242"/>
    <w:rsid w:val="007A7FD0"/>
    <w:rsid w:val="007B0727"/>
    <w:rsid w:val="007B1295"/>
    <w:rsid w:val="007B12BA"/>
    <w:rsid w:val="007B1FED"/>
    <w:rsid w:val="007B232D"/>
    <w:rsid w:val="007B37C4"/>
    <w:rsid w:val="007B4042"/>
    <w:rsid w:val="007B53A1"/>
    <w:rsid w:val="007B59C6"/>
    <w:rsid w:val="007B6121"/>
    <w:rsid w:val="007B729A"/>
    <w:rsid w:val="007C1009"/>
    <w:rsid w:val="007C1A0E"/>
    <w:rsid w:val="007C1C6B"/>
    <w:rsid w:val="007C3355"/>
    <w:rsid w:val="007C33E1"/>
    <w:rsid w:val="007C5BFB"/>
    <w:rsid w:val="007C5EBA"/>
    <w:rsid w:val="007C75AD"/>
    <w:rsid w:val="007D0538"/>
    <w:rsid w:val="007D09AE"/>
    <w:rsid w:val="007D0BC7"/>
    <w:rsid w:val="007D36AC"/>
    <w:rsid w:val="007D51EF"/>
    <w:rsid w:val="007D5ABA"/>
    <w:rsid w:val="007D744E"/>
    <w:rsid w:val="007E0320"/>
    <w:rsid w:val="007E0F9A"/>
    <w:rsid w:val="007E155C"/>
    <w:rsid w:val="007E1891"/>
    <w:rsid w:val="007E19FF"/>
    <w:rsid w:val="007E2001"/>
    <w:rsid w:val="007E216B"/>
    <w:rsid w:val="007E263A"/>
    <w:rsid w:val="007E3F36"/>
    <w:rsid w:val="007E43A4"/>
    <w:rsid w:val="007E4C8D"/>
    <w:rsid w:val="007E52C6"/>
    <w:rsid w:val="007E52F9"/>
    <w:rsid w:val="007E67B4"/>
    <w:rsid w:val="007E6FAF"/>
    <w:rsid w:val="007E7029"/>
    <w:rsid w:val="007E71E0"/>
    <w:rsid w:val="007E73E5"/>
    <w:rsid w:val="007E7963"/>
    <w:rsid w:val="007E7A1D"/>
    <w:rsid w:val="007F09CE"/>
    <w:rsid w:val="007F24A9"/>
    <w:rsid w:val="007F3051"/>
    <w:rsid w:val="007F47A6"/>
    <w:rsid w:val="007F6872"/>
    <w:rsid w:val="007F6968"/>
    <w:rsid w:val="007F6D70"/>
    <w:rsid w:val="007F72C1"/>
    <w:rsid w:val="007F7FC2"/>
    <w:rsid w:val="0080001F"/>
    <w:rsid w:val="00800051"/>
    <w:rsid w:val="008017E9"/>
    <w:rsid w:val="00802824"/>
    <w:rsid w:val="0080364C"/>
    <w:rsid w:val="00806B91"/>
    <w:rsid w:val="00806BED"/>
    <w:rsid w:val="00806E55"/>
    <w:rsid w:val="008076A0"/>
    <w:rsid w:val="00807889"/>
    <w:rsid w:val="00810F66"/>
    <w:rsid w:val="008112B4"/>
    <w:rsid w:val="00811D7E"/>
    <w:rsid w:val="00812253"/>
    <w:rsid w:val="008126F0"/>
    <w:rsid w:val="00812AC4"/>
    <w:rsid w:val="00812BC0"/>
    <w:rsid w:val="00812E2E"/>
    <w:rsid w:val="0081312A"/>
    <w:rsid w:val="00813169"/>
    <w:rsid w:val="00813618"/>
    <w:rsid w:val="008140F2"/>
    <w:rsid w:val="00814F4B"/>
    <w:rsid w:val="008150C0"/>
    <w:rsid w:val="00816277"/>
    <w:rsid w:val="00816861"/>
    <w:rsid w:val="0081696E"/>
    <w:rsid w:val="00816BC1"/>
    <w:rsid w:val="00816E08"/>
    <w:rsid w:val="00816EE7"/>
    <w:rsid w:val="0082039D"/>
    <w:rsid w:val="008209F5"/>
    <w:rsid w:val="00820CCA"/>
    <w:rsid w:val="00820D5F"/>
    <w:rsid w:val="00820E72"/>
    <w:rsid w:val="00821A2A"/>
    <w:rsid w:val="00821CA3"/>
    <w:rsid w:val="00822910"/>
    <w:rsid w:val="00822B12"/>
    <w:rsid w:val="00822BCD"/>
    <w:rsid w:val="008236C6"/>
    <w:rsid w:val="00824BF6"/>
    <w:rsid w:val="00825FCA"/>
    <w:rsid w:val="008267CD"/>
    <w:rsid w:val="00826F2F"/>
    <w:rsid w:val="00827156"/>
    <w:rsid w:val="00830144"/>
    <w:rsid w:val="00830F4F"/>
    <w:rsid w:val="00831C3C"/>
    <w:rsid w:val="00831C65"/>
    <w:rsid w:val="00831CC7"/>
    <w:rsid w:val="008339F6"/>
    <w:rsid w:val="00834874"/>
    <w:rsid w:val="00834FD4"/>
    <w:rsid w:val="00835251"/>
    <w:rsid w:val="008355B0"/>
    <w:rsid w:val="008356F1"/>
    <w:rsid w:val="0083644D"/>
    <w:rsid w:val="00836C87"/>
    <w:rsid w:val="0083725C"/>
    <w:rsid w:val="00837799"/>
    <w:rsid w:val="00837D86"/>
    <w:rsid w:val="0084025D"/>
    <w:rsid w:val="00841643"/>
    <w:rsid w:val="00841CAE"/>
    <w:rsid w:val="008420B1"/>
    <w:rsid w:val="0084211C"/>
    <w:rsid w:val="008428D3"/>
    <w:rsid w:val="00842FC6"/>
    <w:rsid w:val="008435D0"/>
    <w:rsid w:val="00843B40"/>
    <w:rsid w:val="00843D6C"/>
    <w:rsid w:val="00843FDA"/>
    <w:rsid w:val="008448EF"/>
    <w:rsid w:val="00844BEE"/>
    <w:rsid w:val="00844ED3"/>
    <w:rsid w:val="00845144"/>
    <w:rsid w:val="00845566"/>
    <w:rsid w:val="008455EB"/>
    <w:rsid w:val="008457C4"/>
    <w:rsid w:val="0084698B"/>
    <w:rsid w:val="008469BA"/>
    <w:rsid w:val="00846D11"/>
    <w:rsid w:val="00846F92"/>
    <w:rsid w:val="008472D6"/>
    <w:rsid w:val="00850842"/>
    <w:rsid w:val="008513EC"/>
    <w:rsid w:val="008518AB"/>
    <w:rsid w:val="00851AFD"/>
    <w:rsid w:val="008530C5"/>
    <w:rsid w:val="0085320B"/>
    <w:rsid w:val="00853405"/>
    <w:rsid w:val="00853CF2"/>
    <w:rsid w:val="00854188"/>
    <w:rsid w:val="0085622D"/>
    <w:rsid w:val="0085631B"/>
    <w:rsid w:val="0085694E"/>
    <w:rsid w:val="00860574"/>
    <w:rsid w:val="0086094A"/>
    <w:rsid w:val="00860C23"/>
    <w:rsid w:val="008619B4"/>
    <w:rsid w:val="00862AF4"/>
    <w:rsid w:val="00863EA2"/>
    <w:rsid w:val="0086488A"/>
    <w:rsid w:val="00864994"/>
    <w:rsid w:val="00865210"/>
    <w:rsid w:val="008652EC"/>
    <w:rsid w:val="00865441"/>
    <w:rsid w:val="00866959"/>
    <w:rsid w:val="00866C7D"/>
    <w:rsid w:val="00866F6B"/>
    <w:rsid w:val="00870390"/>
    <w:rsid w:val="00870DF1"/>
    <w:rsid w:val="00871784"/>
    <w:rsid w:val="0087264C"/>
    <w:rsid w:val="00873233"/>
    <w:rsid w:val="00873BDD"/>
    <w:rsid w:val="00873D31"/>
    <w:rsid w:val="0087478A"/>
    <w:rsid w:val="008747B6"/>
    <w:rsid w:val="008755FA"/>
    <w:rsid w:val="00875B46"/>
    <w:rsid w:val="008763E3"/>
    <w:rsid w:val="0087713F"/>
    <w:rsid w:val="0087725F"/>
    <w:rsid w:val="0088011C"/>
    <w:rsid w:val="00881C8F"/>
    <w:rsid w:val="008820AD"/>
    <w:rsid w:val="008820BF"/>
    <w:rsid w:val="00882498"/>
    <w:rsid w:val="008826C3"/>
    <w:rsid w:val="00882D04"/>
    <w:rsid w:val="00883908"/>
    <w:rsid w:val="00884863"/>
    <w:rsid w:val="00884C9E"/>
    <w:rsid w:val="0088704E"/>
    <w:rsid w:val="008870E6"/>
    <w:rsid w:val="00887709"/>
    <w:rsid w:val="00887D44"/>
    <w:rsid w:val="00890B25"/>
    <w:rsid w:val="00890B7A"/>
    <w:rsid w:val="00891ADF"/>
    <w:rsid w:val="008923CC"/>
    <w:rsid w:val="0089278F"/>
    <w:rsid w:val="008932B3"/>
    <w:rsid w:val="00893FA6"/>
    <w:rsid w:val="00893FBA"/>
    <w:rsid w:val="008952C7"/>
    <w:rsid w:val="0089552A"/>
    <w:rsid w:val="00895CFF"/>
    <w:rsid w:val="00896782"/>
    <w:rsid w:val="0089686A"/>
    <w:rsid w:val="0089692F"/>
    <w:rsid w:val="00896A8B"/>
    <w:rsid w:val="00896CD9"/>
    <w:rsid w:val="00897A70"/>
    <w:rsid w:val="008A02B7"/>
    <w:rsid w:val="008A0402"/>
    <w:rsid w:val="008A0974"/>
    <w:rsid w:val="008A0C7C"/>
    <w:rsid w:val="008A0D4B"/>
    <w:rsid w:val="008A0F4D"/>
    <w:rsid w:val="008A105E"/>
    <w:rsid w:val="008A1A18"/>
    <w:rsid w:val="008A1F21"/>
    <w:rsid w:val="008A2A6B"/>
    <w:rsid w:val="008A2FB9"/>
    <w:rsid w:val="008A3108"/>
    <w:rsid w:val="008A3680"/>
    <w:rsid w:val="008A36B1"/>
    <w:rsid w:val="008A39FB"/>
    <w:rsid w:val="008A3A48"/>
    <w:rsid w:val="008A4904"/>
    <w:rsid w:val="008A4F58"/>
    <w:rsid w:val="008A50B6"/>
    <w:rsid w:val="008A555A"/>
    <w:rsid w:val="008A5C51"/>
    <w:rsid w:val="008A5C58"/>
    <w:rsid w:val="008B0C8F"/>
    <w:rsid w:val="008B24D2"/>
    <w:rsid w:val="008B2A53"/>
    <w:rsid w:val="008B365A"/>
    <w:rsid w:val="008B404B"/>
    <w:rsid w:val="008B4939"/>
    <w:rsid w:val="008B4B14"/>
    <w:rsid w:val="008B52BD"/>
    <w:rsid w:val="008B5607"/>
    <w:rsid w:val="008B6DBB"/>
    <w:rsid w:val="008B6FA0"/>
    <w:rsid w:val="008B784D"/>
    <w:rsid w:val="008B799F"/>
    <w:rsid w:val="008C04FB"/>
    <w:rsid w:val="008C0542"/>
    <w:rsid w:val="008C0CCB"/>
    <w:rsid w:val="008C0EA5"/>
    <w:rsid w:val="008C12CA"/>
    <w:rsid w:val="008C2116"/>
    <w:rsid w:val="008C2150"/>
    <w:rsid w:val="008C251E"/>
    <w:rsid w:val="008C2B68"/>
    <w:rsid w:val="008C3B86"/>
    <w:rsid w:val="008C46C3"/>
    <w:rsid w:val="008C5791"/>
    <w:rsid w:val="008C5D41"/>
    <w:rsid w:val="008C6262"/>
    <w:rsid w:val="008C7DA9"/>
    <w:rsid w:val="008D01C3"/>
    <w:rsid w:val="008D01CD"/>
    <w:rsid w:val="008D0CD3"/>
    <w:rsid w:val="008D207A"/>
    <w:rsid w:val="008D23CF"/>
    <w:rsid w:val="008D27C8"/>
    <w:rsid w:val="008D2B1B"/>
    <w:rsid w:val="008D314A"/>
    <w:rsid w:val="008D3629"/>
    <w:rsid w:val="008D4303"/>
    <w:rsid w:val="008D4B35"/>
    <w:rsid w:val="008D526E"/>
    <w:rsid w:val="008D57F8"/>
    <w:rsid w:val="008D648E"/>
    <w:rsid w:val="008D66EE"/>
    <w:rsid w:val="008D70C6"/>
    <w:rsid w:val="008D7258"/>
    <w:rsid w:val="008D7470"/>
    <w:rsid w:val="008D79DB"/>
    <w:rsid w:val="008D7A93"/>
    <w:rsid w:val="008D7B83"/>
    <w:rsid w:val="008D7F4A"/>
    <w:rsid w:val="008E1862"/>
    <w:rsid w:val="008E18CA"/>
    <w:rsid w:val="008E3180"/>
    <w:rsid w:val="008E3D7C"/>
    <w:rsid w:val="008E408F"/>
    <w:rsid w:val="008E495E"/>
    <w:rsid w:val="008E50B9"/>
    <w:rsid w:val="008E5953"/>
    <w:rsid w:val="008E6DE4"/>
    <w:rsid w:val="008F05D9"/>
    <w:rsid w:val="008F0DB0"/>
    <w:rsid w:val="008F10BC"/>
    <w:rsid w:val="008F1BC8"/>
    <w:rsid w:val="008F1BFD"/>
    <w:rsid w:val="008F3075"/>
    <w:rsid w:val="008F3F1F"/>
    <w:rsid w:val="008F4835"/>
    <w:rsid w:val="008F5583"/>
    <w:rsid w:val="008F55F3"/>
    <w:rsid w:val="008F5D1B"/>
    <w:rsid w:val="008F64A3"/>
    <w:rsid w:val="008F6A3F"/>
    <w:rsid w:val="008F721E"/>
    <w:rsid w:val="008F72EF"/>
    <w:rsid w:val="0090005D"/>
    <w:rsid w:val="0090135B"/>
    <w:rsid w:val="00901CF3"/>
    <w:rsid w:val="0090201C"/>
    <w:rsid w:val="00902071"/>
    <w:rsid w:val="00902763"/>
    <w:rsid w:val="00903A0F"/>
    <w:rsid w:val="009054A6"/>
    <w:rsid w:val="00905F9A"/>
    <w:rsid w:val="0090661B"/>
    <w:rsid w:val="0090699C"/>
    <w:rsid w:val="00906B78"/>
    <w:rsid w:val="00906BDB"/>
    <w:rsid w:val="009074BB"/>
    <w:rsid w:val="009077CA"/>
    <w:rsid w:val="009100C2"/>
    <w:rsid w:val="00910765"/>
    <w:rsid w:val="009131CB"/>
    <w:rsid w:val="009139EA"/>
    <w:rsid w:val="00914099"/>
    <w:rsid w:val="00914A0B"/>
    <w:rsid w:val="0091580A"/>
    <w:rsid w:val="00916171"/>
    <w:rsid w:val="00916CAA"/>
    <w:rsid w:val="00916D7E"/>
    <w:rsid w:val="00916DE1"/>
    <w:rsid w:val="00920DDB"/>
    <w:rsid w:val="00921CDA"/>
    <w:rsid w:val="00921D4E"/>
    <w:rsid w:val="009228B4"/>
    <w:rsid w:val="009238A5"/>
    <w:rsid w:val="009238E2"/>
    <w:rsid w:val="00924293"/>
    <w:rsid w:val="0092512D"/>
    <w:rsid w:val="00927500"/>
    <w:rsid w:val="00927917"/>
    <w:rsid w:val="00927D59"/>
    <w:rsid w:val="0093023E"/>
    <w:rsid w:val="0093043C"/>
    <w:rsid w:val="00930623"/>
    <w:rsid w:val="00930C62"/>
    <w:rsid w:val="009316EC"/>
    <w:rsid w:val="00932759"/>
    <w:rsid w:val="009336FE"/>
    <w:rsid w:val="00933736"/>
    <w:rsid w:val="00933D1B"/>
    <w:rsid w:val="00933F15"/>
    <w:rsid w:val="0093428B"/>
    <w:rsid w:val="00934371"/>
    <w:rsid w:val="00934747"/>
    <w:rsid w:val="00934E4E"/>
    <w:rsid w:val="00936AB7"/>
    <w:rsid w:val="0093726F"/>
    <w:rsid w:val="00937EB2"/>
    <w:rsid w:val="00940A25"/>
    <w:rsid w:val="00940D0D"/>
    <w:rsid w:val="00940E08"/>
    <w:rsid w:val="00941121"/>
    <w:rsid w:val="00941182"/>
    <w:rsid w:val="00941215"/>
    <w:rsid w:val="00941453"/>
    <w:rsid w:val="009414E2"/>
    <w:rsid w:val="00941803"/>
    <w:rsid w:val="00941A37"/>
    <w:rsid w:val="00941AA0"/>
    <w:rsid w:val="00941B1A"/>
    <w:rsid w:val="00941B50"/>
    <w:rsid w:val="00941F67"/>
    <w:rsid w:val="009422BA"/>
    <w:rsid w:val="00943BA7"/>
    <w:rsid w:val="00944616"/>
    <w:rsid w:val="009446AD"/>
    <w:rsid w:val="0094492D"/>
    <w:rsid w:val="0094562D"/>
    <w:rsid w:val="00945DCA"/>
    <w:rsid w:val="0094757B"/>
    <w:rsid w:val="00947E8B"/>
    <w:rsid w:val="00947EE7"/>
    <w:rsid w:val="009502F0"/>
    <w:rsid w:val="00950507"/>
    <w:rsid w:val="00951D9B"/>
    <w:rsid w:val="009532C7"/>
    <w:rsid w:val="009534D2"/>
    <w:rsid w:val="0095394E"/>
    <w:rsid w:val="00954617"/>
    <w:rsid w:val="009549D9"/>
    <w:rsid w:val="00954B36"/>
    <w:rsid w:val="00956769"/>
    <w:rsid w:val="0095740B"/>
    <w:rsid w:val="00960732"/>
    <w:rsid w:val="00960870"/>
    <w:rsid w:val="0096115C"/>
    <w:rsid w:val="00961AFB"/>
    <w:rsid w:val="0096382A"/>
    <w:rsid w:val="0096408B"/>
    <w:rsid w:val="00964545"/>
    <w:rsid w:val="00964CD6"/>
    <w:rsid w:val="00965312"/>
    <w:rsid w:val="00966032"/>
    <w:rsid w:val="009661D5"/>
    <w:rsid w:val="0096727D"/>
    <w:rsid w:val="00971E0A"/>
    <w:rsid w:val="00972997"/>
    <w:rsid w:val="009730E8"/>
    <w:rsid w:val="009732CE"/>
    <w:rsid w:val="0097337D"/>
    <w:rsid w:val="00974371"/>
    <w:rsid w:val="009744FC"/>
    <w:rsid w:val="009755F0"/>
    <w:rsid w:val="00975702"/>
    <w:rsid w:val="00975835"/>
    <w:rsid w:val="009766DA"/>
    <w:rsid w:val="00976942"/>
    <w:rsid w:val="00977839"/>
    <w:rsid w:val="0098000F"/>
    <w:rsid w:val="00980CF9"/>
    <w:rsid w:val="0098218A"/>
    <w:rsid w:val="00983C17"/>
    <w:rsid w:val="00983D2D"/>
    <w:rsid w:val="00983EE6"/>
    <w:rsid w:val="00984C1C"/>
    <w:rsid w:val="009852B8"/>
    <w:rsid w:val="009854A4"/>
    <w:rsid w:val="00985A7E"/>
    <w:rsid w:val="009862E6"/>
    <w:rsid w:val="00986575"/>
    <w:rsid w:val="00990807"/>
    <w:rsid w:val="00990ADA"/>
    <w:rsid w:val="00990D49"/>
    <w:rsid w:val="00990F48"/>
    <w:rsid w:val="00991D5A"/>
    <w:rsid w:val="009920A4"/>
    <w:rsid w:val="009925F1"/>
    <w:rsid w:val="00992600"/>
    <w:rsid w:val="0099275A"/>
    <w:rsid w:val="00993615"/>
    <w:rsid w:val="00993830"/>
    <w:rsid w:val="00994A42"/>
    <w:rsid w:val="009956D2"/>
    <w:rsid w:val="009964EE"/>
    <w:rsid w:val="00996F06"/>
    <w:rsid w:val="009977EB"/>
    <w:rsid w:val="009A01EE"/>
    <w:rsid w:val="009A0678"/>
    <w:rsid w:val="009A166D"/>
    <w:rsid w:val="009A17AE"/>
    <w:rsid w:val="009A18B6"/>
    <w:rsid w:val="009A18F5"/>
    <w:rsid w:val="009A195F"/>
    <w:rsid w:val="009A1EBB"/>
    <w:rsid w:val="009A2B30"/>
    <w:rsid w:val="009A2B44"/>
    <w:rsid w:val="009A3B16"/>
    <w:rsid w:val="009A4A9B"/>
    <w:rsid w:val="009A527F"/>
    <w:rsid w:val="009A5ED6"/>
    <w:rsid w:val="009A6782"/>
    <w:rsid w:val="009A685A"/>
    <w:rsid w:val="009A78E6"/>
    <w:rsid w:val="009A799F"/>
    <w:rsid w:val="009A7D69"/>
    <w:rsid w:val="009B03C1"/>
    <w:rsid w:val="009B19CA"/>
    <w:rsid w:val="009B1E19"/>
    <w:rsid w:val="009B24BC"/>
    <w:rsid w:val="009B25DA"/>
    <w:rsid w:val="009B2EC0"/>
    <w:rsid w:val="009B4028"/>
    <w:rsid w:val="009B4040"/>
    <w:rsid w:val="009B4120"/>
    <w:rsid w:val="009B457F"/>
    <w:rsid w:val="009B4C03"/>
    <w:rsid w:val="009B4FCC"/>
    <w:rsid w:val="009B533B"/>
    <w:rsid w:val="009B5EE6"/>
    <w:rsid w:val="009B629B"/>
    <w:rsid w:val="009B6654"/>
    <w:rsid w:val="009B68AA"/>
    <w:rsid w:val="009B6DA9"/>
    <w:rsid w:val="009B6DFF"/>
    <w:rsid w:val="009B74D7"/>
    <w:rsid w:val="009B7808"/>
    <w:rsid w:val="009B7E55"/>
    <w:rsid w:val="009C07AE"/>
    <w:rsid w:val="009C0801"/>
    <w:rsid w:val="009C0E5C"/>
    <w:rsid w:val="009C0FB6"/>
    <w:rsid w:val="009C17DE"/>
    <w:rsid w:val="009C1A8F"/>
    <w:rsid w:val="009C1EF9"/>
    <w:rsid w:val="009C2683"/>
    <w:rsid w:val="009C28F0"/>
    <w:rsid w:val="009C2C34"/>
    <w:rsid w:val="009C4475"/>
    <w:rsid w:val="009C63BF"/>
    <w:rsid w:val="009C65B3"/>
    <w:rsid w:val="009C6A16"/>
    <w:rsid w:val="009C6C54"/>
    <w:rsid w:val="009D1C91"/>
    <w:rsid w:val="009D1D52"/>
    <w:rsid w:val="009D23F7"/>
    <w:rsid w:val="009D2DE6"/>
    <w:rsid w:val="009D4122"/>
    <w:rsid w:val="009D41C1"/>
    <w:rsid w:val="009D4514"/>
    <w:rsid w:val="009D4AE2"/>
    <w:rsid w:val="009D4D14"/>
    <w:rsid w:val="009D5391"/>
    <w:rsid w:val="009D5655"/>
    <w:rsid w:val="009D5820"/>
    <w:rsid w:val="009D600A"/>
    <w:rsid w:val="009D61E8"/>
    <w:rsid w:val="009D697D"/>
    <w:rsid w:val="009D6E78"/>
    <w:rsid w:val="009D7085"/>
    <w:rsid w:val="009D734C"/>
    <w:rsid w:val="009D7CF4"/>
    <w:rsid w:val="009E076F"/>
    <w:rsid w:val="009E0A71"/>
    <w:rsid w:val="009E0CF8"/>
    <w:rsid w:val="009E15D1"/>
    <w:rsid w:val="009E1930"/>
    <w:rsid w:val="009E1B58"/>
    <w:rsid w:val="009E20D5"/>
    <w:rsid w:val="009E239F"/>
    <w:rsid w:val="009E29B5"/>
    <w:rsid w:val="009E39FD"/>
    <w:rsid w:val="009E3A99"/>
    <w:rsid w:val="009E4164"/>
    <w:rsid w:val="009E5310"/>
    <w:rsid w:val="009E544D"/>
    <w:rsid w:val="009E5925"/>
    <w:rsid w:val="009E6A16"/>
    <w:rsid w:val="009E7248"/>
    <w:rsid w:val="009F0322"/>
    <w:rsid w:val="009F0952"/>
    <w:rsid w:val="009F0A16"/>
    <w:rsid w:val="009F1AD2"/>
    <w:rsid w:val="009F1D64"/>
    <w:rsid w:val="009F1E79"/>
    <w:rsid w:val="009F226D"/>
    <w:rsid w:val="009F2383"/>
    <w:rsid w:val="009F2DC1"/>
    <w:rsid w:val="009F3A55"/>
    <w:rsid w:val="009F3B38"/>
    <w:rsid w:val="009F50ED"/>
    <w:rsid w:val="009F5756"/>
    <w:rsid w:val="009F66ED"/>
    <w:rsid w:val="009F6E59"/>
    <w:rsid w:val="009F71BD"/>
    <w:rsid w:val="00A00942"/>
    <w:rsid w:val="00A01482"/>
    <w:rsid w:val="00A01CB7"/>
    <w:rsid w:val="00A02F06"/>
    <w:rsid w:val="00A033AF"/>
    <w:rsid w:val="00A0383B"/>
    <w:rsid w:val="00A03937"/>
    <w:rsid w:val="00A03F73"/>
    <w:rsid w:val="00A0438D"/>
    <w:rsid w:val="00A05737"/>
    <w:rsid w:val="00A05E63"/>
    <w:rsid w:val="00A06642"/>
    <w:rsid w:val="00A06646"/>
    <w:rsid w:val="00A100FB"/>
    <w:rsid w:val="00A10855"/>
    <w:rsid w:val="00A11B6D"/>
    <w:rsid w:val="00A120BA"/>
    <w:rsid w:val="00A127CB"/>
    <w:rsid w:val="00A127F9"/>
    <w:rsid w:val="00A12C01"/>
    <w:rsid w:val="00A12EF1"/>
    <w:rsid w:val="00A134A7"/>
    <w:rsid w:val="00A1364C"/>
    <w:rsid w:val="00A13E5A"/>
    <w:rsid w:val="00A150E4"/>
    <w:rsid w:val="00A16CC1"/>
    <w:rsid w:val="00A17199"/>
    <w:rsid w:val="00A177DA"/>
    <w:rsid w:val="00A20F17"/>
    <w:rsid w:val="00A21221"/>
    <w:rsid w:val="00A21899"/>
    <w:rsid w:val="00A21BCF"/>
    <w:rsid w:val="00A21F4B"/>
    <w:rsid w:val="00A231F0"/>
    <w:rsid w:val="00A23DF5"/>
    <w:rsid w:val="00A241BE"/>
    <w:rsid w:val="00A256E8"/>
    <w:rsid w:val="00A25F3D"/>
    <w:rsid w:val="00A2668A"/>
    <w:rsid w:val="00A26D69"/>
    <w:rsid w:val="00A27160"/>
    <w:rsid w:val="00A273AE"/>
    <w:rsid w:val="00A27622"/>
    <w:rsid w:val="00A27A9A"/>
    <w:rsid w:val="00A30059"/>
    <w:rsid w:val="00A30761"/>
    <w:rsid w:val="00A312B5"/>
    <w:rsid w:val="00A31A48"/>
    <w:rsid w:val="00A31BDA"/>
    <w:rsid w:val="00A31F2E"/>
    <w:rsid w:val="00A325E7"/>
    <w:rsid w:val="00A32D87"/>
    <w:rsid w:val="00A331D8"/>
    <w:rsid w:val="00A34469"/>
    <w:rsid w:val="00A35C24"/>
    <w:rsid w:val="00A37D16"/>
    <w:rsid w:val="00A37DBB"/>
    <w:rsid w:val="00A37FE5"/>
    <w:rsid w:val="00A40ECC"/>
    <w:rsid w:val="00A40F4D"/>
    <w:rsid w:val="00A41147"/>
    <w:rsid w:val="00A418D6"/>
    <w:rsid w:val="00A41C8F"/>
    <w:rsid w:val="00A434DD"/>
    <w:rsid w:val="00A43F2F"/>
    <w:rsid w:val="00A4422F"/>
    <w:rsid w:val="00A44DBE"/>
    <w:rsid w:val="00A44E96"/>
    <w:rsid w:val="00A45063"/>
    <w:rsid w:val="00A4562E"/>
    <w:rsid w:val="00A456CB"/>
    <w:rsid w:val="00A46AF8"/>
    <w:rsid w:val="00A46B45"/>
    <w:rsid w:val="00A4790D"/>
    <w:rsid w:val="00A47DFA"/>
    <w:rsid w:val="00A52700"/>
    <w:rsid w:val="00A5279C"/>
    <w:rsid w:val="00A529B8"/>
    <w:rsid w:val="00A53257"/>
    <w:rsid w:val="00A53484"/>
    <w:rsid w:val="00A5426E"/>
    <w:rsid w:val="00A54285"/>
    <w:rsid w:val="00A54401"/>
    <w:rsid w:val="00A551F8"/>
    <w:rsid w:val="00A562D6"/>
    <w:rsid w:val="00A60320"/>
    <w:rsid w:val="00A605D0"/>
    <w:rsid w:val="00A60896"/>
    <w:rsid w:val="00A60956"/>
    <w:rsid w:val="00A613E4"/>
    <w:rsid w:val="00A62674"/>
    <w:rsid w:val="00A64747"/>
    <w:rsid w:val="00A64C0A"/>
    <w:rsid w:val="00A64EFE"/>
    <w:rsid w:val="00A660F0"/>
    <w:rsid w:val="00A668CE"/>
    <w:rsid w:val="00A67335"/>
    <w:rsid w:val="00A674F0"/>
    <w:rsid w:val="00A705AA"/>
    <w:rsid w:val="00A70DE2"/>
    <w:rsid w:val="00A723B8"/>
    <w:rsid w:val="00A7276E"/>
    <w:rsid w:val="00A72A00"/>
    <w:rsid w:val="00A74EA4"/>
    <w:rsid w:val="00A768C3"/>
    <w:rsid w:val="00A771B4"/>
    <w:rsid w:val="00A80428"/>
    <w:rsid w:val="00A81222"/>
    <w:rsid w:val="00A824E9"/>
    <w:rsid w:val="00A82536"/>
    <w:rsid w:val="00A82B86"/>
    <w:rsid w:val="00A82C06"/>
    <w:rsid w:val="00A82CC1"/>
    <w:rsid w:val="00A82E1D"/>
    <w:rsid w:val="00A8310B"/>
    <w:rsid w:val="00A83BDF"/>
    <w:rsid w:val="00A83D0E"/>
    <w:rsid w:val="00A83EC0"/>
    <w:rsid w:val="00A840F3"/>
    <w:rsid w:val="00A844F2"/>
    <w:rsid w:val="00A848B6"/>
    <w:rsid w:val="00A84AC9"/>
    <w:rsid w:val="00A8516E"/>
    <w:rsid w:val="00A8535F"/>
    <w:rsid w:val="00A85A4D"/>
    <w:rsid w:val="00A85E2A"/>
    <w:rsid w:val="00A871E6"/>
    <w:rsid w:val="00A901D3"/>
    <w:rsid w:val="00A901F8"/>
    <w:rsid w:val="00A902BD"/>
    <w:rsid w:val="00A90D7A"/>
    <w:rsid w:val="00A910F6"/>
    <w:rsid w:val="00A91245"/>
    <w:rsid w:val="00A920F2"/>
    <w:rsid w:val="00A93C44"/>
    <w:rsid w:val="00A93C9F"/>
    <w:rsid w:val="00A9435E"/>
    <w:rsid w:val="00A9550C"/>
    <w:rsid w:val="00A95F1A"/>
    <w:rsid w:val="00AA01AD"/>
    <w:rsid w:val="00AA053C"/>
    <w:rsid w:val="00AA0930"/>
    <w:rsid w:val="00AA1871"/>
    <w:rsid w:val="00AA1CD8"/>
    <w:rsid w:val="00AA1D65"/>
    <w:rsid w:val="00AA1F95"/>
    <w:rsid w:val="00AA3A94"/>
    <w:rsid w:val="00AA6145"/>
    <w:rsid w:val="00AA6D61"/>
    <w:rsid w:val="00AA7963"/>
    <w:rsid w:val="00AA7ACF"/>
    <w:rsid w:val="00AA7BB6"/>
    <w:rsid w:val="00AB0255"/>
    <w:rsid w:val="00AB074B"/>
    <w:rsid w:val="00AB07DE"/>
    <w:rsid w:val="00AB0FFC"/>
    <w:rsid w:val="00AB33DD"/>
    <w:rsid w:val="00AB3E1C"/>
    <w:rsid w:val="00AB4D98"/>
    <w:rsid w:val="00AB54CB"/>
    <w:rsid w:val="00AB61E6"/>
    <w:rsid w:val="00AB6263"/>
    <w:rsid w:val="00AB740A"/>
    <w:rsid w:val="00AB7D6D"/>
    <w:rsid w:val="00AB7E3B"/>
    <w:rsid w:val="00AB7EBA"/>
    <w:rsid w:val="00AC05A4"/>
    <w:rsid w:val="00AC085A"/>
    <w:rsid w:val="00AC21AF"/>
    <w:rsid w:val="00AC255C"/>
    <w:rsid w:val="00AC2979"/>
    <w:rsid w:val="00AC30C3"/>
    <w:rsid w:val="00AC5268"/>
    <w:rsid w:val="00AC5339"/>
    <w:rsid w:val="00AC5AF6"/>
    <w:rsid w:val="00AC6490"/>
    <w:rsid w:val="00AC65E3"/>
    <w:rsid w:val="00AC6926"/>
    <w:rsid w:val="00AC6CF1"/>
    <w:rsid w:val="00AC7A93"/>
    <w:rsid w:val="00AD0095"/>
    <w:rsid w:val="00AD05A7"/>
    <w:rsid w:val="00AD07DC"/>
    <w:rsid w:val="00AD108A"/>
    <w:rsid w:val="00AD13F7"/>
    <w:rsid w:val="00AD1AF0"/>
    <w:rsid w:val="00AD2929"/>
    <w:rsid w:val="00AD2966"/>
    <w:rsid w:val="00AD2E5D"/>
    <w:rsid w:val="00AD2E89"/>
    <w:rsid w:val="00AD3D03"/>
    <w:rsid w:val="00AD489F"/>
    <w:rsid w:val="00AD64D2"/>
    <w:rsid w:val="00AD655E"/>
    <w:rsid w:val="00AD7CFC"/>
    <w:rsid w:val="00AE187E"/>
    <w:rsid w:val="00AE191E"/>
    <w:rsid w:val="00AE1B76"/>
    <w:rsid w:val="00AE3DD7"/>
    <w:rsid w:val="00AE3ECF"/>
    <w:rsid w:val="00AE46E0"/>
    <w:rsid w:val="00AE5377"/>
    <w:rsid w:val="00AE5DE3"/>
    <w:rsid w:val="00AE603E"/>
    <w:rsid w:val="00AE6DA8"/>
    <w:rsid w:val="00AF0905"/>
    <w:rsid w:val="00AF0B4C"/>
    <w:rsid w:val="00AF1106"/>
    <w:rsid w:val="00AF2C36"/>
    <w:rsid w:val="00AF2E4D"/>
    <w:rsid w:val="00AF301B"/>
    <w:rsid w:val="00AF34A4"/>
    <w:rsid w:val="00AF3D72"/>
    <w:rsid w:val="00AF3E6B"/>
    <w:rsid w:val="00AF3E9A"/>
    <w:rsid w:val="00AF43D0"/>
    <w:rsid w:val="00AF4A9A"/>
    <w:rsid w:val="00AF5637"/>
    <w:rsid w:val="00AF576E"/>
    <w:rsid w:val="00B00141"/>
    <w:rsid w:val="00B002B4"/>
    <w:rsid w:val="00B00395"/>
    <w:rsid w:val="00B00A99"/>
    <w:rsid w:val="00B010EE"/>
    <w:rsid w:val="00B019F0"/>
    <w:rsid w:val="00B01FC5"/>
    <w:rsid w:val="00B027E5"/>
    <w:rsid w:val="00B02B44"/>
    <w:rsid w:val="00B02D01"/>
    <w:rsid w:val="00B03449"/>
    <w:rsid w:val="00B03F4E"/>
    <w:rsid w:val="00B0554C"/>
    <w:rsid w:val="00B055B3"/>
    <w:rsid w:val="00B05B66"/>
    <w:rsid w:val="00B06272"/>
    <w:rsid w:val="00B07F53"/>
    <w:rsid w:val="00B10A13"/>
    <w:rsid w:val="00B10CC6"/>
    <w:rsid w:val="00B10E5F"/>
    <w:rsid w:val="00B12129"/>
    <w:rsid w:val="00B124C6"/>
    <w:rsid w:val="00B12505"/>
    <w:rsid w:val="00B13988"/>
    <w:rsid w:val="00B13A30"/>
    <w:rsid w:val="00B15226"/>
    <w:rsid w:val="00B156AB"/>
    <w:rsid w:val="00B161EC"/>
    <w:rsid w:val="00B16E47"/>
    <w:rsid w:val="00B17646"/>
    <w:rsid w:val="00B17B17"/>
    <w:rsid w:val="00B20AC1"/>
    <w:rsid w:val="00B21DD7"/>
    <w:rsid w:val="00B222B1"/>
    <w:rsid w:val="00B22405"/>
    <w:rsid w:val="00B22C4C"/>
    <w:rsid w:val="00B23BD9"/>
    <w:rsid w:val="00B25298"/>
    <w:rsid w:val="00B25939"/>
    <w:rsid w:val="00B271F9"/>
    <w:rsid w:val="00B30407"/>
    <w:rsid w:val="00B31434"/>
    <w:rsid w:val="00B31906"/>
    <w:rsid w:val="00B31B61"/>
    <w:rsid w:val="00B32086"/>
    <w:rsid w:val="00B323FD"/>
    <w:rsid w:val="00B3254B"/>
    <w:rsid w:val="00B3390A"/>
    <w:rsid w:val="00B3393A"/>
    <w:rsid w:val="00B344EC"/>
    <w:rsid w:val="00B34CDB"/>
    <w:rsid w:val="00B366CE"/>
    <w:rsid w:val="00B36D44"/>
    <w:rsid w:val="00B3799F"/>
    <w:rsid w:val="00B401B6"/>
    <w:rsid w:val="00B417CF"/>
    <w:rsid w:val="00B41B82"/>
    <w:rsid w:val="00B420ED"/>
    <w:rsid w:val="00B44904"/>
    <w:rsid w:val="00B449C0"/>
    <w:rsid w:val="00B45143"/>
    <w:rsid w:val="00B458F7"/>
    <w:rsid w:val="00B460E9"/>
    <w:rsid w:val="00B468F8"/>
    <w:rsid w:val="00B46BA6"/>
    <w:rsid w:val="00B46CA8"/>
    <w:rsid w:val="00B504CE"/>
    <w:rsid w:val="00B50CF2"/>
    <w:rsid w:val="00B50ED4"/>
    <w:rsid w:val="00B52931"/>
    <w:rsid w:val="00B53660"/>
    <w:rsid w:val="00B53CC4"/>
    <w:rsid w:val="00B53EAE"/>
    <w:rsid w:val="00B54AC8"/>
    <w:rsid w:val="00B552B6"/>
    <w:rsid w:val="00B552C4"/>
    <w:rsid w:val="00B55499"/>
    <w:rsid w:val="00B55BC7"/>
    <w:rsid w:val="00B57ADA"/>
    <w:rsid w:val="00B57B66"/>
    <w:rsid w:val="00B57B83"/>
    <w:rsid w:val="00B57D19"/>
    <w:rsid w:val="00B60710"/>
    <w:rsid w:val="00B60859"/>
    <w:rsid w:val="00B614F0"/>
    <w:rsid w:val="00B61522"/>
    <w:rsid w:val="00B62397"/>
    <w:rsid w:val="00B62563"/>
    <w:rsid w:val="00B6256E"/>
    <w:rsid w:val="00B63590"/>
    <w:rsid w:val="00B63B7F"/>
    <w:rsid w:val="00B64272"/>
    <w:rsid w:val="00B649AA"/>
    <w:rsid w:val="00B652FD"/>
    <w:rsid w:val="00B654D6"/>
    <w:rsid w:val="00B65507"/>
    <w:rsid w:val="00B65602"/>
    <w:rsid w:val="00B6568F"/>
    <w:rsid w:val="00B66F89"/>
    <w:rsid w:val="00B67034"/>
    <w:rsid w:val="00B714B5"/>
    <w:rsid w:val="00B71842"/>
    <w:rsid w:val="00B71C29"/>
    <w:rsid w:val="00B71F13"/>
    <w:rsid w:val="00B727CF"/>
    <w:rsid w:val="00B735FA"/>
    <w:rsid w:val="00B7475C"/>
    <w:rsid w:val="00B7499A"/>
    <w:rsid w:val="00B74F4D"/>
    <w:rsid w:val="00B7534A"/>
    <w:rsid w:val="00B75495"/>
    <w:rsid w:val="00B75D79"/>
    <w:rsid w:val="00B762CA"/>
    <w:rsid w:val="00B764DB"/>
    <w:rsid w:val="00B7666B"/>
    <w:rsid w:val="00B7710A"/>
    <w:rsid w:val="00B775AF"/>
    <w:rsid w:val="00B77796"/>
    <w:rsid w:val="00B8016A"/>
    <w:rsid w:val="00B81426"/>
    <w:rsid w:val="00B81729"/>
    <w:rsid w:val="00B81EAD"/>
    <w:rsid w:val="00B82028"/>
    <w:rsid w:val="00B829F1"/>
    <w:rsid w:val="00B82A4B"/>
    <w:rsid w:val="00B83490"/>
    <w:rsid w:val="00B83D37"/>
    <w:rsid w:val="00B84329"/>
    <w:rsid w:val="00B85668"/>
    <w:rsid w:val="00B86851"/>
    <w:rsid w:val="00B86D71"/>
    <w:rsid w:val="00B873BB"/>
    <w:rsid w:val="00B911B9"/>
    <w:rsid w:val="00B92C77"/>
    <w:rsid w:val="00B93345"/>
    <w:rsid w:val="00B9371B"/>
    <w:rsid w:val="00B93D2F"/>
    <w:rsid w:val="00B946DF"/>
    <w:rsid w:val="00B95281"/>
    <w:rsid w:val="00B95326"/>
    <w:rsid w:val="00B95667"/>
    <w:rsid w:val="00B96969"/>
    <w:rsid w:val="00B96EC8"/>
    <w:rsid w:val="00B976F9"/>
    <w:rsid w:val="00B97D58"/>
    <w:rsid w:val="00B97F78"/>
    <w:rsid w:val="00BA105D"/>
    <w:rsid w:val="00BA12F9"/>
    <w:rsid w:val="00BA2A3F"/>
    <w:rsid w:val="00BA3350"/>
    <w:rsid w:val="00BA35CE"/>
    <w:rsid w:val="00BA4873"/>
    <w:rsid w:val="00BA49E5"/>
    <w:rsid w:val="00BA4B4C"/>
    <w:rsid w:val="00BA5155"/>
    <w:rsid w:val="00BA56E1"/>
    <w:rsid w:val="00BA6341"/>
    <w:rsid w:val="00BA6374"/>
    <w:rsid w:val="00BA7F62"/>
    <w:rsid w:val="00BB0703"/>
    <w:rsid w:val="00BB0B23"/>
    <w:rsid w:val="00BB0BA3"/>
    <w:rsid w:val="00BB0D1E"/>
    <w:rsid w:val="00BB2372"/>
    <w:rsid w:val="00BB2C40"/>
    <w:rsid w:val="00BB3ACA"/>
    <w:rsid w:val="00BB523C"/>
    <w:rsid w:val="00BB5690"/>
    <w:rsid w:val="00BB5AEF"/>
    <w:rsid w:val="00BB5BA5"/>
    <w:rsid w:val="00BB5DF8"/>
    <w:rsid w:val="00BB64AC"/>
    <w:rsid w:val="00BB683A"/>
    <w:rsid w:val="00BB6BD6"/>
    <w:rsid w:val="00BB7230"/>
    <w:rsid w:val="00BB7624"/>
    <w:rsid w:val="00BB7D2D"/>
    <w:rsid w:val="00BC0387"/>
    <w:rsid w:val="00BC1382"/>
    <w:rsid w:val="00BC1F93"/>
    <w:rsid w:val="00BC2A25"/>
    <w:rsid w:val="00BC2EC9"/>
    <w:rsid w:val="00BC3A80"/>
    <w:rsid w:val="00BC447B"/>
    <w:rsid w:val="00BC5500"/>
    <w:rsid w:val="00BC5778"/>
    <w:rsid w:val="00BC58BD"/>
    <w:rsid w:val="00BC6CC0"/>
    <w:rsid w:val="00BC721A"/>
    <w:rsid w:val="00BC724B"/>
    <w:rsid w:val="00BD0B34"/>
    <w:rsid w:val="00BD1390"/>
    <w:rsid w:val="00BD2DFE"/>
    <w:rsid w:val="00BD36A8"/>
    <w:rsid w:val="00BD43DE"/>
    <w:rsid w:val="00BD48C3"/>
    <w:rsid w:val="00BD4AFF"/>
    <w:rsid w:val="00BD555D"/>
    <w:rsid w:val="00BD59D5"/>
    <w:rsid w:val="00BD5BAE"/>
    <w:rsid w:val="00BD6BBD"/>
    <w:rsid w:val="00BD6C50"/>
    <w:rsid w:val="00BE271C"/>
    <w:rsid w:val="00BE32EE"/>
    <w:rsid w:val="00BE33E0"/>
    <w:rsid w:val="00BE403F"/>
    <w:rsid w:val="00BE40FD"/>
    <w:rsid w:val="00BE46A8"/>
    <w:rsid w:val="00BE46D9"/>
    <w:rsid w:val="00BE4854"/>
    <w:rsid w:val="00BE54CF"/>
    <w:rsid w:val="00BE5DC9"/>
    <w:rsid w:val="00BE5E4D"/>
    <w:rsid w:val="00BE6DF6"/>
    <w:rsid w:val="00BE73D2"/>
    <w:rsid w:val="00BE7B7F"/>
    <w:rsid w:val="00BF1E7F"/>
    <w:rsid w:val="00BF25B2"/>
    <w:rsid w:val="00BF2672"/>
    <w:rsid w:val="00BF27DE"/>
    <w:rsid w:val="00BF2B75"/>
    <w:rsid w:val="00BF3C8C"/>
    <w:rsid w:val="00BF4A29"/>
    <w:rsid w:val="00BF5515"/>
    <w:rsid w:val="00BF5796"/>
    <w:rsid w:val="00C00479"/>
    <w:rsid w:val="00C00A7E"/>
    <w:rsid w:val="00C02265"/>
    <w:rsid w:val="00C035BB"/>
    <w:rsid w:val="00C03685"/>
    <w:rsid w:val="00C03EDD"/>
    <w:rsid w:val="00C04161"/>
    <w:rsid w:val="00C044C6"/>
    <w:rsid w:val="00C05648"/>
    <w:rsid w:val="00C05FB4"/>
    <w:rsid w:val="00C05FCC"/>
    <w:rsid w:val="00C07108"/>
    <w:rsid w:val="00C07D2C"/>
    <w:rsid w:val="00C11539"/>
    <w:rsid w:val="00C136B8"/>
    <w:rsid w:val="00C13759"/>
    <w:rsid w:val="00C1493A"/>
    <w:rsid w:val="00C14D50"/>
    <w:rsid w:val="00C15174"/>
    <w:rsid w:val="00C15BFA"/>
    <w:rsid w:val="00C15DF3"/>
    <w:rsid w:val="00C160DC"/>
    <w:rsid w:val="00C16640"/>
    <w:rsid w:val="00C16A52"/>
    <w:rsid w:val="00C16BD0"/>
    <w:rsid w:val="00C1788B"/>
    <w:rsid w:val="00C178C9"/>
    <w:rsid w:val="00C17B09"/>
    <w:rsid w:val="00C22AB6"/>
    <w:rsid w:val="00C23234"/>
    <w:rsid w:val="00C2391A"/>
    <w:rsid w:val="00C242D4"/>
    <w:rsid w:val="00C24871"/>
    <w:rsid w:val="00C24996"/>
    <w:rsid w:val="00C26D52"/>
    <w:rsid w:val="00C26DD9"/>
    <w:rsid w:val="00C27729"/>
    <w:rsid w:val="00C27AAC"/>
    <w:rsid w:val="00C300DD"/>
    <w:rsid w:val="00C31232"/>
    <w:rsid w:val="00C3159A"/>
    <w:rsid w:val="00C31849"/>
    <w:rsid w:val="00C31FC5"/>
    <w:rsid w:val="00C323EA"/>
    <w:rsid w:val="00C33565"/>
    <w:rsid w:val="00C3493F"/>
    <w:rsid w:val="00C35EDF"/>
    <w:rsid w:val="00C3727C"/>
    <w:rsid w:val="00C374A8"/>
    <w:rsid w:val="00C3768E"/>
    <w:rsid w:val="00C40A0D"/>
    <w:rsid w:val="00C42748"/>
    <w:rsid w:val="00C42CE6"/>
    <w:rsid w:val="00C43091"/>
    <w:rsid w:val="00C431E0"/>
    <w:rsid w:val="00C4351F"/>
    <w:rsid w:val="00C4378A"/>
    <w:rsid w:val="00C44485"/>
    <w:rsid w:val="00C44834"/>
    <w:rsid w:val="00C44B21"/>
    <w:rsid w:val="00C44DBB"/>
    <w:rsid w:val="00C46B05"/>
    <w:rsid w:val="00C472B7"/>
    <w:rsid w:val="00C502A7"/>
    <w:rsid w:val="00C502C0"/>
    <w:rsid w:val="00C513E1"/>
    <w:rsid w:val="00C52219"/>
    <w:rsid w:val="00C523DA"/>
    <w:rsid w:val="00C52A03"/>
    <w:rsid w:val="00C538F5"/>
    <w:rsid w:val="00C53B54"/>
    <w:rsid w:val="00C53C76"/>
    <w:rsid w:val="00C5426D"/>
    <w:rsid w:val="00C549A0"/>
    <w:rsid w:val="00C54BE2"/>
    <w:rsid w:val="00C54D8E"/>
    <w:rsid w:val="00C55EFE"/>
    <w:rsid w:val="00C57430"/>
    <w:rsid w:val="00C5755E"/>
    <w:rsid w:val="00C60257"/>
    <w:rsid w:val="00C604E8"/>
    <w:rsid w:val="00C61C71"/>
    <w:rsid w:val="00C6367A"/>
    <w:rsid w:val="00C63874"/>
    <w:rsid w:val="00C6490D"/>
    <w:rsid w:val="00C649A4"/>
    <w:rsid w:val="00C64BF8"/>
    <w:rsid w:val="00C64C89"/>
    <w:rsid w:val="00C64D23"/>
    <w:rsid w:val="00C65A0F"/>
    <w:rsid w:val="00C65B9A"/>
    <w:rsid w:val="00C65FE8"/>
    <w:rsid w:val="00C70B43"/>
    <w:rsid w:val="00C70F9C"/>
    <w:rsid w:val="00C71066"/>
    <w:rsid w:val="00C715D0"/>
    <w:rsid w:val="00C71785"/>
    <w:rsid w:val="00C7194C"/>
    <w:rsid w:val="00C71F5E"/>
    <w:rsid w:val="00C72928"/>
    <w:rsid w:val="00C72C7E"/>
    <w:rsid w:val="00C7398E"/>
    <w:rsid w:val="00C73EFD"/>
    <w:rsid w:val="00C7422C"/>
    <w:rsid w:val="00C74F3D"/>
    <w:rsid w:val="00C75A05"/>
    <w:rsid w:val="00C75BDD"/>
    <w:rsid w:val="00C75C3D"/>
    <w:rsid w:val="00C75FB3"/>
    <w:rsid w:val="00C7605B"/>
    <w:rsid w:val="00C7669E"/>
    <w:rsid w:val="00C76EEA"/>
    <w:rsid w:val="00C77C8A"/>
    <w:rsid w:val="00C80A56"/>
    <w:rsid w:val="00C80BB9"/>
    <w:rsid w:val="00C8123A"/>
    <w:rsid w:val="00C835EE"/>
    <w:rsid w:val="00C83A77"/>
    <w:rsid w:val="00C843ED"/>
    <w:rsid w:val="00C85911"/>
    <w:rsid w:val="00C86164"/>
    <w:rsid w:val="00C86396"/>
    <w:rsid w:val="00C901D4"/>
    <w:rsid w:val="00C90727"/>
    <w:rsid w:val="00C91285"/>
    <w:rsid w:val="00C913A0"/>
    <w:rsid w:val="00C91D3F"/>
    <w:rsid w:val="00C91F18"/>
    <w:rsid w:val="00C93EDB"/>
    <w:rsid w:val="00C94523"/>
    <w:rsid w:val="00C94A49"/>
    <w:rsid w:val="00C95176"/>
    <w:rsid w:val="00C95311"/>
    <w:rsid w:val="00C95EC9"/>
    <w:rsid w:val="00C96E6E"/>
    <w:rsid w:val="00C9701A"/>
    <w:rsid w:val="00C97256"/>
    <w:rsid w:val="00C97DE6"/>
    <w:rsid w:val="00C97F3E"/>
    <w:rsid w:val="00CA04EF"/>
    <w:rsid w:val="00CA1936"/>
    <w:rsid w:val="00CA19E8"/>
    <w:rsid w:val="00CA1B8A"/>
    <w:rsid w:val="00CA2938"/>
    <w:rsid w:val="00CA2A5D"/>
    <w:rsid w:val="00CA52D3"/>
    <w:rsid w:val="00CA58E3"/>
    <w:rsid w:val="00CA6601"/>
    <w:rsid w:val="00CA7D2F"/>
    <w:rsid w:val="00CB1B94"/>
    <w:rsid w:val="00CB270F"/>
    <w:rsid w:val="00CB2A3D"/>
    <w:rsid w:val="00CB2C8D"/>
    <w:rsid w:val="00CB3520"/>
    <w:rsid w:val="00CB45AA"/>
    <w:rsid w:val="00CB4982"/>
    <w:rsid w:val="00CB5220"/>
    <w:rsid w:val="00CB5989"/>
    <w:rsid w:val="00CB770A"/>
    <w:rsid w:val="00CB798A"/>
    <w:rsid w:val="00CB79EC"/>
    <w:rsid w:val="00CB7FE8"/>
    <w:rsid w:val="00CC27A2"/>
    <w:rsid w:val="00CC31B1"/>
    <w:rsid w:val="00CC323D"/>
    <w:rsid w:val="00CC3F03"/>
    <w:rsid w:val="00CC4316"/>
    <w:rsid w:val="00CC4631"/>
    <w:rsid w:val="00CC4CB1"/>
    <w:rsid w:val="00CC4DC3"/>
    <w:rsid w:val="00CC5BFA"/>
    <w:rsid w:val="00CC609F"/>
    <w:rsid w:val="00CC61B9"/>
    <w:rsid w:val="00CD1270"/>
    <w:rsid w:val="00CD1448"/>
    <w:rsid w:val="00CD1709"/>
    <w:rsid w:val="00CD1A33"/>
    <w:rsid w:val="00CD267F"/>
    <w:rsid w:val="00CD2A6F"/>
    <w:rsid w:val="00CD300E"/>
    <w:rsid w:val="00CD315E"/>
    <w:rsid w:val="00CD5975"/>
    <w:rsid w:val="00CD5EDC"/>
    <w:rsid w:val="00CD70E6"/>
    <w:rsid w:val="00CD7F70"/>
    <w:rsid w:val="00CE039E"/>
    <w:rsid w:val="00CE09E1"/>
    <w:rsid w:val="00CE1A63"/>
    <w:rsid w:val="00CE1F95"/>
    <w:rsid w:val="00CE200A"/>
    <w:rsid w:val="00CE2C76"/>
    <w:rsid w:val="00CE4142"/>
    <w:rsid w:val="00CE4BFF"/>
    <w:rsid w:val="00CE6B2D"/>
    <w:rsid w:val="00CE6C2B"/>
    <w:rsid w:val="00CE72AD"/>
    <w:rsid w:val="00CE72F1"/>
    <w:rsid w:val="00CE7D4B"/>
    <w:rsid w:val="00CF0C74"/>
    <w:rsid w:val="00CF0CD9"/>
    <w:rsid w:val="00CF11ED"/>
    <w:rsid w:val="00CF1F24"/>
    <w:rsid w:val="00CF2469"/>
    <w:rsid w:val="00CF2F4B"/>
    <w:rsid w:val="00CF304B"/>
    <w:rsid w:val="00CF341D"/>
    <w:rsid w:val="00CF4478"/>
    <w:rsid w:val="00CF4678"/>
    <w:rsid w:val="00CF47C7"/>
    <w:rsid w:val="00CF49E7"/>
    <w:rsid w:val="00CF6767"/>
    <w:rsid w:val="00CF6932"/>
    <w:rsid w:val="00CF719D"/>
    <w:rsid w:val="00D00B1D"/>
    <w:rsid w:val="00D010D0"/>
    <w:rsid w:val="00D01D43"/>
    <w:rsid w:val="00D022F3"/>
    <w:rsid w:val="00D0242F"/>
    <w:rsid w:val="00D02CE1"/>
    <w:rsid w:val="00D02EBE"/>
    <w:rsid w:val="00D03339"/>
    <w:rsid w:val="00D037D5"/>
    <w:rsid w:val="00D044EF"/>
    <w:rsid w:val="00D04DB1"/>
    <w:rsid w:val="00D05A10"/>
    <w:rsid w:val="00D06410"/>
    <w:rsid w:val="00D0707B"/>
    <w:rsid w:val="00D074CD"/>
    <w:rsid w:val="00D077F2"/>
    <w:rsid w:val="00D07A3A"/>
    <w:rsid w:val="00D1033D"/>
    <w:rsid w:val="00D105DF"/>
    <w:rsid w:val="00D110AD"/>
    <w:rsid w:val="00D11426"/>
    <w:rsid w:val="00D11C58"/>
    <w:rsid w:val="00D121E2"/>
    <w:rsid w:val="00D1234B"/>
    <w:rsid w:val="00D12564"/>
    <w:rsid w:val="00D12BAD"/>
    <w:rsid w:val="00D12BEC"/>
    <w:rsid w:val="00D1312B"/>
    <w:rsid w:val="00D138D6"/>
    <w:rsid w:val="00D13906"/>
    <w:rsid w:val="00D1433F"/>
    <w:rsid w:val="00D14CB7"/>
    <w:rsid w:val="00D15E25"/>
    <w:rsid w:val="00D164F7"/>
    <w:rsid w:val="00D175FA"/>
    <w:rsid w:val="00D2019C"/>
    <w:rsid w:val="00D201C9"/>
    <w:rsid w:val="00D204B5"/>
    <w:rsid w:val="00D21155"/>
    <w:rsid w:val="00D226B8"/>
    <w:rsid w:val="00D229A8"/>
    <w:rsid w:val="00D262EB"/>
    <w:rsid w:val="00D26EA6"/>
    <w:rsid w:val="00D27C9A"/>
    <w:rsid w:val="00D30379"/>
    <w:rsid w:val="00D303ED"/>
    <w:rsid w:val="00D304B2"/>
    <w:rsid w:val="00D31229"/>
    <w:rsid w:val="00D31371"/>
    <w:rsid w:val="00D32140"/>
    <w:rsid w:val="00D32152"/>
    <w:rsid w:val="00D3226D"/>
    <w:rsid w:val="00D322D7"/>
    <w:rsid w:val="00D32A15"/>
    <w:rsid w:val="00D3391D"/>
    <w:rsid w:val="00D34B43"/>
    <w:rsid w:val="00D354EA"/>
    <w:rsid w:val="00D35C84"/>
    <w:rsid w:val="00D35D61"/>
    <w:rsid w:val="00D35F34"/>
    <w:rsid w:val="00D36482"/>
    <w:rsid w:val="00D36BEC"/>
    <w:rsid w:val="00D3754B"/>
    <w:rsid w:val="00D37903"/>
    <w:rsid w:val="00D37B31"/>
    <w:rsid w:val="00D4011B"/>
    <w:rsid w:val="00D40FCF"/>
    <w:rsid w:val="00D4242A"/>
    <w:rsid w:val="00D424CF"/>
    <w:rsid w:val="00D425C9"/>
    <w:rsid w:val="00D4283A"/>
    <w:rsid w:val="00D43720"/>
    <w:rsid w:val="00D448A2"/>
    <w:rsid w:val="00D44BD4"/>
    <w:rsid w:val="00D45312"/>
    <w:rsid w:val="00D469D2"/>
    <w:rsid w:val="00D47DFA"/>
    <w:rsid w:val="00D47FC7"/>
    <w:rsid w:val="00D50377"/>
    <w:rsid w:val="00D50542"/>
    <w:rsid w:val="00D50D3F"/>
    <w:rsid w:val="00D51DDE"/>
    <w:rsid w:val="00D528AF"/>
    <w:rsid w:val="00D530D0"/>
    <w:rsid w:val="00D5475F"/>
    <w:rsid w:val="00D547EC"/>
    <w:rsid w:val="00D54D8A"/>
    <w:rsid w:val="00D54FB0"/>
    <w:rsid w:val="00D562D8"/>
    <w:rsid w:val="00D56978"/>
    <w:rsid w:val="00D56F9A"/>
    <w:rsid w:val="00D57890"/>
    <w:rsid w:val="00D579A7"/>
    <w:rsid w:val="00D57F05"/>
    <w:rsid w:val="00D57F33"/>
    <w:rsid w:val="00D6053F"/>
    <w:rsid w:val="00D6098A"/>
    <w:rsid w:val="00D61EC8"/>
    <w:rsid w:val="00D621C5"/>
    <w:rsid w:val="00D650A2"/>
    <w:rsid w:val="00D653EC"/>
    <w:rsid w:val="00D6628E"/>
    <w:rsid w:val="00D6694B"/>
    <w:rsid w:val="00D66985"/>
    <w:rsid w:val="00D6757F"/>
    <w:rsid w:val="00D712FB"/>
    <w:rsid w:val="00D71432"/>
    <w:rsid w:val="00D7168B"/>
    <w:rsid w:val="00D719E3"/>
    <w:rsid w:val="00D729B5"/>
    <w:rsid w:val="00D72B47"/>
    <w:rsid w:val="00D73202"/>
    <w:rsid w:val="00D73B29"/>
    <w:rsid w:val="00D74D85"/>
    <w:rsid w:val="00D74F6D"/>
    <w:rsid w:val="00D751A6"/>
    <w:rsid w:val="00D758F1"/>
    <w:rsid w:val="00D76535"/>
    <w:rsid w:val="00D76578"/>
    <w:rsid w:val="00D76BE9"/>
    <w:rsid w:val="00D76C81"/>
    <w:rsid w:val="00D774A9"/>
    <w:rsid w:val="00D8041F"/>
    <w:rsid w:val="00D8132A"/>
    <w:rsid w:val="00D84AA9"/>
    <w:rsid w:val="00D84C5B"/>
    <w:rsid w:val="00D901E0"/>
    <w:rsid w:val="00D903BC"/>
    <w:rsid w:val="00D905B6"/>
    <w:rsid w:val="00D90761"/>
    <w:rsid w:val="00D910A7"/>
    <w:rsid w:val="00D91482"/>
    <w:rsid w:val="00D924C9"/>
    <w:rsid w:val="00D92F9E"/>
    <w:rsid w:val="00D93744"/>
    <w:rsid w:val="00D939CF"/>
    <w:rsid w:val="00D93FFE"/>
    <w:rsid w:val="00D95C3F"/>
    <w:rsid w:val="00D95D70"/>
    <w:rsid w:val="00D95E2A"/>
    <w:rsid w:val="00D96810"/>
    <w:rsid w:val="00D97A1E"/>
    <w:rsid w:val="00DA2089"/>
    <w:rsid w:val="00DA267E"/>
    <w:rsid w:val="00DA2F8C"/>
    <w:rsid w:val="00DA36C7"/>
    <w:rsid w:val="00DA3C50"/>
    <w:rsid w:val="00DA4FEC"/>
    <w:rsid w:val="00DA5563"/>
    <w:rsid w:val="00DA56F7"/>
    <w:rsid w:val="00DA6B6B"/>
    <w:rsid w:val="00DA6C72"/>
    <w:rsid w:val="00DA77A5"/>
    <w:rsid w:val="00DA7BFE"/>
    <w:rsid w:val="00DB1E46"/>
    <w:rsid w:val="00DB2E80"/>
    <w:rsid w:val="00DB2EE4"/>
    <w:rsid w:val="00DB3114"/>
    <w:rsid w:val="00DB3AE6"/>
    <w:rsid w:val="00DB3E2E"/>
    <w:rsid w:val="00DB5814"/>
    <w:rsid w:val="00DB67BB"/>
    <w:rsid w:val="00DB6E85"/>
    <w:rsid w:val="00DB78A0"/>
    <w:rsid w:val="00DC026B"/>
    <w:rsid w:val="00DC061A"/>
    <w:rsid w:val="00DC11C7"/>
    <w:rsid w:val="00DC1636"/>
    <w:rsid w:val="00DC19F9"/>
    <w:rsid w:val="00DC1E04"/>
    <w:rsid w:val="00DC27CF"/>
    <w:rsid w:val="00DC28D2"/>
    <w:rsid w:val="00DC344A"/>
    <w:rsid w:val="00DC3722"/>
    <w:rsid w:val="00DC3E46"/>
    <w:rsid w:val="00DC4040"/>
    <w:rsid w:val="00DC5293"/>
    <w:rsid w:val="00DC55B2"/>
    <w:rsid w:val="00DC5CF3"/>
    <w:rsid w:val="00DC5D9A"/>
    <w:rsid w:val="00DC6D25"/>
    <w:rsid w:val="00DC7499"/>
    <w:rsid w:val="00DD094C"/>
    <w:rsid w:val="00DD0A73"/>
    <w:rsid w:val="00DD146A"/>
    <w:rsid w:val="00DD1D41"/>
    <w:rsid w:val="00DD1DB3"/>
    <w:rsid w:val="00DD217B"/>
    <w:rsid w:val="00DD2660"/>
    <w:rsid w:val="00DD3406"/>
    <w:rsid w:val="00DD3977"/>
    <w:rsid w:val="00DD4AFA"/>
    <w:rsid w:val="00DD4C2E"/>
    <w:rsid w:val="00DD5365"/>
    <w:rsid w:val="00DD54B6"/>
    <w:rsid w:val="00DD57EB"/>
    <w:rsid w:val="00DD617E"/>
    <w:rsid w:val="00DD7A96"/>
    <w:rsid w:val="00DD7D92"/>
    <w:rsid w:val="00DD7FDE"/>
    <w:rsid w:val="00DE0B23"/>
    <w:rsid w:val="00DE1388"/>
    <w:rsid w:val="00DE224C"/>
    <w:rsid w:val="00DE2A1A"/>
    <w:rsid w:val="00DE301E"/>
    <w:rsid w:val="00DE32E1"/>
    <w:rsid w:val="00DE35F5"/>
    <w:rsid w:val="00DE43CD"/>
    <w:rsid w:val="00DE5034"/>
    <w:rsid w:val="00DE54F9"/>
    <w:rsid w:val="00DE5A14"/>
    <w:rsid w:val="00DE605D"/>
    <w:rsid w:val="00DE62FF"/>
    <w:rsid w:val="00DE6A41"/>
    <w:rsid w:val="00DE6FED"/>
    <w:rsid w:val="00DE71D1"/>
    <w:rsid w:val="00DE7B86"/>
    <w:rsid w:val="00DE7E9F"/>
    <w:rsid w:val="00DF0625"/>
    <w:rsid w:val="00DF0E0C"/>
    <w:rsid w:val="00DF1874"/>
    <w:rsid w:val="00DF1C30"/>
    <w:rsid w:val="00DF3BE5"/>
    <w:rsid w:val="00DF4DA2"/>
    <w:rsid w:val="00DF57C9"/>
    <w:rsid w:val="00DF5F52"/>
    <w:rsid w:val="00DF6659"/>
    <w:rsid w:val="00DF6CD8"/>
    <w:rsid w:val="00DF7059"/>
    <w:rsid w:val="00DF7C43"/>
    <w:rsid w:val="00E00235"/>
    <w:rsid w:val="00E00508"/>
    <w:rsid w:val="00E01428"/>
    <w:rsid w:val="00E0191E"/>
    <w:rsid w:val="00E01BC0"/>
    <w:rsid w:val="00E01E8D"/>
    <w:rsid w:val="00E0259B"/>
    <w:rsid w:val="00E0304A"/>
    <w:rsid w:val="00E036B4"/>
    <w:rsid w:val="00E04049"/>
    <w:rsid w:val="00E05B7A"/>
    <w:rsid w:val="00E063F7"/>
    <w:rsid w:val="00E075A0"/>
    <w:rsid w:val="00E11155"/>
    <w:rsid w:val="00E11763"/>
    <w:rsid w:val="00E122AB"/>
    <w:rsid w:val="00E1276E"/>
    <w:rsid w:val="00E12A44"/>
    <w:rsid w:val="00E14309"/>
    <w:rsid w:val="00E1541B"/>
    <w:rsid w:val="00E1618D"/>
    <w:rsid w:val="00E162BB"/>
    <w:rsid w:val="00E16626"/>
    <w:rsid w:val="00E172A7"/>
    <w:rsid w:val="00E1730F"/>
    <w:rsid w:val="00E17A9D"/>
    <w:rsid w:val="00E20657"/>
    <w:rsid w:val="00E20829"/>
    <w:rsid w:val="00E20C21"/>
    <w:rsid w:val="00E216DD"/>
    <w:rsid w:val="00E22314"/>
    <w:rsid w:val="00E22A69"/>
    <w:rsid w:val="00E2402B"/>
    <w:rsid w:val="00E25166"/>
    <w:rsid w:val="00E266C8"/>
    <w:rsid w:val="00E273F0"/>
    <w:rsid w:val="00E27D34"/>
    <w:rsid w:val="00E27E2D"/>
    <w:rsid w:val="00E303BA"/>
    <w:rsid w:val="00E305F7"/>
    <w:rsid w:val="00E3086F"/>
    <w:rsid w:val="00E30A79"/>
    <w:rsid w:val="00E30BC0"/>
    <w:rsid w:val="00E32431"/>
    <w:rsid w:val="00E32979"/>
    <w:rsid w:val="00E3373F"/>
    <w:rsid w:val="00E349D1"/>
    <w:rsid w:val="00E3502D"/>
    <w:rsid w:val="00E36011"/>
    <w:rsid w:val="00E3605B"/>
    <w:rsid w:val="00E36AB2"/>
    <w:rsid w:val="00E36CA3"/>
    <w:rsid w:val="00E37174"/>
    <w:rsid w:val="00E404A5"/>
    <w:rsid w:val="00E4106F"/>
    <w:rsid w:val="00E42F79"/>
    <w:rsid w:val="00E43020"/>
    <w:rsid w:val="00E43043"/>
    <w:rsid w:val="00E4332C"/>
    <w:rsid w:val="00E43947"/>
    <w:rsid w:val="00E43C28"/>
    <w:rsid w:val="00E43EFE"/>
    <w:rsid w:val="00E442C3"/>
    <w:rsid w:val="00E454E9"/>
    <w:rsid w:val="00E45805"/>
    <w:rsid w:val="00E45A46"/>
    <w:rsid w:val="00E45E70"/>
    <w:rsid w:val="00E46004"/>
    <w:rsid w:val="00E4611E"/>
    <w:rsid w:val="00E464FF"/>
    <w:rsid w:val="00E4683C"/>
    <w:rsid w:val="00E47431"/>
    <w:rsid w:val="00E474D1"/>
    <w:rsid w:val="00E500C1"/>
    <w:rsid w:val="00E514F3"/>
    <w:rsid w:val="00E51F48"/>
    <w:rsid w:val="00E52295"/>
    <w:rsid w:val="00E52B63"/>
    <w:rsid w:val="00E52F49"/>
    <w:rsid w:val="00E539D8"/>
    <w:rsid w:val="00E53EB3"/>
    <w:rsid w:val="00E5431A"/>
    <w:rsid w:val="00E543EA"/>
    <w:rsid w:val="00E55049"/>
    <w:rsid w:val="00E55068"/>
    <w:rsid w:val="00E5515B"/>
    <w:rsid w:val="00E55251"/>
    <w:rsid w:val="00E55441"/>
    <w:rsid w:val="00E56601"/>
    <w:rsid w:val="00E56D87"/>
    <w:rsid w:val="00E573F9"/>
    <w:rsid w:val="00E60660"/>
    <w:rsid w:val="00E607AF"/>
    <w:rsid w:val="00E60B6A"/>
    <w:rsid w:val="00E60EA0"/>
    <w:rsid w:val="00E614FD"/>
    <w:rsid w:val="00E61B24"/>
    <w:rsid w:val="00E6219D"/>
    <w:rsid w:val="00E626D0"/>
    <w:rsid w:val="00E6324E"/>
    <w:rsid w:val="00E632FD"/>
    <w:rsid w:val="00E642CE"/>
    <w:rsid w:val="00E646D2"/>
    <w:rsid w:val="00E65BE8"/>
    <w:rsid w:val="00E66538"/>
    <w:rsid w:val="00E703A3"/>
    <w:rsid w:val="00E705BA"/>
    <w:rsid w:val="00E706EE"/>
    <w:rsid w:val="00E70F08"/>
    <w:rsid w:val="00E718D3"/>
    <w:rsid w:val="00E71BED"/>
    <w:rsid w:val="00E72196"/>
    <w:rsid w:val="00E7344D"/>
    <w:rsid w:val="00E739F1"/>
    <w:rsid w:val="00E73AF6"/>
    <w:rsid w:val="00E745E7"/>
    <w:rsid w:val="00E74EE8"/>
    <w:rsid w:val="00E7532C"/>
    <w:rsid w:val="00E75B58"/>
    <w:rsid w:val="00E762A0"/>
    <w:rsid w:val="00E76FA9"/>
    <w:rsid w:val="00E77867"/>
    <w:rsid w:val="00E809C8"/>
    <w:rsid w:val="00E80E06"/>
    <w:rsid w:val="00E813DF"/>
    <w:rsid w:val="00E81951"/>
    <w:rsid w:val="00E82BFA"/>
    <w:rsid w:val="00E83066"/>
    <w:rsid w:val="00E8314A"/>
    <w:rsid w:val="00E8338A"/>
    <w:rsid w:val="00E8399B"/>
    <w:rsid w:val="00E84046"/>
    <w:rsid w:val="00E847C0"/>
    <w:rsid w:val="00E860F6"/>
    <w:rsid w:val="00E86339"/>
    <w:rsid w:val="00E87BEC"/>
    <w:rsid w:val="00E90C4A"/>
    <w:rsid w:val="00E9196B"/>
    <w:rsid w:val="00E91E1F"/>
    <w:rsid w:val="00E91FFC"/>
    <w:rsid w:val="00E92708"/>
    <w:rsid w:val="00E92AAC"/>
    <w:rsid w:val="00E92DC7"/>
    <w:rsid w:val="00E92E30"/>
    <w:rsid w:val="00E93430"/>
    <w:rsid w:val="00E943CE"/>
    <w:rsid w:val="00E94471"/>
    <w:rsid w:val="00E94F62"/>
    <w:rsid w:val="00E95B0C"/>
    <w:rsid w:val="00E96443"/>
    <w:rsid w:val="00E96608"/>
    <w:rsid w:val="00E96C3C"/>
    <w:rsid w:val="00E977D9"/>
    <w:rsid w:val="00E979D9"/>
    <w:rsid w:val="00E97D2D"/>
    <w:rsid w:val="00EA0142"/>
    <w:rsid w:val="00EA040C"/>
    <w:rsid w:val="00EA09DA"/>
    <w:rsid w:val="00EA0D04"/>
    <w:rsid w:val="00EA0D87"/>
    <w:rsid w:val="00EA1772"/>
    <w:rsid w:val="00EA2E87"/>
    <w:rsid w:val="00EA319D"/>
    <w:rsid w:val="00EA3812"/>
    <w:rsid w:val="00EA3A8B"/>
    <w:rsid w:val="00EA4386"/>
    <w:rsid w:val="00EA526D"/>
    <w:rsid w:val="00EA6B38"/>
    <w:rsid w:val="00EB00B2"/>
    <w:rsid w:val="00EB0133"/>
    <w:rsid w:val="00EB0B04"/>
    <w:rsid w:val="00EB1087"/>
    <w:rsid w:val="00EB108D"/>
    <w:rsid w:val="00EB22D8"/>
    <w:rsid w:val="00EB2C5A"/>
    <w:rsid w:val="00EB30F2"/>
    <w:rsid w:val="00EB3D3A"/>
    <w:rsid w:val="00EB435D"/>
    <w:rsid w:val="00EB4B9A"/>
    <w:rsid w:val="00EB5B58"/>
    <w:rsid w:val="00EB5F49"/>
    <w:rsid w:val="00EB5FF6"/>
    <w:rsid w:val="00EB6753"/>
    <w:rsid w:val="00EB7257"/>
    <w:rsid w:val="00EC0068"/>
    <w:rsid w:val="00EC0A31"/>
    <w:rsid w:val="00EC17B0"/>
    <w:rsid w:val="00EC193E"/>
    <w:rsid w:val="00EC216B"/>
    <w:rsid w:val="00EC220C"/>
    <w:rsid w:val="00EC2817"/>
    <w:rsid w:val="00EC2C22"/>
    <w:rsid w:val="00EC2FCD"/>
    <w:rsid w:val="00EC37E5"/>
    <w:rsid w:val="00EC3A5B"/>
    <w:rsid w:val="00EC3C4D"/>
    <w:rsid w:val="00EC44E0"/>
    <w:rsid w:val="00EC487B"/>
    <w:rsid w:val="00EC5ED1"/>
    <w:rsid w:val="00EC737E"/>
    <w:rsid w:val="00ED07AB"/>
    <w:rsid w:val="00ED1CA8"/>
    <w:rsid w:val="00ED1E88"/>
    <w:rsid w:val="00ED3489"/>
    <w:rsid w:val="00ED38B6"/>
    <w:rsid w:val="00ED5304"/>
    <w:rsid w:val="00ED6E20"/>
    <w:rsid w:val="00ED7293"/>
    <w:rsid w:val="00ED79C2"/>
    <w:rsid w:val="00ED7CBB"/>
    <w:rsid w:val="00EE0A7A"/>
    <w:rsid w:val="00EE0F78"/>
    <w:rsid w:val="00EE149E"/>
    <w:rsid w:val="00EE1A7F"/>
    <w:rsid w:val="00EE1B2B"/>
    <w:rsid w:val="00EE2B14"/>
    <w:rsid w:val="00EE3A8D"/>
    <w:rsid w:val="00EE3F67"/>
    <w:rsid w:val="00EE4DAD"/>
    <w:rsid w:val="00EE6487"/>
    <w:rsid w:val="00EE6496"/>
    <w:rsid w:val="00EE6711"/>
    <w:rsid w:val="00EE737E"/>
    <w:rsid w:val="00EE763C"/>
    <w:rsid w:val="00EE7731"/>
    <w:rsid w:val="00EF0155"/>
    <w:rsid w:val="00EF1C50"/>
    <w:rsid w:val="00EF264F"/>
    <w:rsid w:val="00EF2762"/>
    <w:rsid w:val="00EF3C5A"/>
    <w:rsid w:val="00EF417C"/>
    <w:rsid w:val="00EF4284"/>
    <w:rsid w:val="00EF46DE"/>
    <w:rsid w:val="00EF51DF"/>
    <w:rsid w:val="00EF548D"/>
    <w:rsid w:val="00EF5DAF"/>
    <w:rsid w:val="00EF638E"/>
    <w:rsid w:val="00EF6890"/>
    <w:rsid w:val="00EF6A68"/>
    <w:rsid w:val="00EF6C70"/>
    <w:rsid w:val="00EF7A33"/>
    <w:rsid w:val="00F00AA1"/>
    <w:rsid w:val="00F00CCB"/>
    <w:rsid w:val="00F00DA9"/>
    <w:rsid w:val="00F00E9A"/>
    <w:rsid w:val="00F018AA"/>
    <w:rsid w:val="00F01AF7"/>
    <w:rsid w:val="00F01C63"/>
    <w:rsid w:val="00F02E11"/>
    <w:rsid w:val="00F03E5C"/>
    <w:rsid w:val="00F042DC"/>
    <w:rsid w:val="00F04610"/>
    <w:rsid w:val="00F05078"/>
    <w:rsid w:val="00F05AFA"/>
    <w:rsid w:val="00F06375"/>
    <w:rsid w:val="00F0659A"/>
    <w:rsid w:val="00F06F65"/>
    <w:rsid w:val="00F06FDE"/>
    <w:rsid w:val="00F074B3"/>
    <w:rsid w:val="00F127BE"/>
    <w:rsid w:val="00F13A67"/>
    <w:rsid w:val="00F14B6D"/>
    <w:rsid w:val="00F153BE"/>
    <w:rsid w:val="00F15707"/>
    <w:rsid w:val="00F17159"/>
    <w:rsid w:val="00F17649"/>
    <w:rsid w:val="00F176AE"/>
    <w:rsid w:val="00F204CE"/>
    <w:rsid w:val="00F2083A"/>
    <w:rsid w:val="00F21087"/>
    <w:rsid w:val="00F21132"/>
    <w:rsid w:val="00F21736"/>
    <w:rsid w:val="00F22556"/>
    <w:rsid w:val="00F22962"/>
    <w:rsid w:val="00F2298C"/>
    <w:rsid w:val="00F22B9E"/>
    <w:rsid w:val="00F240E1"/>
    <w:rsid w:val="00F2460F"/>
    <w:rsid w:val="00F2546B"/>
    <w:rsid w:val="00F2570B"/>
    <w:rsid w:val="00F2615A"/>
    <w:rsid w:val="00F2638E"/>
    <w:rsid w:val="00F2656E"/>
    <w:rsid w:val="00F2672A"/>
    <w:rsid w:val="00F26D87"/>
    <w:rsid w:val="00F27940"/>
    <w:rsid w:val="00F27D7C"/>
    <w:rsid w:val="00F30F32"/>
    <w:rsid w:val="00F3128C"/>
    <w:rsid w:val="00F319B3"/>
    <w:rsid w:val="00F32226"/>
    <w:rsid w:val="00F33709"/>
    <w:rsid w:val="00F339BE"/>
    <w:rsid w:val="00F350BC"/>
    <w:rsid w:val="00F350F2"/>
    <w:rsid w:val="00F36116"/>
    <w:rsid w:val="00F36606"/>
    <w:rsid w:val="00F3667A"/>
    <w:rsid w:val="00F36A1C"/>
    <w:rsid w:val="00F37321"/>
    <w:rsid w:val="00F37C12"/>
    <w:rsid w:val="00F402AD"/>
    <w:rsid w:val="00F40CD5"/>
    <w:rsid w:val="00F41819"/>
    <w:rsid w:val="00F42335"/>
    <w:rsid w:val="00F424A2"/>
    <w:rsid w:val="00F42AB4"/>
    <w:rsid w:val="00F43339"/>
    <w:rsid w:val="00F43407"/>
    <w:rsid w:val="00F4343E"/>
    <w:rsid w:val="00F4364D"/>
    <w:rsid w:val="00F43906"/>
    <w:rsid w:val="00F4397B"/>
    <w:rsid w:val="00F44745"/>
    <w:rsid w:val="00F44CDB"/>
    <w:rsid w:val="00F44DED"/>
    <w:rsid w:val="00F452DC"/>
    <w:rsid w:val="00F47CB4"/>
    <w:rsid w:val="00F5042E"/>
    <w:rsid w:val="00F50C5A"/>
    <w:rsid w:val="00F513C3"/>
    <w:rsid w:val="00F515AF"/>
    <w:rsid w:val="00F52422"/>
    <w:rsid w:val="00F528FD"/>
    <w:rsid w:val="00F53F38"/>
    <w:rsid w:val="00F54A2C"/>
    <w:rsid w:val="00F55784"/>
    <w:rsid w:val="00F55AA1"/>
    <w:rsid w:val="00F56273"/>
    <w:rsid w:val="00F57343"/>
    <w:rsid w:val="00F5761B"/>
    <w:rsid w:val="00F579C3"/>
    <w:rsid w:val="00F6055C"/>
    <w:rsid w:val="00F605BE"/>
    <w:rsid w:val="00F60792"/>
    <w:rsid w:val="00F6083B"/>
    <w:rsid w:val="00F6169B"/>
    <w:rsid w:val="00F61B54"/>
    <w:rsid w:val="00F6343D"/>
    <w:rsid w:val="00F6418D"/>
    <w:rsid w:val="00F654B8"/>
    <w:rsid w:val="00F65DC7"/>
    <w:rsid w:val="00F65E81"/>
    <w:rsid w:val="00F661BC"/>
    <w:rsid w:val="00F667F7"/>
    <w:rsid w:val="00F679B9"/>
    <w:rsid w:val="00F67C92"/>
    <w:rsid w:val="00F71ED4"/>
    <w:rsid w:val="00F73570"/>
    <w:rsid w:val="00F7388D"/>
    <w:rsid w:val="00F74496"/>
    <w:rsid w:val="00F7449B"/>
    <w:rsid w:val="00F7472A"/>
    <w:rsid w:val="00F74AEE"/>
    <w:rsid w:val="00F751B3"/>
    <w:rsid w:val="00F7791F"/>
    <w:rsid w:val="00F805D3"/>
    <w:rsid w:val="00F81171"/>
    <w:rsid w:val="00F81865"/>
    <w:rsid w:val="00F81BDE"/>
    <w:rsid w:val="00F82097"/>
    <w:rsid w:val="00F83DAA"/>
    <w:rsid w:val="00F84CBA"/>
    <w:rsid w:val="00F84F70"/>
    <w:rsid w:val="00F85342"/>
    <w:rsid w:val="00F853DE"/>
    <w:rsid w:val="00F856FF"/>
    <w:rsid w:val="00F85CB1"/>
    <w:rsid w:val="00F85E4A"/>
    <w:rsid w:val="00F85E7E"/>
    <w:rsid w:val="00F87150"/>
    <w:rsid w:val="00F8747E"/>
    <w:rsid w:val="00F87487"/>
    <w:rsid w:val="00F90748"/>
    <w:rsid w:val="00F913D0"/>
    <w:rsid w:val="00F91C09"/>
    <w:rsid w:val="00F928E8"/>
    <w:rsid w:val="00F92C90"/>
    <w:rsid w:val="00F93025"/>
    <w:rsid w:val="00F94AE7"/>
    <w:rsid w:val="00F94EA8"/>
    <w:rsid w:val="00F95018"/>
    <w:rsid w:val="00F95854"/>
    <w:rsid w:val="00F96B8F"/>
    <w:rsid w:val="00F973A1"/>
    <w:rsid w:val="00FA0556"/>
    <w:rsid w:val="00FA130A"/>
    <w:rsid w:val="00FA1E86"/>
    <w:rsid w:val="00FA2046"/>
    <w:rsid w:val="00FA20C3"/>
    <w:rsid w:val="00FA2E6A"/>
    <w:rsid w:val="00FA369A"/>
    <w:rsid w:val="00FA386D"/>
    <w:rsid w:val="00FA484C"/>
    <w:rsid w:val="00FA6318"/>
    <w:rsid w:val="00FA6517"/>
    <w:rsid w:val="00FA7040"/>
    <w:rsid w:val="00FA79EA"/>
    <w:rsid w:val="00FA7A3A"/>
    <w:rsid w:val="00FA7CB5"/>
    <w:rsid w:val="00FB00C9"/>
    <w:rsid w:val="00FB0C19"/>
    <w:rsid w:val="00FB1000"/>
    <w:rsid w:val="00FB11E7"/>
    <w:rsid w:val="00FB1777"/>
    <w:rsid w:val="00FB37CE"/>
    <w:rsid w:val="00FB37DE"/>
    <w:rsid w:val="00FB3E6A"/>
    <w:rsid w:val="00FB4C46"/>
    <w:rsid w:val="00FB5CAE"/>
    <w:rsid w:val="00FB6388"/>
    <w:rsid w:val="00FB658C"/>
    <w:rsid w:val="00FB6611"/>
    <w:rsid w:val="00FB6C58"/>
    <w:rsid w:val="00FB6F4C"/>
    <w:rsid w:val="00FB7D97"/>
    <w:rsid w:val="00FC03F0"/>
    <w:rsid w:val="00FC141C"/>
    <w:rsid w:val="00FC1DD1"/>
    <w:rsid w:val="00FC1E23"/>
    <w:rsid w:val="00FC1EC3"/>
    <w:rsid w:val="00FC2308"/>
    <w:rsid w:val="00FC2AA3"/>
    <w:rsid w:val="00FC2D76"/>
    <w:rsid w:val="00FC377A"/>
    <w:rsid w:val="00FC391F"/>
    <w:rsid w:val="00FC39D2"/>
    <w:rsid w:val="00FC426E"/>
    <w:rsid w:val="00FC49F2"/>
    <w:rsid w:val="00FC618A"/>
    <w:rsid w:val="00FC7198"/>
    <w:rsid w:val="00FD02C4"/>
    <w:rsid w:val="00FD036F"/>
    <w:rsid w:val="00FD118F"/>
    <w:rsid w:val="00FD1772"/>
    <w:rsid w:val="00FD273F"/>
    <w:rsid w:val="00FD2927"/>
    <w:rsid w:val="00FD3928"/>
    <w:rsid w:val="00FD3BB9"/>
    <w:rsid w:val="00FD4184"/>
    <w:rsid w:val="00FD4467"/>
    <w:rsid w:val="00FD450D"/>
    <w:rsid w:val="00FD56D0"/>
    <w:rsid w:val="00FD60C6"/>
    <w:rsid w:val="00FD62A5"/>
    <w:rsid w:val="00FD6857"/>
    <w:rsid w:val="00FD7819"/>
    <w:rsid w:val="00FD79AD"/>
    <w:rsid w:val="00FE029B"/>
    <w:rsid w:val="00FE1270"/>
    <w:rsid w:val="00FE1DFB"/>
    <w:rsid w:val="00FE20AE"/>
    <w:rsid w:val="00FE2FA9"/>
    <w:rsid w:val="00FE395C"/>
    <w:rsid w:val="00FE4DFA"/>
    <w:rsid w:val="00FE4E24"/>
    <w:rsid w:val="00FE5B0F"/>
    <w:rsid w:val="00FE6A9E"/>
    <w:rsid w:val="00FE6B33"/>
    <w:rsid w:val="00FE7188"/>
    <w:rsid w:val="00FE7204"/>
    <w:rsid w:val="00FF03D6"/>
    <w:rsid w:val="00FF0683"/>
    <w:rsid w:val="00FF0765"/>
    <w:rsid w:val="00FF1A9D"/>
    <w:rsid w:val="00FF1C8A"/>
    <w:rsid w:val="00FF2564"/>
    <w:rsid w:val="00FF2A05"/>
    <w:rsid w:val="00FF36C1"/>
    <w:rsid w:val="00FF3A21"/>
    <w:rsid w:val="00FF3D72"/>
    <w:rsid w:val="00FF3DC8"/>
    <w:rsid w:val="00FF426E"/>
    <w:rsid w:val="00FF522B"/>
    <w:rsid w:val="00FF6422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1C3F93F-AF67-4488-9D3A-C23C639B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A58"/>
    <w:rPr>
      <w:lang w:eastAsia="en-US"/>
    </w:rPr>
  </w:style>
  <w:style w:type="paragraph" w:styleId="Heading1">
    <w:name w:val="heading 1"/>
    <w:basedOn w:val="Normal"/>
    <w:next w:val="Normal"/>
    <w:qFormat/>
    <w:rsid w:val="00C93EDB"/>
    <w:pPr>
      <w:keepNext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rsid w:val="00C93EDB"/>
    <w:pPr>
      <w:keepNext/>
      <w:jc w:val="both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rsid w:val="00C93EDB"/>
    <w:pPr>
      <w:keepNext/>
      <w:jc w:val="center"/>
      <w:outlineLvl w:val="2"/>
    </w:pPr>
    <w:rPr>
      <w:rFonts w:ascii="Arial" w:hAnsi="Arial"/>
      <w:b/>
      <w:i/>
      <w:sz w:val="22"/>
    </w:rPr>
  </w:style>
  <w:style w:type="paragraph" w:styleId="Heading4">
    <w:name w:val="heading 4"/>
    <w:basedOn w:val="Normal"/>
    <w:next w:val="Normal"/>
    <w:link w:val="Heading4Char"/>
    <w:qFormat/>
    <w:rsid w:val="00C93EDB"/>
    <w:pPr>
      <w:keepNext/>
      <w:jc w:val="both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rsid w:val="00C93EDB"/>
    <w:pPr>
      <w:keepNext/>
      <w:jc w:val="both"/>
      <w:outlineLvl w:val="4"/>
    </w:pPr>
    <w:rPr>
      <w:rFonts w:ascii="Arial" w:hAnsi="Arial"/>
      <w:sz w:val="24"/>
    </w:rPr>
  </w:style>
  <w:style w:type="paragraph" w:styleId="Heading6">
    <w:name w:val="heading 6"/>
    <w:basedOn w:val="Normal"/>
    <w:next w:val="Normal"/>
    <w:qFormat/>
    <w:rsid w:val="00C93EDB"/>
    <w:pPr>
      <w:keepNext/>
      <w:jc w:val="both"/>
      <w:outlineLvl w:val="5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93EDB"/>
    <w:rPr>
      <w:rFonts w:ascii="Arial" w:hAnsi="Arial"/>
      <w:sz w:val="22"/>
    </w:rPr>
  </w:style>
  <w:style w:type="paragraph" w:styleId="BodyText3">
    <w:name w:val="Body Text 3"/>
    <w:basedOn w:val="Normal"/>
    <w:link w:val="BodyText3Char"/>
    <w:rsid w:val="00C93EDB"/>
    <w:pPr>
      <w:jc w:val="both"/>
    </w:pPr>
    <w:rPr>
      <w:rFonts w:ascii="Arial" w:hAnsi="Arial"/>
      <w:b/>
      <w:sz w:val="24"/>
    </w:rPr>
  </w:style>
  <w:style w:type="paragraph" w:styleId="BodyText2">
    <w:name w:val="Body Text 2"/>
    <w:basedOn w:val="Normal"/>
    <w:link w:val="BodyText2Char"/>
    <w:rsid w:val="00C93EDB"/>
    <w:pPr>
      <w:jc w:val="both"/>
    </w:pPr>
    <w:rPr>
      <w:rFonts w:ascii="Arial" w:hAnsi="Arial"/>
    </w:rPr>
  </w:style>
  <w:style w:type="paragraph" w:styleId="Footer">
    <w:name w:val="footer"/>
    <w:basedOn w:val="Normal"/>
    <w:link w:val="FooterChar"/>
    <w:uiPriority w:val="99"/>
    <w:rsid w:val="00C93EDB"/>
    <w:pPr>
      <w:tabs>
        <w:tab w:val="center" w:pos="4153"/>
        <w:tab w:val="right" w:pos="8306"/>
      </w:tabs>
    </w:pPr>
  </w:style>
  <w:style w:type="character" w:styleId="Hyperlink">
    <w:name w:val="Hyperlink"/>
    <w:rsid w:val="00C93EDB"/>
    <w:rPr>
      <w:color w:val="0000FF"/>
      <w:u w:val="single"/>
    </w:rPr>
  </w:style>
  <w:style w:type="character" w:styleId="PageNumber">
    <w:name w:val="page number"/>
    <w:basedOn w:val="DefaultParagraphFont"/>
    <w:rsid w:val="00C93EDB"/>
  </w:style>
  <w:style w:type="paragraph" w:styleId="DocumentMap">
    <w:name w:val="Document Map"/>
    <w:basedOn w:val="Normal"/>
    <w:semiHidden/>
    <w:rsid w:val="00C93EDB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C93EDB"/>
    <w:pPr>
      <w:tabs>
        <w:tab w:val="center" w:pos="4320"/>
        <w:tab w:val="right" w:pos="8640"/>
      </w:tabs>
    </w:pPr>
    <w:rPr>
      <w:sz w:val="22"/>
    </w:rPr>
  </w:style>
  <w:style w:type="paragraph" w:styleId="BalloonText">
    <w:name w:val="Balloon Text"/>
    <w:basedOn w:val="Normal"/>
    <w:semiHidden/>
    <w:rsid w:val="00D0242F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BodyText3"/>
    <w:rsid w:val="00041CFB"/>
    <w:rPr>
      <w:rFonts w:ascii="Arial" w:hAnsi="Arial"/>
      <w:b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D6053F"/>
    <w:pPr>
      <w:ind w:left="708"/>
    </w:pPr>
  </w:style>
  <w:style w:type="character" w:customStyle="1" w:styleId="Heading4Char">
    <w:name w:val="Heading 4 Char"/>
    <w:link w:val="Heading4"/>
    <w:rsid w:val="00214B8F"/>
    <w:rPr>
      <w:rFonts w:ascii="Arial" w:hAnsi="Arial"/>
      <w:b/>
      <w:sz w:val="22"/>
      <w:lang w:eastAsia="en-US"/>
    </w:rPr>
  </w:style>
  <w:style w:type="character" w:styleId="CommentReference">
    <w:name w:val="annotation reference"/>
    <w:basedOn w:val="DefaultParagraphFont"/>
    <w:rsid w:val="007414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147F"/>
  </w:style>
  <w:style w:type="character" w:customStyle="1" w:styleId="CommentTextChar">
    <w:name w:val="Comment Text Char"/>
    <w:basedOn w:val="DefaultParagraphFont"/>
    <w:link w:val="CommentText"/>
    <w:rsid w:val="0074147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414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4147F"/>
    <w:rPr>
      <w:b/>
      <w:bCs/>
      <w:lang w:eastAsia="en-US"/>
    </w:rPr>
  </w:style>
  <w:style w:type="character" w:styleId="Strong">
    <w:name w:val="Strong"/>
    <w:uiPriority w:val="22"/>
    <w:qFormat/>
    <w:rsid w:val="0060167A"/>
    <w:rPr>
      <w:b/>
      <w:bCs/>
    </w:rPr>
  </w:style>
  <w:style w:type="character" w:customStyle="1" w:styleId="BodyText2Char">
    <w:name w:val="Body Text 2 Char"/>
    <w:basedOn w:val="DefaultParagraphFont"/>
    <w:link w:val="BodyText2"/>
    <w:rsid w:val="00707480"/>
    <w:rPr>
      <w:rFonts w:ascii="Arial" w:hAnsi="Arial"/>
      <w:lang w:eastAsia="en-US"/>
    </w:rPr>
  </w:style>
  <w:style w:type="table" w:styleId="TableGrid">
    <w:name w:val="Table Grid"/>
    <w:basedOn w:val="TableNormal"/>
    <w:rsid w:val="00D32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88486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0034D2-FF43-4E61-B96F-05A8E5C0C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5289</Words>
  <Characters>30151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grad rijeka</Company>
  <LinksUpToDate>false</LinksUpToDate>
  <CharactersWithSpaces>35370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Vanda Sesar</dc:creator>
  <cp:lastModifiedBy>Kukuljan Ljiljana</cp:lastModifiedBy>
  <cp:revision>2</cp:revision>
  <cp:lastPrinted>2025-02-26T08:31:00Z</cp:lastPrinted>
  <dcterms:created xsi:type="dcterms:W3CDTF">2025-02-26T08:49:00Z</dcterms:created>
  <dcterms:modified xsi:type="dcterms:W3CDTF">2025-02-26T08:49:00Z</dcterms:modified>
</cp:coreProperties>
</file>