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D695B" w:rsidRPr="004C4164">
        <w:trPr>
          <w:tblCellSpacing w:w="60" w:type="dxa"/>
        </w:trPr>
        <w:tc>
          <w:tcPr>
            <w:tcW w:w="1200" w:type="pct"/>
            <w:shd w:val="clear" w:color="auto" w:fill="E7F0F9"/>
          </w:tcPr>
          <w:p w:rsidR="00CD695B" w:rsidRPr="004C4164" w:rsidRDefault="0098474D">
            <w:pPr>
              <w:spacing w:after="0" w:line="240" w:lineRule="auto"/>
              <w:rPr>
                <w:lang w:val="hr-HR"/>
              </w:rPr>
            </w:pPr>
            <w:r w:rsidRPr="004C4164">
              <w:rPr>
                <w:b/>
                <w:lang w:val="hr-HR"/>
              </w:rPr>
              <w:t>RKP broj</w:t>
            </w:r>
          </w:p>
        </w:tc>
        <w:tc>
          <w:tcPr>
            <w:tcW w:w="0" w:type="auto"/>
            <w:shd w:val="clear" w:color="auto" w:fill="E7F0F9"/>
          </w:tcPr>
          <w:p w:rsidR="00CD695B" w:rsidRPr="004C4164" w:rsidRDefault="0098474D">
            <w:pPr>
              <w:spacing w:after="0" w:line="240" w:lineRule="auto"/>
              <w:rPr>
                <w:lang w:val="hr-HR"/>
              </w:rPr>
            </w:pPr>
            <w:r w:rsidRPr="004C4164">
              <w:rPr>
                <w:lang w:val="hr-HR"/>
              </w:rPr>
              <w:t>31059</w:t>
            </w:r>
          </w:p>
        </w:tc>
      </w:tr>
      <w:tr w:rsidR="00CD695B" w:rsidRPr="004C4164">
        <w:trPr>
          <w:tblCellSpacing w:w="60" w:type="dxa"/>
        </w:trPr>
        <w:tc>
          <w:tcPr>
            <w:tcW w:w="1200" w:type="pct"/>
            <w:shd w:val="clear" w:color="auto" w:fill="E7F0F9"/>
          </w:tcPr>
          <w:p w:rsidR="00CD695B" w:rsidRPr="004C4164" w:rsidRDefault="0098474D">
            <w:pPr>
              <w:spacing w:after="0" w:line="240" w:lineRule="auto"/>
              <w:rPr>
                <w:lang w:val="hr-HR"/>
              </w:rPr>
            </w:pPr>
            <w:r w:rsidRPr="004C4164">
              <w:rPr>
                <w:b/>
                <w:lang w:val="hr-HR"/>
              </w:rPr>
              <w:t>Naziv obveznika</w:t>
            </w:r>
          </w:p>
        </w:tc>
        <w:tc>
          <w:tcPr>
            <w:tcW w:w="0" w:type="auto"/>
            <w:shd w:val="clear" w:color="auto" w:fill="E7F0F9"/>
          </w:tcPr>
          <w:p w:rsidR="00CD695B" w:rsidRPr="004C4164" w:rsidRDefault="0098474D">
            <w:pPr>
              <w:spacing w:after="0" w:line="240" w:lineRule="auto"/>
              <w:rPr>
                <w:lang w:val="hr-HR"/>
              </w:rPr>
            </w:pPr>
            <w:r w:rsidRPr="004C4164">
              <w:rPr>
                <w:lang w:val="hr-HR"/>
              </w:rPr>
              <w:t>GRAD RIJEKA</w:t>
            </w:r>
          </w:p>
        </w:tc>
      </w:tr>
      <w:tr w:rsidR="00CD695B" w:rsidRPr="004C4164">
        <w:trPr>
          <w:tblCellSpacing w:w="60" w:type="dxa"/>
        </w:trPr>
        <w:tc>
          <w:tcPr>
            <w:tcW w:w="1200" w:type="pct"/>
            <w:shd w:val="clear" w:color="auto" w:fill="E7F0F9"/>
          </w:tcPr>
          <w:p w:rsidR="00CD695B" w:rsidRPr="004C4164" w:rsidRDefault="0098474D">
            <w:pPr>
              <w:spacing w:after="0" w:line="240" w:lineRule="auto"/>
              <w:rPr>
                <w:lang w:val="hr-HR"/>
              </w:rPr>
            </w:pPr>
            <w:r w:rsidRPr="004C4164">
              <w:rPr>
                <w:b/>
                <w:lang w:val="hr-HR"/>
              </w:rPr>
              <w:t>Razina</w:t>
            </w:r>
          </w:p>
        </w:tc>
        <w:tc>
          <w:tcPr>
            <w:tcW w:w="0" w:type="auto"/>
            <w:shd w:val="clear" w:color="auto" w:fill="E7F0F9"/>
          </w:tcPr>
          <w:p w:rsidR="00CD695B" w:rsidRPr="004C4164" w:rsidRDefault="0098474D">
            <w:pPr>
              <w:spacing w:after="0" w:line="240" w:lineRule="auto"/>
              <w:rPr>
                <w:lang w:val="hr-HR"/>
              </w:rPr>
            </w:pPr>
            <w:r w:rsidRPr="004C4164">
              <w:rPr>
                <w:lang w:val="hr-HR"/>
              </w:rPr>
              <w:t>22</w:t>
            </w:r>
          </w:p>
        </w:tc>
      </w:tr>
    </w:tbl>
    <w:p w:rsidR="00D1303E" w:rsidRPr="004C4164" w:rsidRDefault="0098474D">
      <w:pPr>
        <w:rPr>
          <w:lang w:val="hr-HR"/>
        </w:rPr>
      </w:pPr>
      <w:r w:rsidRPr="004C4164">
        <w:rPr>
          <w:lang w:val="hr-HR"/>
        </w:rPr>
        <w:br/>
      </w:r>
    </w:p>
    <w:p w:rsidR="00CD695B" w:rsidRPr="004C4164" w:rsidRDefault="0098474D">
      <w:pPr>
        <w:spacing w:line="240" w:lineRule="auto"/>
        <w:jc w:val="center"/>
        <w:rPr>
          <w:lang w:val="hr-HR"/>
        </w:rPr>
      </w:pPr>
      <w:r w:rsidRPr="004C4164">
        <w:rPr>
          <w:b/>
          <w:sz w:val="28"/>
          <w:lang w:val="hr-HR"/>
        </w:rPr>
        <w:t>BILJEŠKE UZ FINANCIJSKE IZVJEŠTAJE</w:t>
      </w:r>
    </w:p>
    <w:p w:rsidR="00CD695B" w:rsidRPr="004C4164" w:rsidRDefault="0098474D">
      <w:pPr>
        <w:spacing w:line="240" w:lineRule="auto"/>
        <w:jc w:val="center"/>
        <w:rPr>
          <w:lang w:val="hr-HR"/>
        </w:rPr>
      </w:pPr>
      <w:r w:rsidRPr="004C4164">
        <w:rPr>
          <w:b/>
          <w:sz w:val="28"/>
          <w:lang w:val="hr-HR"/>
        </w:rPr>
        <w:t>ZA RAZDOBLJE</w:t>
      </w:r>
    </w:p>
    <w:p w:rsidR="00CD695B" w:rsidRPr="004C4164" w:rsidRDefault="0098474D">
      <w:pPr>
        <w:spacing w:line="240" w:lineRule="auto"/>
        <w:jc w:val="center"/>
        <w:rPr>
          <w:lang w:val="hr-HR"/>
        </w:rPr>
      </w:pPr>
      <w:r w:rsidRPr="004C4164">
        <w:rPr>
          <w:b/>
          <w:sz w:val="28"/>
          <w:lang w:val="hr-HR"/>
        </w:rPr>
        <w:t>I - XII 2025.</w:t>
      </w:r>
    </w:p>
    <w:p w:rsidR="00D1303E" w:rsidRPr="004C4164" w:rsidRDefault="00D1303E">
      <w:pPr>
        <w:rPr>
          <w:lang w:val="hr-HR"/>
        </w:rPr>
      </w:pPr>
    </w:p>
    <w:p w:rsidR="00CD695B" w:rsidRPr="004C4164" w:rsidRDefault="0098474D">
      <w:pPr>
        <w:keepNext/>
        <w:spacing w:line="240" w:lineRule="auto"/>
        <w:jc w:val="center"/>
        <w:rPr>
          <w:lang w:val="hr-HR"/>
        </w:rPr>
      </w:pPr>
      <w:r w:rsidRPr="004C4164">
        <w:rPr>
          <w:b/>
          <w:sz w:val="28"/>
          <w:lang w:val="hr-HR"/>
        </w:rPr>
        <w:t>Izvještaj o prihodima i rashodima, primicima i izdacima</w:t>
      </w:r>
    </w:p>
    <w:p w:rsidR="00472483" w:rsidRDefault="00472483">
      <w:pPr>
        <w:keepNext/>
        <w:spacing w:line="240" w:lineRule="auto"/>
        <w:jc w:val="center"/>
        <w:rPr>
          <w:sz w:val="28"/>
          <w:lang w:val="hr-HR"/>
        </w:rPr>
      </w:pPr>
    </w:p>
    <w:p w:rsidR="00CD695B" w:rsidRPr="004C4164" w:rsidRDefault="0098474D">
      <w:pPr>
        <w:keepNext/>
        <w:spacing w:line="240" w:lineRule="auto"/>
        <w:jc w:val="center"/>
        <w:rPr>
          <w:lang w:val="hr-HR"/>
        </w:rPr>
      </w:pPr>
      <w:r w:rsidRPr="004C4164">
        <w:rPr>
          <w:sz w:val="28"/>
          <w:lang w:val="hr-HR"/>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PRIHODI POSLOVANJA (šifre 61+62+63+64+65+66+67+68)</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137.754.229,42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147.141.610,71</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106,8</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RASHODI POSLOVANJA (šifre 31+32+34+35+36+37+38)</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114.370.444,83</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136.861.021,55</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119,7</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b/>
                <w:sz w:val="18"/>
                <w:lang w:val="hr-HR"/>
              </w:rPr>
              <w:t>VIŠAK PRIHODA POSLOVANJA (šifre 6-Z005)</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b/>
                <w:sz w:val="18"/>
                <w:lang w:val="hr-HR"/>
              </w:rPr>
              <w:t>X001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23.383.784,59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10.280.589,16</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44,0</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7</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Prihodi od prodaje nefinancijske imovine (šifre 71+72+73+74)</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5.490.679,81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1.284.556,03</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23,4</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4</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Rashodi za nabavu nefinancijske imovine (šifre 41+42+43+44+45)</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4</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14.148.504,60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13.910.402,06</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98,3</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b/>
                <w:sz w:val="18"/>
                <w:lang w:val="hr-HR"/>
              </w:rPr>
              <w:t>MANJAK PRIHODA OD NEFINANCIJSKE IMOVINE (šifre 4-7)</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b/>
                <w:sz w:val="18"/>
                <w:lang w:val="hr-HR"/>
              </w:rPr>
              <w:t>Y002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8.657.824,79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12.625.846,03</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145,8</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8</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Primici od financijske imovine i zaduživanja (šifre 81+82+83+84+85)</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8</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281.946,09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124.077,82</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44,0</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5</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Izdaci za financijsku imovinu i otplate zajmova (šifre 51+52+53+54+55)</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3.604.089,34</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3.848.279,70</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106,8</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b/>
                <w:sz w:val="18"/>
                <w:lang w:val="hr-HR"/>
              </w:rPr>
              <w:t>MANJAK PRIMITAKA OD FINANCIJSKE IMOVINE I ZADUŽIVANJA (šifre 5-8)</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b/>
                <w:sz w:val="18"/>
                <w:lang w:val="hr-HR"/>
              </w:rPr>
              <w:t>Y003</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3.322.143,25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3.724.201,88</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112,1</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b/>
                <w:sz w:val="18"/>
                <w:lang w:val="hr-HR"/>
              </w:rPr>
              <w:t>MANJAK PRIHODA I PRIMITAKA (šifre Y345-X678)</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b/>
                <w:sz w:val="18"/>
                <w:lang w:val="hr-HR"/>
              </w:rPr>
              <w:t>Y005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0,00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6.069.458,75</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b/>
                <w:sz w:val="18"/>
                <w:lang w:val="hr-HR"/>
              </w:rPr>
              <w:t>-</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U ovom izvještajnom razdoblju ukupni prihodi i primici ostvareni su u iznosu od 148.550.244,56 eura. Usporedbom s ostvarenjem u istom izvještajnom razdoblju prethodne godine, kada su iznosili 143.526.855,32 eura, ostvareni su 5.023.389,44 eura ili 3,5% više. U okviru prihoda poslovanja povećanje se bilježi kod prihoda od poreza (12,6%), prihoda od imovine (4,5%), prihoda od upravnih i administrativnih pristojbi, pristojbi po posebnim propisima i naknada (3%) i prihoda od donacija, najvećim dijelom kapitalnih donacija. Smanjenje u ostvarenju prihoda poslovanja bilježi se kod pomoći od subjekata unutar općeg proračuna te kod ostalih prihoda. Prihodi od prodaje nefinancijske imovine bilježe pad ostvarenja od 76,6% i to u dijelu prihoda od prodaje zemljišta, stambenih i poslovnih objekata. Primici od financijske imovine i zaduživanja bilježe pad ostvarenja od 56%, u odnosu na isto razdoblje prethodne godine. </w:t>
      </w:r>
    </w:p>
    <w:p w:rsidR="00CD695B" w:rsidRPr="004C4164" w:rsidRDefault="0098474D">
      <w:pPr>
        <w:jc w:val="both"/>
        <w:rPr>
          <w:lang w:val="hr-HR"/>
        </w:rPr>
      </w:pPr>
      <w:r w:rsidRPr="004C4164">
        <w:rPr>
          <w:lang w:val="hr-HR"/>
        </w:rPr>
        <w:t>U ovom izvještajnom razdoblju ukupni rashodi i izdaci izvršeni su u iznosu od 154.619.703,31 eura, za 22.496.664,54 eura ili 17% više u odnosu na isto razdoblje prethodne godine. U strukturi ukupnih rashoda i izdataka porast izvršenja zabilježen je u okviru rashoda poslovanja (19,7%), i kod izdataka za financijsku imovinu i otplate zajmova (6,8%). Rashodi za nabavu nefinancijske imovine ostvareni su gotovo na istoj razini kao i prethodne godine. </w:t>
      </w:r>
    </w:p>
    <w:p w:rsidR="00CD695B" w:rsidRPr="004C4164" w:rsidRDefault="0098474D">
      <w:pPr>
        <w:jc w:val="both"/>
        <w:rPr>
          <w:lang w:val="hr-HR"/>
        </w:rPr>
      </w:pPr>
      <w:r w:rsidRPr="004C4164">
        <w:rPr>
          <w:lang w:val="hr-HR"/>
        </w:rPr>
        <w:t>U ovom izvještajnom razdoblju ostvaren je tekući manjak prihoda i primitaka u iznosu od 6.069.458,75 eura, proizašao iz viška prihoda poslovanja 10.280.589,16 eura, manjka prihoda od nefinancijske imovine 12.625.846,03 eura i manjka primitaka od financijske imovine i zaduživanja 3.724.201,88 eura. </w:t>
      </w:r>
    </w:p>
    <w:p w:rsidR="00CD695B" w:rsidRPr="004C4164" w:rsidRDefault="0098474D">
      <w:pPr>
        <w:jc w:val="both"/>
        <w:rPr>
          <w:lang w:val="hr-HR"/>
        </w:rPr>
      </w:pPr>
      <w:r w:rsidRPr="004C4164">
        <w:rPr>
          <w:lang w:val="hr-HR"/>
        </w:rPr>
        <w:t>Grad je već u Proračunu za 2025. godinu planirao veće rashode od prihoda u iznosu od 19.777.630 eura koji će se pokriti iz izvora Višak prihoda iz prethodnih godina. Odlukom o raspodjeli financijskog rezultata za 2024. godinu raspoređeno je dodatnih 3.189.907,89 eura iz viška prenesenog prihoda za utvrđene namjene. Konačno, Izmjenama i dopunama Proračuna za 2025.  godinu, iznos rashoda koji se planira pokriti iz izvora Višak prethodnih godina utvrđen je u iznosu od 16.764.518 eura.  </w:t>
      </w:r>
    </w:p>
    <w:p w:rsidR="00CD695B" w:rsidRPr="004C4164" w:rsidRDefault="0098474D">
      <w:pPr>
        <w:jc w:val="both"/>
        <w:rPr>
          <w:lang w:val="hr-HR"/>
        </w:rPr>
      </w:pPr>
      <w:r w:rsidRPr="004C4164">
        <w:rPr>
          <w:lang w:val="hr-HR"/>
        </w:rPr>
        <w:t>Preneseni višak prihoda i primitaka iz prethodnog razdoblja iznosio je 28.571.369,79 eura. U svojoj strukturi viškova i manjkova korigiran je u skladu s Odlukom o raspodjeli financijskog rezultata Grada Rijeke za 2024. godinu (“Službene novine Grada Rijeke“, broj 11/25.) i po osnovu  provedenih ispravaka rezultata prethodnih godina u iznosu od 46.734,87 eura (članak 193. Pravilnika o proračunskom računovodstvu i Računskom planu). Preneseni viškovi i manjkovi prihoda i primitaka korigirani su u Obrascu PR-RAS za navedene iznose te je ukupni preneseni višak prihoda i primitaka konačno iskazan u iznosu od 28.618.104,66 eura.</w:t>
      </w:r>
    </w:p>
    <w:p w:rsidR="00CD695B" w:rsidRPr="004C4164" w:rsidRDefault="0098474D">
      <w:pPr>
        <w:jc w:val="both"/>
        <w:rPr>
          <w:lang w:val="hr-HR"/>
        </w:rPr>
      </w:pPr>
      <w:r w:rsidRPr="004C4164">
        <w:rPr>
          <w:lang w:val="hr-HR"/>
        </w:rPr>
        <w:t>Sagledavajući preneseni višak i tekući manjak u ovom izvještajnom razdoblju ostvaren je Višak prihoda i primitaka raspoloživ u sljedećem razdoblju u iznosu od 22.548.645,91 eura. </w:t>
      </w:r>
    </w:p>
    <w:p w:rsidR="00CD695B" w:rsidRPr="004C4164" w:rsidRDefault="0098474D">
      <w:pPr>
        <w:jc w:val="both"/>
        <w:rPr>
          <w:lang w:val="hr-HR"/>
        </w:rPr>
      </w:pPr>
      <w:r w:rsidRPr="004C4164">
        <w:rPr>
          <w:lang w:val="hr-HR"/>
        </w:rPr>
        <w:t>Grad je u Proračunu za 2026. godinu planirao rashode koji će se financirati iz dijela prenesenog viška prihoda iz prethodne godine, u iznosu od 13.381.990 eura.</w:t>
      </w:r>
    </w:p>
    <w:p w:rsidR="00CD695B" w:rsidRPr="004C4164" w:rsidRDefault="0098474D" w:rsidP="00D1303E">
      <w:pPr>
        <w:jc w:val="both"/>
        <w:rPr>
          <w:lang w:val="hr-HR"/>
        </w:rPr>
      </w:pPr>
      <w:r w:rsidRPr="004C4164">
        <w:rPr>
          <w:lang w:val="hr-HR"/>
        </w:rPr>
        <w:br/>
      </w:r>
    </w:p>
    <w:p w:rsidR="00CD695B" w:rsidRPr="004C4164" w:rsidRDefault="0098474D">
      <w:pPr>
        <w:keepNext/>
        <w:spacing w:line="240" w:lineRule="auto"/>
        <w:jc w:val="center"/>
        <w:rPr>
          <w:lang w:val="hr-HR"/>
        </w:rPr>
      </w:pPr>
      <w:r w:rsidRPr="004C4164">
        <w:rPr>
          <w:sz w:val="28"/>
          <w:lang w:val="hr-HR"/>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611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Porez na dohodak (šifre 6111 do 6116 - 6117 - 6119)</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611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87.017.072,60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99.247.045,21</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114,1</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Porez na dohodak bilježi rast za 12.229.972,61 eura ili 14,1% u odnosu na isto razdoblje prethodne godine. Veće ostvarenje poreza na dohodak posljedica je gospodarskog rasta i porasta plaća zaposlenih. </w:t>
      </w:r>
    </w:p>
    <w:p w:rsidR="00CD695B" w:rsidRPr="004C4164" w:rsidRDefault="0098474D">
      <w:pPr>
        <w:jc w:val="both"/>
        <w:rPr>
          <w:lang w:val="hr-HR"/>
        </w:rPr>
      </w:pPr>
      <w:r w:rsidRPr="004C4164">
        <w:rPr>
          <w:lang w:val="hr-HR"/>
        </w:rPr>
        <w:t>Po godišnjoj prijavi za 2024. godinu isplaćen je povrat poreza na dohodak u ukupnom iznosu od 8.524.381,88 eura, ali je po istoj osnovi i uplaćen iznos od 2.742.111,43 eura te saldo ukupnog povrata iznosi 5.782.270,45 eura. U nedostatku financijskih sredstava na zajedničkom računu poreza na dohodak, Državni proračun je namirio Gradu ukupno 7.343.109,19 eura u navedenu svrhu. Grad je, po Uputama Ministarstva financija, za navedeni iznos namirenja iskazao obvezu za povrat u Državni proračun i u potpunosti je podmirio do 30. rujna 2025. godine.</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6131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Stalni porezi na nepokretnu imovinu (zemlju, zgrade, kuće i ostalo)</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6131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179.220,44</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769.493,24</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429,4</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Stalni porezi na nepokretnu imovinu (zemlju, zgrade, kuće i ostalo) ostvareni u izvještajnoj godini  odnose se uglavnom na porez na nekretnine i u manjem dijelu na naplatu poreza na kuće za odmor iz ranijih godina. Porez na nekretnine zamjenjuje porez na kuće za odmor i primjenjuje se na sve stambene nekretnine koje ne služe za stalno stanovanje ili dugoročni najam. Gradsko vijeće Grada Rijeke na sjednici održanoj 27. veljače 2025. godine donijelo je Odluku o izmjenama Odluke o porezima Grada Rijeke te je u Članku 4. ove Odluke propisan iznos od 5,00 eura po jednom kvadratnom metru korisne površine nekretnine na cijelom području grada Rijeke. Uvođenje ovog poreza ima za cilj osigurati pravedniji porezni sustav i stabilniji izvor prihoda za lokalne proračune, uz istovremeno poticanje efikasnijeg korištenja stambenog prostora. </w:t>
      </w:r>
    </w:p>
    <w:p w:rsidR="00CD695B" w:rsidRPr="004C4164" w:rsidRDefault="0098474D">
      <w:pPr>
        <w:jc w:val="both"/>
        <w:rPr>
          <w:lang w:val="hr-HR"/>
        </w:rPr>
      </w:pPr>
      <w:r w:rsidRPr="004C4164">
        <w:rPr>
          <w:lang w:val="hr-HR"/>
        </w:rPr>
        <w:t>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6331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Tekuće pomoći proračunu i izvanproračunskim korisnicima iz drugih proračuna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6331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1.080.546,00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1.422.926,00</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131,7</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Značajno povećanje zabilježeno je kod primljenih tekućih pomoći proračunu iz drugih proračuna u okviru kojih je Ministarstvo znanosti i obrazovanja, temeljem Uredbe o kriterijima i mjerilima za utvrđivanje iznosa sredstava za fiskalnu održivost dječjih vrtića, prenijelo 882.780,00 eura na račun Grada Rijeke za unaprjeđenje ranog i predškolskog odgoja i obrazovanja u dječjim vrtićima. Nadalje, u okviru ovih prihoda, doznačene su tekuće pomoći iz općinskih proračuna za sufinanciranje usluge upravljanja </w:t>
      </w:r>
      <w:proofErr w:type="spellStart"/>
      <w:r w:rsidRPr="004C4164">
        <w:rPr>
          <w:lang w:val="hr-HR"/>
        </w:rPr>
        <w:t>Sortirnice</w:t>
      </w:r>
      <w:proofErr w:type="spellEnd"/>
      <w:r w:rsidRPr="004C4164">
        <w:rPr>
          <w:lang w:val="hr-HR"/>
        </w:rPr>
        <w:t xml:space="preserve"> </w:t>
      </w:r>
      <w:proofErr w:type="spellStart"/>
      <w:r w:rsidRPr="004C4164">
        <w:rPr>
          <w:lang w:val="hr-HR"/>
        </w:rPr>
        <w:t>Mihačeva</w:t>
      </w:r>
      <w:proofErr w:type="spellEnd"/>
      <w:r w:rsidRPr="004C4164">
        <w:rPr>
          <w:lang w:val="hr-HR"/>
        </w:rPr>
        <w:t xml:space="preserve"> draga u iznosu od 125.488,20 eura, zatim sredstva u iznosu od 132.722,80 eura temeljem Odluke Ministarstva financija o dodjeli pomoći na ime poticaja za dobrovoljno funkcionalno spajanje jedinica lokalne samouprave Model A - zajedničko trgovačko društvo - KD Autotrolej d.o.o. i Odluke o dodjeli na ime poticaja za dobrovoljno funkcionalno spajanje jedinica lokalne samouprave Model A - zajednička ustanova Gradska knjižnica Rijeka. </w:t>
      </w:r>
    </w:p>
    <w:p w:rsidR="00CD695B" w:rsidRPr="004C4164" w:rsidRDefault="0098474D">
      <w:pPr>
        <w:jc w:val="both"/>
        <w:rPr>
          <w:lang w:val="hr-HR"/>
        </w:rPr>
      </w:pPr>
      <w:r w:rsidRPr="004C4164">
        <w:rPr>
          <w:lang w:val="hr-HR"/>
        </w:rPr>
        <w:t>Pored navedenog, od strane Županijskog suda u Rijeci doznačena su sredstva u iznosu od 98.513,85 eura u svrhu refundacije troškova za provedbu lokalnih izbora 2025. godine (I i II krug).</w:t>
      </w:r>
    </w:p>
    <w:p w:rsidR="00CD695B" w:rsidRPr="004C4164" w:rsidRDefault="0098474D" w:rsidP="00472483">
      <w:pPr>
        <w:jc w:val="both"/>
        <w:rPr>
          <w:lang w:val="hr-HR"/>
        </w:rPr>
      </w:pPr>
      <w:r w:rsidRPr="004C4164">
        <w:rPr>
          <w:lang w:val="hr-HR"/>
        </w:rPr>
        <w:t> </w:t>
      </w:r>
    </w:p>
    <w:p w:rsidR="00CD695B" w:rsidRPr="004C4164" w:rsidRDefault="0098474D">
      <w:pPr>
        <w:keepNext/>
        <w:spacing w:line="240" w:lineRule="auto"/>
        <w:jc w:val="center"/>
        <w:rPr>
          <w:lang w:val="hr-HR"/>
        </w:rPr>
      </w:pPr>
      <w:r w:rsidRPr="004C4164">
        <w:rPr>
          <w:sz w:val="28"/>
          <w:lang w:val="hr-HR"/>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6381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Tekuće pomoći temeljem prijenosa EU sredstava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6381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234.795,70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360.345,97</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153,5</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U okviru tekućih pomoći temeljem prijenosa EU sredstava doznačen je iznos od 160.122,89 eura za projekt Zaželi - prevencija institucionalizacije ranjivih skupina kroz pružanje usluge potpore i podrške u svakodnevnom životu starijim osobama i osobama s invaliditetom, zatim iznos od 34.232,00 eura za projekt Rinkluzija8 - Riječki model podrške učenicima s teškoćama te iznos od 165.991,08 eura temeljem Sporazuma o korištenju bespovratnih sredstava tehničke pomoći Integriranog teritorijalnog programa 2021. – 2027. za podršku provedbi funkcija Posredničkog tijela za odabir operacija.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6382</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Kapitalne pomoći temeljem prijenosa EU sredstava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6382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2.773.614,56</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887.589,44</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32,0</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Kapitalne pomoći temeljem prijenosa EU sredstava ostvarene su u iznosu od 887.589,44 eura, a odnose se na projekt gradnje Dječjeg vrtića </w:t>
      </w:r>
      <w:proofErr w:type="spellStart"/>
      <w:r w:rsidRPr="004C4164">
        <w:rPr>
          <w:lang w:val="hr-HR"/>
        </w:rPr>
        <w:t>Fiume</w:t>
      </w:r>
      <w:proofErr w:type="spellEnd"/>
      <w:r w:rsidRPr="004C4164">
        <w:rPr>
          <w:lang w:val="hr-HR"/>
        </w:rPr>
        <w:t xml:space="preserve"> na </w:t>
      </w:r>
      <w:proofErr w:type="spellStart"/>
      <w:r w:rsidRPr="004C4164">
        <w:rPr>
          <w:lang w:val="hr-HR"/>
        </w:rPr>
        <w:t>Krnjevu</w:t>
      </w:r>
      <w:proofErr w:type="spellEnd"/>
      <w:r w:rsidRPr="004C4164">
        <w:rPr>
          <w:lang w:val="hr-HR"/>
        </w:rPr>
        <w:t xml:space="preserve"> u iznosu od 672.158,09 eura i na projekt obnove zgrade OŠ Turnić u iznosu od 119.555,87 eura.</w:t>
      </w:r>
    </w:p>
    <w:p w:rsidR="00CD695B" w:rsidRPr="004C4164" w:rsidRDefault="0098474D">
      <w:pPr>
        <w:rPr>
          <w:lang w:val="hr-HR"/>
        </w:rPr>
      </w:pPr>
      <w:r w:rsidRPr="004C4164">
        <w:rPr>
          <w:lang w:val="hr-HR"/>
        </w:rPr>
        <w:t> </w:t>
      </w:r>
    </w:p>
    <w:p w:rsidR="00CD695B" w:rsidRPr="004C4164" w:rsidRDefault="0098474D">
      <w:pPr>
        <w:keepNext/>
        <w:spacing w:line="240" w:lineRule="auto"/>
        <w:jc w:val="center"/>
        <w:rPr>
          <w:lang w:val="hr-HR"/>
        </w:rPr>
      </w:pPr>
      <w:r w:rsidRPr="004C4164">
        <w:rPr>
          <w:sz w:val="28"/>
          <w:lang w:val="hr-HR"/>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6413</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Kamate na oročena sredstva i depozite po viđenju</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6413</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291.642,56</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672.793,98</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230,7</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Kamate na oročena sredstva i depozite po viđenju bilježe rast 130,7% u odnosu na prethodnu godinu. Grad je po osnovi kratkoročno oročenih sredstava kod poslovne banke ostvario 672.793,98 eura kamate na oročena sredstva.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642</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Prihodi od nefinancijske imovine (šifre 6421 do 6429)</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642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13.274.080,75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13.641.367,98</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102,8</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Prihodi od nefinancijske imovine ostvareni su u ukupnom iznosu od 13.641.367,98 eura. Najznačajniji prihodi u okviru ove podskupine su prihodi od zakupa i iznajmljivanja imovine (zakup poslovnih prostora, najam stambenih prostora, zakup javnih površina i zemljišta) koji su u ovom izvještajnom razdoblju ostvareni u iznosu od 11.965.420,52 eura, 2,8% više u odnosu na  prethodnu godinu.   </w:t>
      </w:r>
    </w:p>
    <w:p w:rsidR="00CD695B" w:rsidRPr="004C4164" w:rsidRDefault="0098474D">
      <w:pPr>
        <w:rPr>
          <w:lang w:val="hr-HR"/>
        </w:rPr>
      </w:pPr>
      <w:r w:rsidRPr="004C4164">
        <w:rPr>
          <w:lang w:val="hr-HR"/>
        </w:rPr>
        <w:t>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Rashodi za zaposlene (šifre 311+312+313)</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13.772.779,86</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17.169.764,98</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124,7</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Rashodi za zaposlene obuhvaćaju plaće, pripadajuće doprinose na plaće te ostale rashode za zaposlene i više su ostvareni u odnosu na isto razdoblje prethodne godine što je rezultat kolektivnih pregovora.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32</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Materijalni rashodi (šifre 321+322+323+324+325+329)</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37.262.255,36</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40.665.235,59</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109,1</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Materijalni rashodi ostvareni su u ukupnom iznosu od 40.665.235,59 eura i u odnosu na prethodnu godinu bilježe rast od 9,1%. Odnose se na rashode za redovno poslovanje i rashode za izvršavanje programskih aktivnosti gradske uprave.  </w:t>
      </w:r>
    </w:p>
    <w:p w:rsidR="00CD695B" w:rsidRPr="004C4164" w:rsidRDefault="0098474D">
      <w:pPr>
        <w:rPr>
          <w:lang w:val="hr-HR"/>
        </w:rPr>
      </w:pPr>
      <w:r w:rsidRPr="004C4164">
        <w:rPr>
          <w:lang w:val="hr-HR"/>
        </w:rPr>
        <w:t> </w:t>
      </w:r>
    </w:p>
    <w:p w:rsidR="00CD695B" w:rsidRPr="004C4164" w:rsidRDefault="0098474D">
      <w:pPr>
        <w:keepNext/>
        <w:spacing w:line="240" w:lineRule="auto"/>
        <w:jc w:val="center"/>
        <w:rPr>
          <w:lang w:val="hr-HR"/>
        </w:rPr>
      </w:pPr>
      <w:r w:rsidRPr="004C4164">
        <w:rPr>
          <w:sz w:val="28"/>
          <w:lang w:val="hr-HR"/>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3238</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Računalne usluge</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3238</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191.260,22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762.237,69</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398,5</w:t>
            </w:r>
          </w:p>
        </w:tc>
      </w:tr>
    </w:tbl>
    <w:p w:rsidR="00CD695B" w:rsidRPr="004C4164" w:rsidRDefault="00CD695B">
      <w:pPr>
        <w:spacing w:after="0"/>
        <w:rPr>
          <w:lang w:val="hr-HR"/>
        </w:rPr>
      </w:pPr>
    </w:p>
    <w:p w:rsidR="00CD695B" w:rsidRPr="004C4164" w:rsidRDefault="0098474D">
      <w:pPr>
        <w:rPr>
          <w:lang w:val="hr-HR"/>
        </w:rPr>
      </w:pPr>
      <w:r w:rsidRPr="004C4164">
        <w:rPr>
          <w:lang w:val="hr-HR"/>
        </w:rPr>
        <w:t>Do porasta izvršenja ovih rashoda u odnosu na isto razdoblje prethodne godine dolazi zbog troškova dogradnji informacijskih sustava.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3291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Naknade za rad predstavničkih i izvršnih tijela, povjerenstava i slično</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3291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330.867,93</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557.501,39</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168,5</w:t>
            </w:r>
          </w:p>
        </w:tc>
      </w:tr>
    </w:tbl>
    <w:p w:rsidR="00CD695B" w:rsidRPr="004C4164" w:rsidRDefault="00CD695B">
      <w:pPr>
        <w:spacing w:after="0"/>
        <w:rPr>
          <w:lang w:val="hr-HR"/>
        </w:rPr>
      </w:pPr>
    </w:p>
    <w:p w:rsidR="00CD695B" w:rsidRPr="004C4164" w:rsidRDefault="0098474D" w:rsidP="00D1303E">
      <w:pPr>
        <w:jc w:val="both"/>
        <w:rPr>
          <w:lang w:val="hr-HR"/>
        </w:rPr>
      </w:pPr>
      <w:r w:rsidRPr="004C4164">
        <w:rPr>
          <w:lang w:val="hr-HR"/>
        </w:rPr>
        <w:t xml:space="preserve">Do povećanja ovih rashoda u odnosu na isto razdoblje prethodne godine dolazi zbog nastalih troškova provedbe lokalnih izbora 2025. godine (I </w:t>
      </w:r>
      <w:proofErr w:type="spellStart"/>
      <w:r w:rsidRPr="004C4164">
        <w:rPr>
          <w:lang w:val="hr-HR"/>
        </w:rPr>
        <w:t>i</w:t>
      </w:r>
      <w:proofErr w:type="spellEnd"/>
      <w:r w:rsidRPr="004C4164">
        <w:rPr>
          <w:lang w:val="hr-HR"/>
        </w:rPr>
        <w:t xml:space="preserve"> II krug).</w:t>
      </w:r>
    </w:p>
    <w:p w:rsidR="00CD695B" w:rsidRPr="004C4164" w:rsidRDefault="0098474D">
      <w:pPr>
        <w:keepNext/>
        <w:spacing w:line="240" w:lineRule="auto"/>
        <w:jc w:val="center"/>
        <w:rPr>
          <w:lang w:val="hr-HR"/>
        </w:rPr>
      </w:pPr>
      <w:r w:rsidRPr="004C4164">
        <w:rPr>
          <w:sz w:val="28"/>
          <w:lang w:val="hr-HR"/>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3299</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Ostali nespomenuti rashodi poslovanja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3299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495.461,27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832.749,22</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168,1</w:t>
            </w:r>
          </w:p>
        </w:tc>
      </w:tr>
    </w:tbl>
    <w:p w:rsidR="00CD695B" w:rsidRPr="004C4164" w:rsidRDefault="00CD695B">
      <w:pPr>
        <w:spacing w:after="0"/>
        <w:rPr>
          <w:lang w:val="hr-HR"/>
        </w:rPr>
      </w:pPr>
    </w:p>
    <w:p w:rsidR="00CD695B" w:rsidRPr="004C4164" w:rsidRDefault="0098474D">
      <w:pPr>
        <w:rPr>
          <w:lang w:val="hr-HR"/>
        </w:rPr>
      </w:pPr>
      <w:r w:rsidRPr="004C4164">
        <w:rPr>
          <w:lang w:val="hr-HR"/>
        </w:rPr>
        <w:t>U okviru ostalih nespomenutih rashoda evidentirani su troškovi ovrhe, parnični troškovi, povrati po rješenju te ostali rashodi poslovanja.  </w:t>
      </w:r>
    </w:p>
    <w:p w:rsidR="00CD695B" w:rsidRPr="004C4164" w:rsidRDefault="0098474D" w:rsidP="00D1303E">
      <w:pPr>
        <w:rPr>
          <w:lang w:val="hr-HR"/>
        </w:rPr>
      </w:pPr>
      <w:r w:rsidRPr="004C4164">
        <w:rPr>
          <w:lang w:val="hr-HR"/>
        </w:rPr>
        <w:t> </w:t>
      </w:r>
    </w:p>
    <w:p w:rsidR="00CD695B" w:rsidRPr="004C4164" w:rsidRDefault="0098474D">
      <w:pPr>
        <w:keepNext/>
        <w:spacing w:line="240" w:lineRule="auto"/>
        <w:jc w:val="center"/>
        <w:rPr>
          <w:lang w:val="hr-HR"/>
        </w:rPr>
      </w:pPr>
      <w:r w:rsidRPr="004C4164">
        <w:rPr>
          <w:sz w:val="28"/>
          <w:lang w:val="hr-HR"/>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3512</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Subvencije trgovačkim društvima u javnom sektoru</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3512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4.067.009,95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5.890.215,13</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144,8</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Subvencije trgovačkim društvima u javnom sektoru bilježe rast u odnosu na prethodnu godinu za 1.823.205,18 eura ili 44,8%. Unutar ove grupe rashoda evidentirane su subvencije prema KD Autotrolej d.o.o. za financiranje djelatnosti javnog prijevoza (kod kojih dolazi do povećanja u odnosu na isto razdoblje prethodne godine) i subvencije prema HŽ Putnički prijevoz d.o.o. s ciljem uključivanja željeznice u sustav javnog gradsko-prigradskog prijevoza Grada Rijeke.</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3522</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Subvencije trgovačkim društvima i zadrugama izvan javnog sektora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3522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532.343,96</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897.311,68</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168,6</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Ove subvencije se u većem dijelu odnose na potpore u vidu nepovratnih sredstava za nadoknadu dijela troškova zakupnina zakupnicima privatnih poslovnih prostora zbog radova u sklopu projekta "Poboljšanje vodno-komunalne infrastrukture na području aglomeracije Rijeka", subvencioniranje troškova poduzetnika (subvencioniranje uvođenja IT sustava i aplikacija) uključujući početnike iz Općeg programa mjera poticanja razvoja poduzetništva na području grada Rijeke izvršeni u iznosu 680.478,05 eura. Pored navedenog, izdvojeno je 177.000,00 eura temeljem Odluke o dodjeli financijskih sredstava kojom se raspodjeljuju financijska sredstva za programe od interesa za Grad Rijeku iz djelatnosti kulture, umjetnosti i transverzalnih područja za 2025. godinu. Unutar ovih rashoda evidentirani su i troškovi sufinanciranja programa produženog boravka učenika u školama kojima Grad Rijeka nije osnivač u školskoj godini 2024./2025., u iznosu 39.833,63 eura.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366</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Pomoći proračunskim korisnicima drugih proračuna (šifre 3661 do 3663)</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366</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346.234,77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499.604,75</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144,3</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Tekuće pomoći su najvećim dijelom isplaćene za razne namjene i aktivnosti iz programa zaštite tjelesnog i mentalnog zdravlja kao što su pomoći dane Domu za osobe s demencijom (za dnevni boravak dementnih osoba), zatim pomoć ustanovi za palijativnu skrb Hospicij Marija K. Kozulić, pomoći dane Domu za starije osobe Kantrida, Domu zdravlja PGŽ i dr. U okviru ovih rashoda isplaćena su sredstva Sveučilištu u Rijeci - Medicinskom fakultetu za sufinanciranje izrade i postavljanja biste prof. dr. </w:t>
      </w:r>
      <w:proofErr w:type="spellStart"/>
      <w:r w:rsidRPr="004C4164">
        <w:rPr>
          <w:lang w:val="hr-HR"/>
        </w:rPr>
        <w:t>sc</w:t>
      </w:r>
      <w:proofErr w:type="spellEnd"/>
      <w:r w:rsidRPr="004C4164">
        <w:rPr>
          <w:lang w:val="hr-HR"/>
        </w:rPr>
        <w:t>. Andrija Štampar.</w:t>
      </w:r>
    </w:p>
    <w:p w:rsidR="00CD695B" w:rsidRPr="004C4164" w:rsidRDefault="0098474D">
      <w:pPr>
        <w:jc w:val="both"/>
        <w:rPr>
          <w:lang w:val="hr-HR"/>
        </w:rPr>
      </w:pPr>
      <w:r w:rsidRPr="004C4164">
        <w:rPr>
          <w:lang w:val="hr-HR"/>
        </w:rPr>
        <w:t>Kapitalne pomoći u iznosu od 100.000,00 eura isplaćene su za sufinanciranje energetske obnove zgrade Sveučilišne knjižnice Rijeka.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367</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Prijenosi proračunskim korisnicima iz nadležnog proračuna za financiranje redovne djelatnosti (šifre 3672 do 3674)</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367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39.629.243,50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50.594.047,31</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127,7</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Prijenosi proračunskim korisnicima iz nadležnog proračuna za financiranje redovne djelatnosti iznose 50.594.047,31 eura što, u odnosu na prošlu godinu, čini povećanje od 27,7%. Grad je svojim proračunskim korisnicima doznačio sveukupno 50.793.341,01 eura međutim, u skladu s uputama iz Okružnice Ministarstva financija, doznačena sredstva mjesnim odborima i vijećima nacionalnih manjina ne iskazuju se na kontima podskupine 367 u Obrascu PR-RAS već na kontima rashoda po prirodnoj vrsti (ukupno je mjesnim odborima i vijećima nacionalnih manjina doznačeno 199.293,70 eura, od toga za redovno poslovanje 34 mjesna odbora isplaćeno je 132.610,67 eura, a za 8 vijeća nacionalnih manjina i jednog predstavnika vijeća nacionalne manjine 66.683,03 eura).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37</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Naknade građanima i kućanstvima na temelju osiguranja i druge naknade (šifre 371+372)</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4.804.440,09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7.532.171,51</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156,8</w:t>
            </w:r>
          </w:p>
        </w:tc>
      </w:tr>
    </w:tbl>
    <w:p w:rsidR="00CD695B" w:rsidRPr="004C4164" w:rsidRDefault="00CD695B">
      <w:pPr>
        <w:spacing w:after="0"/>
        <w:rPr>
          <w:lang w:val="hr-HR"/>
        </w:rPr>
      </w:pPr>
    </w:p>
    <w:p w:rsidR="00CD695B" w:rsidRPr="004C4164" w:rsidRDefault="0098474D" w:rsidP="00D1303E">
      <w:pPr>
        <w:jc w:val="both"/>
        <w:rPr>
          <w:lang w:val="hr-HR"/>
        </w:rPr>
      </w:pPr>
      <w:r w:rsidRPr="004C4164">
        <w:rPr>
          <w:lang w:val="hr-HR"/>
        </w:rPr>
        <w:t>Naknade se odnose na isplate korisnicima Socijalnog programa sukladno Odluci o socijalnoj skrbi Grada Rijeke, zatim na stipendije za darovite učenike i studente, stipendije koje se dodjeljuju prema socijalnom kriteriju, stipendije studenata za studij deficitarnih zanimanja i izvrsnost. Pored navedenog, u okviru ovih rashoda obuhvaćeno je sufinanciranje srednjoškolskih i studentskih prijevoznih karata, isplate novčanih donacija za novorođenu djecu u okviru populacijske politike Grada Rijeke, sufinanciranje boravka djece u jaslicama i vrtićima, sufinanciranje prehrane u osnovnim školama, isplate naknada umirovljenicima kroz novčane pomoći i sufinanciranje javnog prijevoza te isplate nagrada Grada Rijeke i nagrada učenicima i mentorima.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38</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Rashodi za donacije, kazne, naknade šteta i kapitalne pomoći (šifre 381+382+383+386)</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38</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11.175.789,79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12.088.470,93</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108,2</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Unutar ove skupine rashoda bilježi se porast od 12,9% u odnosu na prethodnu godinu kod tekućih donacija u novcu koje su isplaćene u iznosu od  8.520.811,89 eura (isplate udrugama, sportskim savezima, sportskim klubovima, privatnim dječjim vrtićima i dr.). U ovoj skupini rashoda evidentirane su kapitalne pomoći trgovačkim društvima u javnom sektoru u ukupnom iznosu od 3.204.841,72 eura za uređenje svlačionica u Sportskoj dvorani Dinko </w:t>
      </w:r>
      <w:proofErr w:type="spellStart"/>
      <w:r w:rsidRPr="004C4164">
        <w:rPr>
          <w:lang w:val="hr-HR"/>
        </w:rPr>
        <w:t>Lukarić</w:t>
      </w:r>
      <w:proofErr w:type="spellEnd"/>
      <w:r w:rsidRPr="004C4164">
        <w:rPr>
          <w:lang w:val="hr-HR"/>
        </w:rPr>
        <w:t>, za rekonstrukciju objekta KP Exportdrvo i za otplatu kredita za nabavu autobusa.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7</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Prihodi od prodaje nefinancijske imovine (šifre 71+72+73+74)</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5.490.679,81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1.284.556,03</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23,4</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Prihodi od prodaje nefinancijske imovine ostvareni su u iznosu od 1.284.556,03 eura. Ovi prihodi ostvareni su 76,6% manje u odnosu na prethodnu godinu (manje ostvaren prihod od prodaje zemljišta, stambenih i poslovnih objekata u ovom izvještajnom razdoblju). Prihodi od prodaje nefinancijske imovine se odnose na prihode od prodaje zemljišta koji su ostvareni u iznosu od 710.426,08 eura, na prihode od osnivanja prava građenja koji su ostvareni u iznosu od 34.993,57 eura i na prihode od prodaje stambenih objekata u iznosu 539.136,38 eura. Prihodi od prodaje stambenih objekata se većim dijelom odnose na prihode od prodaje stanova u vlasništvu Grada i u manjem dijelu na prihode od prodaje stanova na kojima je postojalo stanarsko pravo.</w:t>
      </w:r>
    </w:p>
    <w:p w:rsidR="00CD695B" w:rsidRPr="004C4164" w:rsidRDefault="0098474D">
      <w:pPr>
        <w:rPr>
          <w:lang w:val="hr-HR"/>
        </w:rPr>
      </w:pPr>
      <w:r w:rsidRPr="004C4164">
        <w:rPr>
          <w:lang w:val="hr-HR"/>
        </w:rPr>
        <w:t>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41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 xml:space="preserve">Rashodi za nabavu </w:t>
            </w:r>
            <w:proofErr w:type="spellStart"/>
            <w:r w:rsidRPr="004C4164">
              <w:rPr>
                <w:sz w:val="18"/>
                <w:lang w:val="hr-HR"/>
              </w:rPr>
              <w:t>neproizvedene</w:t>
            </w:r>
            <w:proofErr w:type="spellEnd"/>
            <w:r w:rsidRPr="004C4164">
              <w:rPr>
                <w:sz w:val="18"/>
                <w:lang w:val="hr-HR"/>
              </w:rPr>
              <w:t xml:space="preserve"> dugotrajne imovine (šifre 411+412)</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41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618.889,81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356.946,89</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57,7</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Rashodi za nabavu </w:t>
      </w:r>
      <w:proofErr w:type="spellStart"/>
      <w:r w:rsidRPr="004C4164">
        <w:rPr>
          <w:lang w:val="hr-HR"/>
        </w:rPr>
        <w:t>neproizvedene</w:t>
      </w:r>
      <w:proofErr w:type="spellEnd"/>
      <w:r w:rsidRPr="004C4164">
        <w:rPr>
          <w:lang w:val="hr-HR"/>
        </w:rPr>
        <w:t xml:space="preserve"> dugotrajne imovine iznose 356.946,89 eura i bilježe pad od 42,3% u izvršenju rashoda za nabavu zemljišta i nabave licenci.</w:t>
      </w:r>
    </w:p>
    <w:p w:rsidR="00CD695B" w:rsidRPr="004C4164" w:rsidRDefault="0098474D">
      <w:pPr>
        <w:rPr>
          <w:lang w:val="hr-HR"/>
        </w:rPr>
      </w:pPr>
      <w:r w:rsidRPr="004C4164">
        <w:rPr>
          <w:lang w:val="hr-HR"/>
        </w:rPr>
        <w:t> </w:t>
      </w:r>
    </w:p>
    <w:p w:rsidR="00CD695B" w:rsidRPr="004C4164" w:rsidRDefault="0098474D">
      <w:pPr>
        <w:keepNext/>
        <w:spacing w:line="240" w:lineRule="auto"/>
        <w:jc w:val="center"/>
        <w:rPr>
          <w:lang w:val="hr-HR"/>
        </w:rPr>
      </w:pPr>
      <w:r w:rsidRPr="004C4164">
        <w:rPr>
          <w:sz w:val="28"/>
          <w:lang w:val="hr-HR"/>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422</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Postrojenja i oprema (šifre 4221 do 4228)</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422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1.769.802,30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2.003.478,36</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113,2</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Rashodi za nabavu postrojenja i opreme bilježe rast u dijelu nabave uredske opreme i namještaja, komunikacijske opreme i uređaja, strojeva i opreme za ostale namjene, a najvećim dijelom u okviru ulaganja u kapitalni projekt Energana-Start </w:t>
      </w:r>
      <w:proofErr w:type="spellStart"/>
      <w:r w:rsidRPr="004C4164">
        <w:rPr>
          <w:lang w:val="hr-HR"/>
        </w:rPr>
        <w:t>up</w:t>
      </w:r>
      <w:proofErr w:type="spellEnd"/>
      <w:r w:rsidRPr="004C4164">
        <w:rPr>
          <w:lang w:val="hr-HR"/>
        </w:rPr>
        <w:t xml:space="preserve"> inkubator za kreativne tehnologije i IT industriju, zatim u okviru projekta Turistička valorizacija reprezentativnih spomenika riječke industrijske baštine - Brod Galeb i projekta Povežimo se baštinom.</w:t>
      </w:r>
    </w:p>
    <w:p w:rsidR="00CD695B" w:rsidRPr="004C4164" w:rsidRDefault="0098474D" w:rsidP="00D1303E">
      <w:pPr>
        <w:jc w:val="both"/>
        <w:rPr>
          <w:lang w:val="hr-HR"/>
        </w:rPr>
      </w:pPr>
      <w:r w:rsidRPr="004C4164">
        <w:rPr>
          <w:lang w:val="hr-HR"/>
        </w:rPr>
        <w:t> </w:t>
      </w:r>
    </w:p>
    <w:p w:rsidR="00CD695B" w:rsidRPr="004C4164" w:rsidRDefault="0098474D">
      <w:pPr>
        <w:keepNext/>
        <w:spacing w:line="240" w:lineRule="auto"/>
        <w:jc w:val="center"/>
        <w:rPr>
          <w:lang w:val="hr-HR"/>
        </w:rPr>
      </w:pPr>
      <w:r w:rsidRPr="004C4164">
        <w:rPr>
          <w:sz w:val="28"/>
          <w:lang w:val="hr-HR"/>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4264</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Ostala nematerijalna proizvedena imovina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4264</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607.426,21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393.702,75</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64,8</w:t>
            </w:r>
          </w:p>
        </w:tc>
      </w:tr>
    </w:tbl>
    <w:p w:rsidR="00CD695B" w:rsidRPr="004C4164" w:rsidRDefault="00CD695B">
      <w:pPr>
        <w:spacing w:after="0"/>
        <w:rPr>
          <w:lang w:val="hr-HR"/>
        </w:rPr>
      </w:pPr>
    </w:p>
    <w:p w:rsidR="00CD695B" w:rsidRDefault="0098474D" w:rsidP="00D1303E">
      <w:pPr>
        <w:jc w:val="both"/>
        <w:rPr>
          <w:lang w:val="hr-HR"/>
        </w:rPr>
      </w:pPr>
      <w:r w:rsidRPr="004C4164">
        <w:rPr>
          <w:lang w:val="hr-HR"/>
        </w:rPr>
        <w:t>U ovom obračunskom razdoblju utrošeno je manje rashoda za izradu projektne dokumentacije,  imovinsku pripremu te za ostale prateće troškove vezano uz gradske kapitalne projekte.</w:t>
      </w:r>
    </w:p>
    <w:p w:rsidR="00D1303E" w:rsidRPr="004C4164" w:rsidRDefault="00D1303E" w:rsidP="00D1303E">
      <w:pPr>
        <w:jc w:val="both"/>
        <w:rPr>
          <w:lang w:val="hr-HR"/>
        </w:rPr>
      </w:pPr>
    </w:p>
    <w:p w:rsidR="00CD695B" w:rsidRPr="004C4164" w:rsidRDefault="0098474D">
      <w:pPr>
        <w:keepNext/>
        <w:spacing w:line="240" w:lineRule="auto"/>
        <w:jc w:val="center"/>
        <w:rPr>
          <w:lang w:val="hr-HR"/>
        </w:rPr>
      </w:pPr>
      <w:r w:rsidRPr="004C4164">
        <w:rPr>
          <w:sz w:val="28"/>
          <w:lang w:val="hr-HR"/>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45</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Rashodi za dodatna ulaganja na nefinancijskoj imovini (šifre 451 do 454)</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45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5.827.135,25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5.958.497,11</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102,3</w:t>
            </w:r>
          </w:p>
        </w:tc>
      </w:tr>
    </w:tbl>
    <w:p w:rsidR="00CD695B" w:rsidRPr="004C4164" w:rsidRDefault="00CD695B">
      <w:pPr>
        <w:spacing w:after="0"/>
        <w:rPr>
          <w:lang w:val="hr-HR"/>
        </w:rPr>
      </w:pPr>
    </w:p>
    <w:p w:rsidR="00CD695B" w:rsidRPr="004C4164" w:rsidRDefault="0098474D" w:rsidP="00D1303E">
      <w:pPr>
        <w:jc w:val="both"/>
        <w:rPr>
          <w:lang w:val="hr-HR"/>
        </w:rPr>
      </w:pPr>
      <w:r w:rsidRPr="004C4164">
        <w:rPr>
          <w:lang w:val="hr-HR"/>
        </w:rPr>
        <w:t xml:space="preserve">Rashodi za dodatna ulaganja na nefinancijskoj imovini iznose 5.958.497,11 eura i ostvareni su približno na razini prethodne godine. Značajnija ulaganja tijekom 2025. godine odnose se na izgradnju i opremanje objekta Dječjeg vrtića </w:t>
      </w:r>
      <w:proofErr w:type="spellStart"/>
      <w:r w:rsidRPr="004C4164">
        <w:rPr>
          <w:lang w:val="hr-HR"/>
        </w:rPr>
        <w:t>Fiume</w:t>
      </w:r>
      <w:proofErr w:type="spellEnd"/>
      <w:r w:rsidRPr="004C4164">
        <w:rPr>
          <w:lang w:val="hr-HR"/>
        </w:rPr>
        <w:t xml:space="preserve"> na </w:t>
      </w:r>
      <w:proofErr w:type="spellStart"/>
      <w:r w:rsidRPr="004C4164">
        <w:rPr>
          <w:lang w:val="hr-HR"/>
        </w:rPr>
        <w:t>Krnjevu</w:t>
      </w:r>
      <w:proofErr w:type="spellEnd"/>
      <w:r w:rsidRPr="004C4164">
        <w:rPr>
          <w:lang w:val="hr-HR"/>
        </w:rPr>
        <w:t xml:space="preserve">, na ulaganja u energetsku obnovu PPO </w:t>
      </w:r>
      <w:proofErr w:type="spellStart"/>
      <w:r w:rsidRPr="004C4164">
        <w:rPr>
          <w:lang w:val="hr-HR"/>
        </w:rPr>
        <w:t>Vežica</w:t>
      </w:r>
      <w:proofErr w:type="spellEnd"/>
      <w:r w:rsidRPr="004C4164">
        <w:rPr>
          <w:lang w:val="hr-HR"/>
        </w:rPr>
        <w:t xml:space="preserve"> i OŠ Turnić, povećanje postojećih kapaciteta predškolske ustanove PPO Galeb, na radove na projektu Turistička valorizacija reprezentativnih spomenika riječke industrijske baštine, na projektu Povežimo se baštinom - zgradu </w:t>
      </w:r>
      <w:proofErr w:type="spellStart"/>
      <w:r w:rsidRPr="004C4164">
        <w:rPr>
          <w:lang w:val="hr-HR"/>
        </w:rPr>
        <w:t>Filodrammatice</w:t>
      </w:r>
      <w:proofErr w:type="spellEnd"/>
      <w:r w:rsidRPr="004C4164">
        <w:rPr>
          <w:lang w:val="hr-HR"/>
        </w:rPr>
        <w:t>, na obnovu dijela stolarije HNK „Ivana pl. Zajca“ i ulaganja u Košarkašku dvoranu Brajda.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8</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Primici od financijske imovine i zaduživanja (šifre 81+82+83+84+85)</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8</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281.946,09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124.077,82</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44,0</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Primici od financijske imovine i zaduživanja ostvareni su u iznosu od 124.077,82 eura, 56% manje u odnosu na prethodnu godinu. Ovi primici se odnose na povrat glavnice po osnovu danih zajmova  Agenciji za društveno poticanu stanogradnju Grada Rijeke.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5</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Izdaci za financijsku imovinu i otplate zajmova (šifre 51+52+53+54+55)</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3.604.089,34</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3.848.279,70</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106,8</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Izdaci za financijsku imovinu i otplate zajmova ostvareni su u iznosu od 3.848.279,70 eura ili 244.190,26 eura više u odnosu na ostvarenje prethodne godine (povećanje od 6,8%). Izdaci za financijsku imovinu i otplate zajmova odnose se na otplatu glavnice ranije primljenih kredita i zajmova.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prethodne godine</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Ostvareno u izvještajnom razdoblju tekuće godine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Stanje novčanih sredstava na kraju izvještajnog razdoblja (šifre 11P + '11-dugov.' - '11-potraž.')</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11K</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47.898.098,02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43.526.392,42</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90,9</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Na kraju izvještajnog razdoblja ukupno stanje novčanih sredstava na svim računima (jedinstveni račun riznice Grada i proračunskih korisnika, račun depozita i posebne namjene iznosi 43.526.392,42 eura. Stanje novčanih sredstava na jedinstvenom računu riznice, koji sadrži sve uplate i isplate Grada i proračunskih korisnika iznosi 40.090.547,86 eura.</w:t>
      </w:r>
    </w:p>
    <w:p w:rsidR="00CD695B" w:rsidRPr="004C4164" w:rsidRDefault="0098474D">
      <w:pPr>
        <w:rPr>
          <w:lang w:val="hr-HR"/>
        </w:rPr>
      </w:pPr>
      <w:r w:rsidRPr="004C4164">
        <w:rPr>
          <w:lang w:val="hr-HR"/>
        </w:rPr>
        <w:t> </w:t>
      </w:r>
    </w:p>
    <w:p w:rsidR="00CD695B" w:rsidRPr="004C4164" w:rsidRDefault="0098474D">
      <w:pPr>
        <w:rPr>
          <w:lang w:val="hr-HR"/>
        </w:rPr>
      </w:pPr>
      <w:r w:rsidRPr="004C4164">
        <w:rPr>
          <w:lang w:val="hr-HR"/>
        </w:rPr>
        <w:t> </w:t>
      </w:r>
    </w:p>
    <w:p w:rsidR="00CD695B" w:rsidRPr="004C4164" w:rsidRDefault="0098474D">
      <w:pPr>
        <w:rPr>
          <w:lang w:val="hr-HR"/>
        </w:rPr>
      </w:pPr>
      <w:r w:rsidRPr="004C4164">
        <w:rPr>
          <w:lang w:val="hr-HR"/>
        </w:rPr>
        <w:t> </w:t>
      </w:r>
    </w:p>
    <w:p w:rsidR="00D1303E" w:rsidRDefault="0098474D">
      <w:pPr>
        <w:keepNext/>
        <w:spacing w:line="240" w:lineRule="auto"/>
        <w:jc w:val="center"/>
        <w:rPr>
          <w:b/>
          <w:sz w:val="28"/>
          <w:lang w:val="hr-HR"/>
        </w:rPr>
      </w:pPr>
      <w:r w:rsidRPr="004C4164">
        <w:rPr>
          <w:b/>
          <w:sz w:val="28"/>
          <w:lang w:val="hr-HR"/>
        </w:rPr>
        <w:t>Bilanca</w:t>
      </w:r>
    </w:p>
    <w:p w:rsidR="00D1303E" w:rsidRPr="00D1303E" w:rsidRDefault="00D1303E">
      <w:pPr>
        <w:keepNext/>
        <w:spacing w:line="240" w:lineRule="auto"/>
        <w:jc w:val="center"/>
        <w:rPr>
          <w:b/>
          <w:sz w:val="28"/>
          <w:lang w:val="hr-HR"/>
        </w:rPr>
      </w:pPr>
    </w:p>
    <w:p w:rsidR="00CD695B" w:rsidRPr="004C4164" w:rsidRDefault="0098474D">
      <w:pPr>
        <w:keepNext/>
        <w:spacing w:line="240" w:lineRule="auto"/>
        <w:jc w:val="center"/>
        <w:rPr>
          <w:lang w:val="hr-HR"/>
        </w:rPr>
      </w:pPr>
      <w:r w:rsidRPr="004C4164">
        <w:rPr>
          <w:sz w:val="28"/>
          <w:lang w:val="hr-HR"/>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IMOVINA (šifre B002+1)</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B001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1.207.725.062,65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1.209.398.095,07</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100,1</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Vrijednost aktive - ukupne imovine Grada Rijeke (dalje u tekstu: Grad), na dan bilance 31. prosinca 2025. godine, bilježi povećanje vrijednosti za 1.673.032,42 eura u odnosu na stanje 1. Siječnja. U u najvećem dijelu do povećanja vrijednosti dolazi kod proizvedene dugotrajne imovine: objekata i opreme.</w:t>
      </w:r>
    </w:p>
    <w:p w:rsidR="00CD695B" w:rsidRPr="004C4164" w:rsidRDefault="0098474D">
      <w:pPr>
        <w:jc w:val="both"/>
        <w:rPr>
          <w:lang w:val="hr-HR"/>
        </w:rPr>
      </w:pPr>
      <w:r w:rsidRPr="004C4164">
        <w:rPr>
          <w:lang w:val="hr-HR"/>
        </w:rPr>
        <w:t>Ukupna vrijednost nefinancijske imovine iznosi 1.006.753.029,44 eura dok ukupna vrijednost financijske imovine (novac, potraživanja i financijski instrumenti) iznosi 202.645.065,63 eura.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011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Materijalna imovina - prirodna bogatstva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011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675.365.993,30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677.197.551,35</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100,3</w:t>
            </w:r>
          </w:p>
        </w:tc>
      </w:tr>
    </w:tbl>
    <w:p w:rsidR="00CD695B" w:rsidRPr="004C4164" w:rsidRDefault="00CD695B">
      <w:pPr>
        <w:spacing w:after="0"/>
        <w:rPr>
          <w:lang w:val="hr-HR"/>
        </w:rPr>
      </w:pPr>
    </w:p>
    <w:p w:rsidR="00CD695B" w:rsidRPr="004C4164" w:rsidRDefault="0098474D">
      <w:pPr>
        <w:rPr>
          <w:lang w:val="hr-HR"/>
        </w:rPr>
      </w:pPr>
      <w:r w:rsidRPr="004C4164">
        <w:rPr>
          <w:lang w:val="hr-HR"/>
        </w:rPr>
        <w:t>U strukturi ukupne nefinancijske imovine najveća vrijednost u bilanci iskazana je za gradska zemljišta. Grad je vlasnik, odnosno suvlasnik 11.924 zemljišnih čestica, sveukupne površine 8.961.904,82 m2, vrijednosti 677.197.551,35 eura.</w:t>
      </w:r>
    </w:p>
    <w:p w:rsidR="00CD695B" w:rsidRPr="004C4164" w:rsidRDefault="0098474D">
      <w:pPr>
        <w:rPr>
          <w:lang w:val="hr-HR"/>
        </w:rPr>
      </w:pPr>
      <w:r w:rsidRPr="004C4164">
        <w:rPr>
          <w:lang w:val="hr-HR"/>
        </w:rPr>
        <w:t>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05</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Dugotrajna nefinancijska imovina u pripremi (šifre 051 do 056)</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05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61.132.774,34</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50.949.756,31</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83,3</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Vrijednost dugotrajne nefinancijske imovine u pripremi (investicija u tijeku) manja je za 10.183.018,03 eura ili 16,7% u odnosu na prethodnu godinu i ukupno iznosi 50.949.756,31 eura na dan bilance. U okviru ove skupine do smanjenja vrijednosti tijekom 2025. godine dolazi zbog okončanja pojedinih investicija i stavljanja imovine u uporabu. Tijekom 2025. godine sveukupno je prenijeto 21.129.421,26 eura vrijednosti investicija na skupine konta </w:t>
      </w:r>
      <w:proofErr w:type="spellStart"/>
      <w:r w:rsidRPr="004C4164">
        <w:rPr>
          <w:lang w:val="hr-HR"/>
        </w:rPr>
        <w:t>neproizvedene</w:t>
      </w:r>
      <w:proofErr w:type="spellEnd"/>
      <w:r w:rsidRPr="004C4164">
        <w:rPr>
          <w:lang w:val="hr-HR"/>
        </w:rPr>
        <w:t xml:space="preserve"> i proizvedene dugotrajne imovine u uporabi (veće investicije: ulaganja na T-objektu - Gradska knjižnica u iznosi od 14.073.768,99 eura, ulaganja u javnu rasvjetu u iznosu od 1.349.415,20 eura, ulaganja u opremu </w:t>
      </w:r>
      <w:proofErr w:type="spellStart"/>
      <w:r w:rsidRPr="004C4164">
        <w:rPr>
          <w:lang w:val="hr-HR"/>
        </w:rPr>
        <w:t>Sortirnice</w:t>
      </w:r>
      <w:proofErr w:type="spellEnd"/>
      <w:r w:rsidRPr="004C4164">
        <w:rPr>
          <w:lang w:val="hr-HR"/>
        </w:rPr>
        <w:t xml:space="preserve"> </w:t>
      </w:r>
      <w:proofErr w:type="spellStart"/>
      <w:r w:rsidRPr="004C4164">
        <w:rPr>
          <w:lang w:val="hr-HR"/>
        </w:rPr>
        <w:t>Mihačeva</w:t>
      </w:r>
      <w:proofErr w:type="spellEnd"/>
      <w:r w:rsidRPr="004C4164">
        <w:rPr>
          <w:lang w:val="hr-HR"/>
        </w:rPr>
        <w:t xml:space="preserve"> draga u iznosu od 1.613.390,90, ulaganja u opremu Muzeja Grada Rijeke - palača Šećerane u iznosu od 538.757,68 eura). Tijekom 2025. godine, na kontima imovine u pripremi, evidentirana su ulaganja u ukupnom iznosu od 10.946.403,23 eura (najvećim dijelom radi se o ulaganjima u obnovu broda Galeb u okviru projekta Turistička valorizacija reprezentativnih spomenika riječke industrijske baštine, u DV </w:t>
      </w:r>
      <w:proofErr w:type="spellStart"/>
      <w:r w:rsidRPr="004C4164">
        <w:rPr>
          <w:lang w:val="hr-HR"/>
        </w:rPr>
        <w:t>Krnjevo</w:t>
      </w:r>
      <w:proofErr w:type="spellEnd"/>
      <w:r w:rsidRPr="004C4164">
        <w:rPr>
          <w:lang w:val="hr-HR"/>
        </w:rPr>
        <w:t xml:space="preserve">, PPO Galeb, OŠ Turnić, u produženje ulice Riva i Trg Žabica te ulaganju u izgradnju sabirne ulice SU XI (Čvor </w:t>
      </w:r>
      <w:proofErr w:type="spellStart"/>
      <w:r w:rsidRPr="004C4164">
        <w:rPr>
          <w:lang w:val="hr-HR"/>
        </w:rPr>
        <w:t>Pilepići</w:t>
      </w:r>
      <w:proofErr w:type="spellEnd"/>
      <w:r w:rsidRPr="004C4164">
        <w:rPr>
          <w:lang w:val="hr-HR"/>
        </w:rPr>
        <w:t>) - I faza).</w:t>
      </w:r>
    </w:p>
    <w:p w:rsidR="00CD695B" w:rsidRPr="004C4164" w:rsidRDefault="0098474D">
      <w:pPr>
        <w:rPr>
          <w:lang w:val="hr-HR"/>
        </w:rPr>
      </w:pPr>
      <w:r w:rsidRPr="004C4164">
        <w:rPr>
          <w:lang w:val="hr-HR"/>
        </w:rPr>
        <w:t> </w:t>
      </w:r>
    </w:p>
    <w:p w:rsidR="00CD695B" w:rsidRPr="004C4164" w:rsidRDefault="0098474D">
      <w:pPr>
        <w:keepNext/>
        <w:spacing w:line="240" w:lineRule="auto"/>
        <w:jc w:val="center"/>
        <w:rPr>
          <w:lang w:val="hr-HR"/>
        </w:rPr>
      </w:pPr>
      <w:r w:rsidRPr="004C4164">
        <w:rPr>
          <w:sz w:val="28"/>
          <w:lang w:val="hr-HR"/>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Novac u banci i blagajni (šifre 111+112 do 114)</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47.898.098,02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43.526.392,42</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90,9</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Stanje novčanih sredstava na jedinstvenom računu riznice Grada Rijeke (račun na kojem se nalaze novčana sredstva Grada i 83 proračunska korisnika) iznosi 40.090.457,86 eura dok izdvojena novčana sredstva, sredstva depozita i ostala sredstva iznose sveukupno 3.435.934,56 eura.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13</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Potraživanja za dane zajmove (šifre 13X1+13X2-139)</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13</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1.262.136,73</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1.170.608,88</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92,7</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Stanje ukupnog potraživanja za dane zajmove na 31. prosinca 2025. godine iznosi 1.170.608,88 eura (odnosno 1.771.382,10 eura bez uključenog propisanog ispravka vrijednosti). Tijekom 2025. godine stanje ovih potraživanja smanjeno je za 91.527,85 eura, odnosno 4,9%.</w:t>
      </w:r>
    </w:p>
    <w:p w:rsidR="00CD695B" w:rsidRPr="004C4164" w:rsidRDefault="0098474D">
      <w:pPr>
        <w:jc w:val="both"/>
        <w:rPr>
          <w:lang w:val="hr-HR"/>
        </w:rPr>
      </w:pPr>
      <w:r w:rsidRPr="004C4164">
        <w:rPr>
          <w:lang w:val="hr-HR"/>
        </w:rPr>
        <w:t>Temeljem članka 129. i 130. Pravilnika o proračunskom računovodstvu i Računskom planu, proveden je propisani ispravak vrijednosti potraživanja. Prema podacima analitičkog knjigovodstva, uzimajući u obzir kašnjenje u naplati više od dvije godine proveden je ispravak vrijednosti potraživanja za dane zajmove u iznosu od 600.773,22 eura.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15</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Financijski instrumenti - dionice i udjeli u glavnici (šifre 15X1+15X2-159)</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145.993.897,39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145.994.815,24</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100,0</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Vrijednost dionica i poslovnih udjela Grada na dan bilance iznosi 145.994.815,24 eura. Tijekom izvještajne godine provedena su manja usklađenja nominalnih i tržnih vrijednosti u skladu s Obavijesti o stanju Središnjeg klirinško depozitarnog društva te ostale promjene poslovnih udjela.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16</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Potraživanja za prihode poslovanja (šifre 161 do 163 + 164 do 168-169)</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16</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10.414.136,89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9.615.322,90</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92,3</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Stanje ukupnog potraživanja za prihode poslovanja na dan 31. prosinca 2025. godine iznosi 9.615.322,90 eura (odnosno 25.558.144,26 eura bez uključenog propisanog ispravka vrijednosti) i u odnosu na isto razdoblje prethodne godine, potraživanja su manja za 798.813,99 eura, odnosno 7,67%. </w:t>
      </w:r>
    </w:p>
    <w:p w:rsidR="00CD695B" w:rsidRPr="004C4164" w:rsidRDefault="0098474D">
      <w:pPr>
        <w:jc w:val="both"/>
        <w:rPr>
          <w:lang w:val="hr-HR"/>
        </w:rPr>
      </w:pPr>
      <w:r w:rsidRPr="004C4164">
        <w:rPr>
          <w:lang w:val="hr-HR"/>
        </w:rPr>
        <w:t>Na datum bilance dospjelo je 5.364.028,77 eura (odnosno 21.306.850,13 eura bez uključenog ispravka vrijednosti), a nedospjelo 4.251.294,13 eura potraživanja za prihode poslovanja.</w:t>
      </w:r>
    </w:p>
    <w:p w:rsidR="00CD695B" w:rsidRPr="004C4164" w:rsidRDefault="0098474D">
      <w:pPr>
        <w:jc w:val="both"/>
        <w:rPr>
          <w:lang w:val="hr-HR"/>
        </w:rPr>
      </w:pPr>
      <w:r w:rsidRPr="004C4164">
        <w:rPr>
          <w:lang w:val="hr-HR"/>
        </w:rPr>
        <w:t>Od dospjelih potraživanja za prihode poslovanja vrijednosno su najznačajnija nenaplaćena potraživanja za komunalnu naknadu (955.164,30 eura, odnosno 4.673.708,80 eura bez uključenog ispravka vrijednosti), potraživanja za zakupninu poslovnih prostora (557.014,76 eura odnosno 1.509.460,33 eura bez uključenog ispravka vrijednosti) i potraživanja za porez na promet nekretnina (761.716,89 eura odnosno 1.451.537,27 eura bez uključenog ispravka vrijednosti).</w:t>
      </w:r>
    </w:p>
    <w:p w:rsidR="00CD695B" w:rsidRPr="004C4164" w:rsidRDefault="0098474D">
      <w:pPr>
        <w:jc w:val="both"/>
        <w:rPr>
          <w:lang w:val="hr-HR"/>
        </w:rPr>
      </w:pPr>
      <w:r w:rsidRPr="004C4164">
        <w:rPr>
          <w:lang w:val="hr-HR"/>
        </w:rPr>
        <w:t xml:space="preserve">Grad je tijekom 2025. godine otpisao 1.139.689,23 eura potraživanja za prihode poslovanja. Od navedenog iznosa 19.209,01 eura odnosi se na otpis potraživanja za poreze (podskupina 161), 678.108,20 eura na otpis potraživanja za prihode od imovine (podskupina 164, zakup, najamnina, kamata, spomenička renta), 272.375,29 eura na otpis potraživanja za upravne i administrativne pristojbe, pristojbe po posebnim propisima i naknade (podskupina 165, komunalna naknada, komunalni doprinos), 169.996,73 eura na otpis potraživanja za kazne i upravne mjere te ostale prihode (podskupina 168, refundacije troškova, prekršajni nalozi, </w:t>
      </w:r>
      <w:proofErr w:type="spellStart"/>
      <w:r w:rsidRPr="004C4164">
        <w:rPr>
          <w:lang w:val="hr-HR"/>
        </w:rPr>
        <w:t>predstečajne</w:t>
      </w:r>
      <w:proofErr w:type="spellEnd"/>
      <w:r w:rsidRPr="004C4164">
        <w:rPr>
          <w:lang w:val="hr-HR"/>
        </w:rPr>
        <w:t xml:space="preserve"> nagodbe).</w:t>
      </w:r>
    </w:p>
    <w:p w:rsidR="00CD695B" w:rsidRPr="004C4164" w:rsidRDefault="0098474D">
      <w:pPr>
        <w:jc w:val="both"/>
        <w:rPr>
          <w:lang w:val="hr-HR"/>
        </w:rPr>
      </w:pPr>
      <w:r w:rsidRPr="004C4164">
        <w:rPr>
          <w:lang w:val="hr-HR"/>
        </w:rPr>
        <w:t>Temeljem članka 129. i 130. Pravilnika o proračunskom računovodstvu i Računskom planu, proveden je propisani ispravak vrijednosti potraživanja za prihode poslovanja u iznosu od 15.942.821,36 eura, od čega se iznos od 7.229.972,45 eura odnosi na kašnjenje u naplati više od dvije godine, a iznos od 8.712.848,91 eura na potraživanja u stečajnom i/ili likvidacijskom postupku.</w:t>
      </w:r>
    </w:p>
    <w:p w:rsidR="00CD695B" w:rsidRPr="004C4164" w:rsidRDefault="0098474D" w:rsidP="00D1303E">
      <w:pPr>
        <w:jc w:val="both"/>
        <w:rPr>
          <w:lang w:val="hr-HR"/>
        </w:rPr>
      </w:pPr>
      <w:r w:rsidRPr="004C4164">
        <w:rPr>
          <w:lang w:val="hr-HR"/>
        </w:rPr>
        <w:t> </w:t>
      </w:r>
    </w:p>
    <w:p w:rsidR="00CD695B" w:rsidRPr="004C4164" w:rsidRDefault="0098474D">
      <w:pPr>
        <w:keepNext/>
        <w:spacing w:line="240" w:lineRule="auto"/>
        <w:jc w:val="center"/>
        <w:rPr>
          <w:lang w:val="hr-HR"/>
        </w:rPr>
      </w:pPr>
      <w:r w:rsidRPr="004C4164">
        <w:rPr>
          <w:sz w:val="28"/>
          <w:lang w:val="hr-HR"/>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17</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Potraživanja od prodaje nefinancijske imovine (šifre 171 do 174 - 179)</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17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1.758.866,16</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1.222.495,28</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69,5</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Potraživanja od prodaje nefinancijske imovine iznose 1.222.495,28 eura (odnosno 1.552.859,30 eura bez uključenog ispravka vrijednosti) i u odnosu na prethodnu godinu 30,5 % su manja, odnosno apsolutno iskazano, za 536.370,88 eura.</w:t>
      </w:r>
    </w:p>
    <w:p w:rsidR="00CD695B" w:rsidRPr="004C4164" w:rsidRDefault="0098474D">
      <w:pPr>
        <w:jc w:val="both"/>
        <w:rPr>
          <w:lang w:val="hr-HR"/>
        </w:rPr>
      </w:pPr>
      <w:r w:rsidRPr="004C4164">
        <w:rPr>
          <w:lang w:val="hr-HR"/>
        </w:rPr>
        <w:t>Na datum bilance dospjelo je 5.078,00 eura (odnosno 355.442,02 eura bez uključenog ispravka vrijednosti), a nedospjelo 1.217.417,28 eura potraživanja za prihode od prodaje nefinancijske imovine. Grad je tijekom 2025. godine otpisao 1,14 eura potraživanja od prodaje proizvedene dugotrajne imovine (podskupina 172, prodaja stanova). </w:t>
      </w:r>
    </w:p>
    <w:p w:rsidR="00CD695B" w:rsidRPr="004C4164" w:rsidRDefault="0098474D">
      <w:pPr>
        <w:jc w:val="both"/>
        <w:rPr>
          <w:lang w:val="hr-HR"/>
        </w:rPr>
      </w:pPr>
      <w:r w:rsidRPr="004C4164">
        <w:rPr>
          <w:lang w:val="hr-HR"/>
        </w:rPr>
        <w:t>Temeljem članka 129. i 130. Pravilnika o proračunskom računovodstvu i Računskom planu, proveden je propisani ispravak vrijednosti potraživanja od prodaje nefinancijske imovine u iznosu od 330.364,02 eura za kašnjenje u naplati više od dvije godine.</w:t>
      </w:r>
    </w:p>
    <w:p w:rsidR="00CD695B" w:rsidRPr="004C4164" w:rsidRDefault="0098474D">
      <w:pPr>
        <w:jc w:val="both"/>
        <w:rPr>
          <w:lang w:val="hr-HR"/>
        </w:rPr>
      </w:pPr>
      <w:r w:rsidRPr="004C4164">
        <w:rPr>
          <w:lang w:val="hr-HR"/>
        </w:rPr>
        <w:t> </w:t>
      </w:r>
    </w:p>
    <w:p w:rsidR="00CD695B" w:rsidRPr="004C4164" w:rsidRDefault="0098474D">
      <w:pPr>
        <w:jc w:val="both"/>
        <w:rPr>
          <w:lang w:val="hr-HR"/>
        </w:rPr>
      </w:pPr>
      <w:r w:rsidRPr="004C4164">
        <w:rPr>
          <w:lang w:val="hr-HR"/>
        </w:rPr>
        <w:t>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Obveze (šifre 23+24+25+26+27+29)</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57.468.386,67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54.817.616,99</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95,4</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Stanje ukupnih obveza na kraju izvještajnog razdoblja iznosi 54.817.616,99 eura (zajedno sa stanjem na skupini 29). Ukupne obveze u bilanci sadrže obveze po skupinama konta od 23 do 29. Obveze po skupinama konta 23 do 27 (bez skupine 29) sveukupno iznose 54.660.340,72 eura od čega dospjele obveze iznose 4.362.963,28 eura (8%), a nedospjele obveze 50.297.377,44 eura (92%). </w:t>
      </w:r>
    </w:p>
    <w:p w:rsidR="00CD695B" w:rsidRPr="004C4164" w:rsidRDefault="0098474D">
      <w:pPr>
        <w:jc w:val="both"/>
        <w:rPr>
          <w:lang w:val="hr-HR"/>
        </w:rPr>
      </w:pPr>
      <w:r w:rsidRPr="004C4164">
        <w:rPr>
          <w:lang w:val="hr-HR"/>
        </w:rPr>
        <w:t xml:space="preserve">Obveze skupine konta 23 sadrže obveze za rashode poslovanja (obveze za zaposlene, obveze za materijalne rashode, obveze za financijske rashode, obveze za subvencije, obveze za naknade građanima i kućanstvima, obveze za donacije kapitalne pomoći, obveze za </w:t>
      </w:r>
      <w:proofErr w:type="spellStart"/>
      <w:r w:rsidRPr="004C4164">
        <w:rPr>
          <w:lang w:val="hr-HR"/>
        </w:rPr>
        <w:t>pdv</w:t>
      </w:r>
      <w:proofErr w:type="spellEnd"/>
      <w:r w:rsidRPr="004C4164">
        <w:rPr>
          <w:lang w:val="hr-HR"/>
        </w:rPr>
        <w:t xml:space="preserve"> i ostale tekuće obveze ). Obveze skupine 24 jesu obveze za nabavu nefinancijske imovine, obveze skupine 26 jesu obveze za kredite i zajmove, dok obveze skupine 27 sadrže obveze za predujmove, depozite i </w:t>
      </w:r>
      <w:proofErr w:type="spellStart"/>
      <w:r w:rsidRPr="004C4164">
        <w:rPr>
          <w:lang w:val="hr-HR"/>
        </w:rPr>
        <w:t>jamčevne</w:t>
      </w:r>
      <w:proofErr w:type="spellEnd"/>
      <w:r w:rsidRPr="004C4164">
        <w:rPr>
          <w:lang w:val="hr-HR"/>
        </w:rPr>
        <w:t xml:space="preserve"> </w:t>
      </w:r>
      <w:proofErr w:type="spellStart"/>
      <w:r w:rsidRPr="004C4164">
        <w:rPr>
          <w:lang w:val="hr-HR"/>
        </w:rPr>
        <w:t>pologe</w:t>
      </w:r>
      <w:proofErr w:type="spellEnd"/>
      <w:r w:rsidRPr="004C4164">
        <w:rPr>
          <w:lang w:val="hr-HR"/>
        </w:rPr>
        <w:t>, obveze za tuđe prihode, obveze proračuna za naplaćena sredstva proračunskih korisnika te obveze za EU predujmove. Obveze skupine 29 su pasivna vremenska ograničenja koja sadrže odgođena plaćanja rashoda i prihode budućih razdoblja.          </w:t>
      </w:r>
    </w:p>
    <w:p w:rsidR="00CD695B" w:rsidRPr="004C4164" w:rsidRDefault="0098474D" w:rsidP="00D1303E">
      <w:pPr>
        <w:jc w:val="both"/>
        <w:rPr>
          <w:lang w:val="hr-HR"/>
        </w:rPr>
      </w:pPr>
      <w:r w:rsidRPr="004C4164">
        <w:rPr>
          <w:lang w:val="hr-HR"/>
        </w:rPr>
        <w:t>Ukupne obveze (zajedno sa stanjem na skupini 29) bilježe smanjenje od 2.650.769,68 eura ili 4,6% u odnosu na stanje prethodne godine.</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2631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Obveze za zajmove od trgovačkih društava u javnom sektoru</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2631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8.458.631,15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7.349.305,43</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86,9</w:t>
            </w:r>
          </w:p>
        </w:tc>
      </w:tr>
    </w:tbl>
    <w:p w:rsidR="00CD695B" w:rsidRPr="004C4164" w:rsidRDefault="00CD695B">
      <w:pPr>
        <w:spacing w:after="0"/>
        <w:rPr>
          <w:lang w:val="hr-HR"/>
        </w:rPr>
      </w:pPr>
    </w:p>
    <w:p w:rsidR="00CD695B" w:rsidRPr="004C4164" w:rsidRDefault="0098474D">
      <w:pPr>
        <w:rPr>
          <w:lang w:val="hr-HR"/>
        </w:rPr>
      </w:pPr>
      <w:r w:rsidRPr="004C4164">
        <w:rPr>
          <w:b/>
          <w:lang w:val="hr-HR"/>
        </w:rPr>
        <w:t>Robni zajam od trgovačkog društva Rijeka sport d.o.o.</w:t>
      </w:r>
    </w:p>
    <w:p w:rsidR="00CD695B" w:rsidRPr="004C4164" w:rsidRDefault="0098474D">
      <w:pPr>
        <w:jc w:val="both"/>
        <w:rPr>
          <w:lang w:val="hr-HR"/>
        </w:rPr>
      </w:pPr>
      <w:r w:rsidRPr="004C4164">
        <w:rPr>
          <w:lang w:val="hr-HR"/>
        </w:rPr>
        <w:t>Temeljem Ugovora o reguliranju međusobnih odnosa vezanih za financiranje ulaganja u objekte u vlasništvu Grada Rijeke do konca 2009. godine i Ugovora o reguliranju međusobnih odnosa u vezi s financiranjem izgradnje Dvoranskog plivališta Kantrida sklopljenim 14. travnja 2010. godine, Grad Rijeka je ugovorio povrat sredstava Rijeka sport d.o.o. za izvršeno financiranje ulaganja na sportskim objektima te evidentiranje imovine i njezine vrijednosti u knjigama imovine Grada. Za realizaciju navedene ugovorne obveze Grad Rijeka se zadužio putem robnog zajma kod trgovačkog društva Rijeka sport d.o.o. u iznosu od 88.887.131,00 kuna. Za iznos navedenih ulaganja, u 2010. godini je povećana vrijednost imovine u poslovnim knjigama Grada.</w:t>
      </w:r>
    </w:p>
    <w:p w:rsidR="00CD695B" w:rsidRPr="004C4164" w:rsidRDefault="0098474D">
      <w:pPr>
        <w:jc w:val="both"/>
        <w:rPr>
          <w:lang w:val="hr-HR"/>
        </w:rPr>
      </w:pPr>
      <w:r w:rsidRPr="004C4164">
        <w:rPr>
          <w:lang w:val="hr-HR"/>
        </w:rPr>
        <w:t>U 2011. godini Grad Rijeka je temeljem Ugovora o reguliranju međusobnih odnosa vezanih za financiranje ulaganja u objekte u vlasništvu Grada Rijeke u razdoblju od 1. siječnja do 31. prosinca 2010. godine zaključenog 7. ožujka 2011. godine i Ugovora o reguliranju međusobnih odnosa vezanih za financiranje ulaganja u objekte u vlasništvu Grada Rijeke u razdoblju 1. siječnja do 14. lipnja 2011. godine zaključenog 14. lipnja 2011. godine, preuzeo izvršena ulaganja na sportskim objektima koja je financirao Rijeka sport d.o.o. u iznosu od 38.434.624,00 kuna te je za navedeni iznos ulaganja povećana vrijednost imovine u knjigama imovine Grada. </w:t>
      </w:r>
    </w:p>
    <w:p w:rsidR="00CD695B" w:rsidRPr="004C4164" w:rsidRDefault="0098474D">
      <w:pPr>
        <w:jc w:val="both"/>
        <w:rPr>
          <w:lang w:val="hr-HR"/>
        </w:rPr>
      </w:pPr>
      <w:r w:rsidRPr="004C4164">
        <w:rPr>
          <w:lang w:val="hr-HR"/>
        </w:rPr>
        <w:t xml:space="preserve">Sukladno navedenim Ugovorima povećan je iznos robnog zajma sa 88.887.131,00 kuna na 127.321.755,00 kuna što predstavlja iznos ulaganja koja je izvršio Rijeka sport d.o.o. u sportske objekte u vlasništvu Grada (završna faza Dvoranskog plivališta Kantrida, Stadion Kantrida, Stadion </w:t>
      </w:r>
      <w:proofErr w:type="spellStart"/>
      <w:r w:rsidRPr="004C4164">
        <w:rPr>
          <w:lang w:val="hr-HR"/>
        </w:rPr>
        <w:t>Krimeja</w:t>
      </w:r>
      <w:proofErr w:type="spellEnd"/>
      <w:r w:rsidRPr="004C4164">
        <w:rPr>
          <w:lang w:val="hr-HR"/>
        </w:rPr>
        <w:t xml:space="preserve">, Nogometno igralište </w:t>
      </w:r>
      <w:proofErr w:type="spellStart"/>
      <w:r w:rsidRPr="004C4164">
        <w:rPr>
          <w:lang w:val="hr-HR"/>
        </w:rPr>
        <w:t>Podmurvice</w:t>
      </w:r>
      <w:proofErr w:type="spellEnd"/>
      <w:r w:rsidRPr="004C4164">
        <w:rPr>
          <w:lang w:val="hr-HR"/>
        </w:rPr>
        <w:t xml:space="preserve">, Dvorana Dinko </w:t>
      </w:r>
      <w:proofErr w:type="spellStart"/>
      <w:r w:rsidRPr="004C4164">
        <w:rPr>
          <w:lang w:val="hr-HR"/>
        </w:rPr>
        <w:t>Lukarić</w:t>
      </w:r>
      <w:proofErr w:type="spellEnd"/>
      <w:r w:rsidRPr="004C4164">
        <w:rPr>
          <w:lang w:val="hr-HR"/>
        </w:rPr>
        <w:t xml:space="preserve"> i Dvorana Mladosti). Otplata robnog zajma u mjesečnim anuitetima započela je u 2012. godini. Kamatna stopa je promjenjiva, vezana za tromjesečni EURIBOR +2,65 p.p. godišnje, ali ne manja od 4% godišnje. Rijeka sport d.o.o. je temeljem Odluke Gradskog vijeća od 22. prosinca 2016. godine o davanju suglasnosti za zaduženje radi refinanciranja ostatka duga po postojećem kreditu primljenom 2008. godine, dana 2. siječnja 2017. godine sklopio Ugovor o dugoročnom kreditu s Privrednom bankom Zagreb u iznosu od 189.773.099,15 kn. Refinanciranjem postojećeg duga produljen je krajnji rok dospijeća kredita na 15 godina i ugovorena je redovna kamata po stopi u visini prinosa na Trezorske zapise Ministarstva financija na bazi 91 dan uvećano za fiksnu maržu u visini 1,78 p.p. godišnje, promjenjiva.</w:t>
      </w:r>
    </w:p>
    <w:p w:rsidR="00CD695B" w:rsidRPr="004C4164" w:rsidRDefault="0098474D">
      <w:pPr>
        <w:jc w:val="both"/>
        <w:rPr>
          <w:lang w:val="hr-HR"/>
        </w:rPr>
      </w:pPr>
      <w:r w:rsidRPr="004C4164">
        <w:rPr>
          <w:lang w:val="hr-HR"/>
        </w:rPr>
        <w:t>S obzirom da se u Proračunu Grada osiguravaju sredstva za otplatu kredita Rijeka sporta d.o.o. kroz otplatu robnog zajma za preuzete objekte, a da su refinanciranjem kredita Rijeka sporta d.o.o. postignuti povoljni uvjeti otplate, novim Ugovorom o reguliranju međusobnih odnosa vezanih za financiranje ulaganja u objekte u vlasništvu Grada Rijeke između Rijeka sporta d.o.o. i Grada Rijeke od 30. prosinca 2016. godine u iznosu od 104.477.917,35 kuna, uskladila se dinamika otplate robnog zajma s dinamikom otplate refinanciranog kredita Rijeka sporta d.o.o. </w:t>
      </w:r>
    </w:p>
    <w:p w:rsidR="00CD695B" w:rsidRPr="004C4164" w:rsidRDefault="0098474D">
      <w:pPr>
        <w:jc w:val="both"/>
        <w:rPr>
          <w:lang w:val="hr-HR"/>
        </w:rPr>
      </w:pPr>
      <w:r w:rsidRPr="004C4164">
        <w:rPr>
          <w:lang w:val="hr-HR"/>
        </w:rPr>
        <w:t xml:space="preserve">Zbog nastalih okolnosti izazvanih </w:t>
      </w:r>
      <w:proofErr w:type="spellStart"/>
      <w:r w:rsidRPr="004C4164">
        <w:rPr>
          <w:lang w:val="hr-HR"/>
        </w:rPr>
        <w:t>pandemijom</w:t>
      </w:r>
      <w:proofErr w:type="spellEnd"/>
      <w:r w:rsidRPr="004C4164">
        <w:rPr>
          <w:lang w:val="hr-HR"/>
        </w:rPr>
        <w:t xml:space="preserve"> </w:t>
      </w:r>
      <w:proofErr w:type="spellStart"/>
      <w:r w:rsidRPr="004C4164">
        <w:rPr>
          <w:lang w:val="hr-HR"/>
        </w:rPr>
        <w:t>koronavirusa</w:t>
      </w:r>
      <w:proofErr w:type="spellEnd"/>
      <w:r w:rsidRPr="004C4164">
        <w:rPr>
          <w:lang w:val="hr-HR"/>
        </w:rPr>
        <w:t>, Gradsko vijeće je 27. svibnja 2020. godine donijelo Odluku o izmjenama Odluke o davanju suglasnosti za zaduženje Rijeka sportu d.o.o. radi refinanciranja ostatka glavnice, na temelju koje je Rijeka sport d.o.o., dana 8. srpnja 2020. godine sklopio Dodatak I Ugovoru o dugoročnom kreditu s Privrednom bankom Zagreb kojim je ugovoren moratorij na otplatu 6 rata glavnice u 2020. godini te je produljen rok otplate kredita do 30. lipnja 2032. godine.</w:t>
      </w:r>
    </w:p>
    <w:p w:rsidR="00CD695B" w:rsidRPr="004C4164" w:rsidRDefault="0098474D">
      <w:pPr>
        <w:jc w:val="both"/>
        <w:rPr>
          <w:lang w:val="hr-HR"/>
        </w:rPr>
      </w:pPr>
      <w:r w:rsidRPr="004C4164">
        <w:rPr>
          <w:lang w:val="hr-HR"/>
        </w:rPr>
        <w:t> Sukladno tome je i krajnji rok otplate robnog zajma Grada prema Rijeka sportu d.o.o. produljen do 30. lipnja 2032. godine.</w:t>
      </w:r>
    </w:p>
    <w:p w:rsidR="00CD695B" w:rsidRPr="004C4164" w:rsidRDefault="0098474D">
      <w:pPr>
        <w:jc w:val="both"/>
        <w:rPr>
          <w:lang w:val="hr-HR"/>
        </w:rPr>
      </w:pPr>
      <w:r w:rsidRPr="004C4164">
        <w:rPr>
          <w:lang w:val="hr-HR"/>
        </w:rPr>
        <w:t>Na temelju Odluke o izmjenama Odluke o davanju suglasnosti za zaduženje Rijeka sportu d.o.o. radi refinanciranja ostatka glavnice, koja je donesena na sjednici Gradskog vijeća dana 26. rujna 2024. godine, Rijeka sport d.o.o. je sklopio Dodatak II Ugovoru o dugoročnom kreditu s Privrednom bankom Zagreb kojim je utvrđeno da se na preostali saldo kredita, počevši od 01. listopada 2024. godine, obračunava redovna kamata po fiksnoj stopi u visini od 3,34% godišnje. Radi usklađenja otplatnog plana iz Dodatka II Ugovoru o dugoročnom kreditu sklopljen je Aneks 2. robnog zajma Grada Rijeke prema Rijeka sportu d.o.o..</w:t>
      </w:r>
    </w:p>
    <w:p w:rsidR="00CD695B" w:rsidRPr="004C4164" w:rsidRDefault="0098474D">
      <w:pPr>
        <w:jc w:val="both"/>
        <w:rPr>
          <w:lang w:val="hr-HR"/>
        </w:rPr>
      </w:pPr>
      <w:r w:rsidRPr="004C4164">
        <w:rPr>
          <w:lang w:val="hr-HR"/>
        </w:rPr>
        <w:t>Tijekom 2025. godine otplaćeno je 1.109.325,72 eura ovog zajma te stanje obveze na dan 31. prosinca 2025. godine iznosi 7.349.305,43 eura.</w:t>
      </w:r>
    </w:p>
    <w:p w:rsidR="00CD695B" w:rsidRPr="004C4164" w:rsidRDefault="0098474D" w:rsidP="00D1303E">
      <w:pPr>
        <w:jc w:val="both"/>
        <w:rPr>
          <w:lang w:val="hr-HR"/>
        </w:rPr>
      </w:pPr>
      <w:r w:rsidRPr="004C4164">
        <w:rPr>
          <w:lang w:val="hr-HR"/>
        </w:rPr>
        <w:t> </w:t>
      </w:r>
    </w:p>
    <w:p w:rsidR="00CD695B" w:rsidRPr="004C4164" w:rsidRDefault="0098474D">
      <w:pPr>
        <w:keepNext/>
        <w:spacing w:line="240" w:lineRule="auto"/>
        <w:jc w:val="center"/>
        <w:rPr>
          <w:lang w:val="hr-HR"/>
        </w:rPr>
      </w:pPr>
      <w:r w:rsidRPr="004C4164">
        <w:rPr>
          <w:sz w:val="28"/>
          <w:lang w:val="hr-HR"/>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2643</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Obveze za kredite od tuzemnih kreditnih institucija izvan javnog sektora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2643</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25.821.399,80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23.427.050,60</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90,7</w:t>
            </w:r>
          </w:p>
        </w:tc>
      </w:tr>
    </w:tbl>
    <w:p w:rsidR="00CD695B" w:rsidRPr="004C4164" w:rsidRDefault="00CD695B">
      <w:pPr>
        <w:spacing w:after="0"/>
        <w:rPr>
          <w:lang w:val="hr-HR"/>
        </w:rPr>
      </w:pPr>
    </w:p>
    <w:p w:rsidR="00CD695B" w:rsidRPr="004C4164" w:rsidRDefault="0098474D">
      <w:pPr>
        <w:rPr>
          <w:lang w:val="hr-HR"/>
        </w:rPr>
      </w:pPr>
      <w:r w:rsidRPr="004C4164">
        <w:rPr>
          <w:b/>
          <w:lang w:val="hr-HR"/>
        </w:rPr>
        <w:t xml:space="preserve">Kredit ERSTE&amp;STEIERMARKISCHE BANK d.d. na iznos od 16,4 </w:t>
      </w:r>
      <w:proofErr w:type="spellStart"/>
      <w:r w:rsidRPr="004C4164">
        <w:rPr>
          <w:b/>
          <w:lang w:val="hr-HR"/>
        </w:rPr>
        <w:t>mil</w:t>
      </w:r>
      <w:proofErr w:type="spellEnd"/>
      <w:r w:rsidRPr="004C4164">
        <w:rPr>
          <w:b/>
          <w:lang w:val="hr-HR"/>
        </w:rPr>
        <w:t>. eura </w:t>
      </w:r>
    </w:p>
    <w:p w:rsidR="00CD695B" w:rsidRPr="004C4164" w:rsidRDefault="0098474D">
      <w:pPr>
        <w:jc w:val="both"/>
        <w:rPr>
          <w:lang w:val="hr-HR"/>
        </w:rPr>
      </w:pPr>
      <w:r w:rsidRPr="004C4164">
        <w:rPr>
          <w:lang w:val="hr-HR"/>
        </w:rPr>
        <w:t>Gradsko vijeće Grada Rijeke je na sjednici 24. svibnja 2018. godine donijelo Odluku o zaduživanju Grada Rijeke za realizaciju kapitalnih projekata u iznosu od 123.629.955,00 kuna. Ministarstvo financija je 12. srpnja 2018. dalo suglasnost za zaduženje te je Grad Rijeka s ERSTE&amp;STEIERMÄRKISCHE BANK d.d. dana 31. kolovoza 2018. godine zaključio Ugovor o kreditu za financiranje kapitalnog projekta Revitalizacija kompleksa Benčić - Cigleni i T-objekt i za projekte energetskih obnova osnovnih škola i dječjih vrtića. Temeljem Odluke o Izmjenama i dopunama Odluke o zaduživanju od 30. rujna 2019. i dobivene suglasnosti Ministarstva financija od 21. studenoga 2019. godine, Grad Rijeka je dana 6. prosinca 2019. godine sklopio Aneks broj 1. Ugovora o kreditu kojim se ugovara prenamjena dijela sredstava za obnovu broda Galeb u sklopu projekta Turistička valorizacija reprezentativnih spomenika riječke industrijske baštine s time da je ukupan ugovoreni iznos kredita ostao nepromijenjen. Temeljem Odluke o zaduživanju od 11. ožujka 2021. godine sklopljen je Aneks broj 2 Ugovora o kreditu kojim je produljen rok korištenja kredita do 31. prosinca 2022. godine, a temeljem Odluke o zaduživanju od 8. prosinca 2022. godine sklopljen je Aneks broj 4 Ugovora o kreditu kojim je produljen rok korištenja kredita do 31. prosinca 2023. godine. Sredstva kredita otplaćivat će se mjesečno 14 godina, od isteka roka korištenja. Kamatna stopa je fiksna i iznosi 1,59%.</w:t>
      </w:r>
    </w:p>
    <w:p w:rsidR="00CD695B" w:rsidRPr="004C4164" w:rsidRDefault="0098474D">
      <w:pPr>
        <w:jc w:val="both"/>
        <w:rPr>
          <w:lang w:val="hr-HR"/>
        </w:rPr>
      </w:pPr>
      <w:r w:rsidRPr="004C4164">
        <w:rPr>
          <w:lang w:val="hr-HR"/>
        </w:rPr>
        <w:t>Povlačenje kredita je započelo u listopadu 2018. godine i do 31. prosinca 2023. godine je u cijelosti povučen u iznosu 16.408.514,83 eura.</w:t>
      </w:r>
    </w:p>
    <w:p w:rsidR="00CD695B" w:rsidRPr="004C4164" w:rsidRDefault="0098474D">
      <w:pPr>
        <w:jc w:val="both"/>
        <w:rPr>
          <w:lang w:val="hr-HR"/>
        </w:rPr>
      </w:pPr>
      <w:r w:rsidRPr="004C4164">
        <w:rPr>
          <w:lang w:val="hr-HR"/>
        </w:rPr>
        <w:t>Otplata kredita je započela u siječnju 2024. godine te stanje kredita na dan 31. prosinca 2025. godine iznosi 14.064.441,31 eura.</w:t>
      </w:r>
    </w:p>
    <w:p w:rsidR="00CD695B" w:rsidRPr="004C4164" w:rsidRDefault="0098474D">
      <w:pPr>
        <w:jc w:val="both"/>
        <w:rPr>
          <w:lang w:val="hr-HR"/>
        </w:rPr>
      </w:pPr>
      <w:r w:rsidRPr="004C4164">
        <w:rPr>
          <w:b/>
          <w:lang w:val="hr-HR"/>
        </w:rPr>
        <w:t xml:space="preserve">Kredit ERSTE&amp;STEIERMARKISCHE BANK d.d. na iznos od 2,5 </w:t>
      </w:r>
      <w:proofErr w:type="spellStart"/>
      <w:r w:rsidRPr="004C4164">
        <w:rPr>
          <w:b/>
          <w:lang w:val="hr-HR"/>
        </w:rPr>
        <w:t>mil</w:t>
      </w:r>
      <w:proofErr w:type="spellEnd"/>
      <w:r w:rsidRPr="004C4164">
        <w:rPr>
          <w:b/>
          <w:lang w:val="hr-HR"/>
        </w:rPr>
        <w:t>. eura </w:t>
      </w:r>
    </w:p>
    <w:p w:rsidR="00CD695B" w:rsidRPr="004C4164" w:rsidRDefault="0098474D">
      <w:pPr>
        <w:jc w:val="both"/>
        <w:rPr>
          <w:lang w:val="hr-HR"/>
        </w:rPr>
      </w:pPr>
      <w:r w:rsidRPr="004C4164">
        <w:rPr>
          <w:lang w:val="hr-HR"/>
        </w:rPr>
        <w:t>Gradsko vijeće Grada Rijeke je na sjednici 28. ožujka 2019. godine donijelo Odluku o zaduživanju Grada Rijeke za projekte energetskih obnova 5 osnovnih škola i dječjih vrtića te Muzeja grada Rijeke. Slijedom navedenog, 30. travnja 2019. godine dobivena je suglasnost Ministarstva financija za zaduženje te je Grad Rijeka s ERSTE&amp;STEIERMÄRKISCHE BANK d.d. dana 1. srpnja 2019. godine zaključio Ugovor u iznosu od 18.655.949,00 kuna. Aneksom broj 1 Ugovora o kreditu od 26. lipnja 2020. godine produljio se rok korištenja kredita do 31. prosinca 2020. godine. Povlačenje kredita počelo je u listopadu 2019. godine i ukupno za projekte iskorišteno je 18.649.857,88 kuna kreditnih sredstava. Sredstva kredita otplaćuju se mjesečno 10 godina, od isteka roka korištenja, odnosno otplata kredita započela je od siječnja 2021. godine. Kamatna stopa je fiksna i iznosi 1,27%. </w:t>
      </w:r>
    </w:p>
    <w:p w:rsidR="00CD695B" w:rsidRPr="004C4164" w:rsidRDefault="0098474D">
      <w:pPr>
        <w:jc w:val="both"/>
        <w:rPr>
          <w:lang w:val="hr-HR"/>
        </w:rPr>
      </w:pPr>
      <w:r w:rsidRPr="004C4164">
        <w:rPr>
          <w:lang w:val="hr-HR"/>
        </w:rPr>
        <w:t>Na Javni poziv Ministarstva regionalnog razvoja i fondova Europske unije za sufinanciranje provedbe EU projekata na regionalnoj i lokalnoj razini objavljen krajem 2020. godine, Grad je za sufinanciranje vlastite komponente prijavio 6 projekata energetske obnove koji su završeni u 2020. godini, te su Gradu krajem 2021. godine odobrena bespovratna sredstva pomoći u iznosu od 7.498.038,49 kuna.</w:t>
      </w:r>
    </w:p>
    <w:p w:rsidR="00CD695B" w:rsidRPr="004C4164" w:rsidRDefault="0098474D">
      <w:pPr>
        <w:jc w:val="both"/>
        <w:rPr>
          <w:lang w:val="hr-HR"/>
        </w:rPr>
      </w:pPr>
      <w:r w:rsidRPr="004C4164">
        <w:rPr>
          <w:lang w:val="hr-HR"/>
        </w:rPr>
        <w:t>Obzirom da je vlastita komponenta 6 realiziranih projekata energetske obnove prethodno financirana iz kredita Erste banke, Grad je po primitku navedenih bespovratnih sredstava izvršio prijevremenu djelomičnu otplatu navedenog kredita te je dana 24. prosinca 2021. godine sklopljen Aneks broj 2 Ugovora o kreditu na novi iznos glavnice kredita u visini 9.442.249,11 kuna.</w:t>
      </w:r>
    </w:p>
    <w:p w:rsidR="00CD695B" w:rsidRPr="004C4164" w:rsidRDefault="0098474D">
      <w:pPr>
        <w:jc w:val="both"/>
        <w:rPr>
          <w:lang w:val="hr-HR"/>
        </w:rPr>
      </w:pPr>
      <w:r w:rsidRPr="004C4164">
        <w:rPr>
          <w:lang w:val="hr-HR"/>
        </w:rPr>
        <w:t>Tijekom 2025. godine otplaćeno je 137.967,12 eura te stanje obveze ovog kredita na dan 31. prosinca 2025. godine iznosi 689.836,08 eura.</w:t>
      </w:r>
    </w:p>
    <w:p w:rsidR="00CD695B" w:rsidRPr="004C4164" w:rsidRDefault="0098474D">
      <w:pPr>
        <w:jc w:val="both"/>
        <w:rPr>
          <w:lang w:val="hr-HR"/>
        </w:rPr>
      </w:pPr>
      <w:r w:rsidRPr="004C4164">
        <w:rPr>
          <w:b/>
          <w:lang w:val="hr-HR"/>
        </w:rPr>
        <w:t xml:space="preserve">Kredit ERSTE&amp;STEIERMARKISCHE BANK d.d. na iznos od 4,6 </w:t>
      </w:r>
      <w:proofErr w:type="spellStart"/>
      <w:r w:rsidRPr="004C4164">
        <w:rPr>
          <w:b/>
          <w:lang w:val="hr-HR"/>
        </w:rPr>
        <w:t>mil</w:t>
      </w:r>
      <w:proofErr w:type="spellEnd"/>
      <w:r w:rsidRPr="004C4164">
        <w:rPr>
          <w:b/>
          <w:lang w:val="hr-HR"/>
        </w:rPr>
        <w:t>. eura </w:t>
      </w:r>
    </w:p>
    <w:p w:rsidR="00CD695B" w:rsidRPr="004C4164" w:rsidRDefault="0098474D">
      <w:pPr>
        <w:jc w:val="both"/>
        <w:rPr>
          <w:lang w:val="hr-HR"/>
        </w:rPr>
      </w:pPr>
      <w:r w:rsidRPr="004C4164">
        <w:rPr>
          <w:lang w:val="hr-HR"/>
        </w:rPr>
        <w:t>Gradsko vijeće Grada Rijeke je na sjednici 24. svibnja 2018. godine donijelo Odluku o zaduživanju Grada Rijeke za financiranje kapitalnog projekta „Uređenje javnih površina i izgradnja pripadajuće infrastrukture unutar bivšeg tvorničkog kompleksa Rikard Benčić“. Vlada Republike Hrvatske dala je 10. svibnja 2019. suglasnost za zaduženje te je Grad Rijeka s ERSTE&amp;STEIERMÄRKISCHE BANK d.d. Rijeka dana 24. svibnja 2019. godine zaključio Ugovor o kreditu u iznosu od 35.000.000,00 kuna. Aneksom broj 1 Ugovora o kreditu od 5. svibnja 2020. godine produljio se rok korištenja kredita do 30. lipnja 2021. godine. Sredstva kredita otplaćuju se mjesečno 14 godina, odnosno otplata kredita započela je u srpnju 2021. godine. Kamatna stopa je fiksna i iznosi 1,59%.</w:t>
      </w:r>
    </w:p>
    <w:p w:rsidR="00CD695B" w:rsidRPr="004C4164" w:rsidRDefault="0098474D">
      <w:pPr>
        <w:jc w:val="both"/>
        <w:rPr>
          <w:lang w:val="hr-HR"/>
        </w:rPr>
      </w:pPr>
      <w:r w:rsidRPr="004C4164">
        <w:rPr>
          <w:lang w:val="hr-HR"/>
        </w:rPr>
        <w:t>Tijekom 2025. godine otplaćeno je 331.806,96 eura te stanje obveze ovog kredita na dan 31. prosinca 2025. godine iznosi 3.152.168,05 eura.</w:t>
      </w:r>
    </w:p>
    <w:p w:rsidR="00CD695B" w:rsidRPr="004C4164" w:rsidRDefault="0098474D">
      <w:pPr>
        <w:jc w:val="both"/>
        <w:rPr>
          <w:lang w:val="hr-HR"/>
        </w:rPr>
      </w:pPr>
      <w:r w:rsidRPr="004C4164">
        <w:rPr>
          <w:b/>
          <w:lang w:val="hr-HR"/>
        </w:rPr>
        <w:t xml:space="preserve">Kredit ZAGREBAČKE BANKE d.d. na iznos od 5,8 </w:t>
      </w:r>
      <w:proofErr w:type="spellStart"/>
      <w:r w:rsidRPr="004C4164">
        <w:rPr>
          <w:b/>
          <w:lang w:val="hr-HR"/>
        </w:rPr>
        <w:t>mil</w:t>
      </w:r>
      <w:proofErr w:type="spellEnd"/>
      <w:r w:rsidRPr="004C4164">
        <w:rPr>
          <w:b/>
          <w:lang w:val="hr-HR"/>
        </w:rPr>
        <w:t>. eura </w:t>
      </w:r>
    </w:p>
    <w:p w:rsidR="00CD695B" w:rsidRPr="004C4164" w:rsidRDefault="0098474D">
      <w:pPr>
        <w:jc w:val="both"/>
        <w:rPr>
          <w:lang w:val="hr-HR"/>
        </w:rPr>
      </w:pPr>
      <w:r w:rsidRPr="004C4164">
        <w:rPr>
          <w:lang w:val="hr-HR"/>
        </w:rPr>
        <w:t>Gradsko vijeće Grada Rijeke je na sjednici 30. rujna 2019. godine donijelo Odluku o zaduživanju Grada Rijeke za realizaciju kapitalnog projekta „Turistička valorizacija reprezentativnih spomenika riječke industrijske baštine“. Slijedom navedenog, 15. studenog 2019. godine dobivena je suglasnost Ministarstva financija te je Grad Rijeka dana 6. prosinca 2019. godine sklopio sa Zagrebačkom bankom d.d. Ugovor o kreditu u iznosu od 44.000.000,00 kuna. Dodatkom broj 1 Ugovora o kreditu od 2. prosinca 2020. godine produljio se rok korištenja kredita do 31. prosinca 2021. godine. Unatoč istom, za produljenje roka korištenja do 31. prosinca 2022. godine, sklopljen je Dodatak 2. Ugovora o kreditu dana 01. prosinca 2021. godine.</w:t>
      </w:r>
    </w:p>
    <w:p w:rsidR="00CD695B" w:rsidRPr="004C4164" w:rsidRDefault="0098474D">
      <w:pPr>
        <w:jc w:val="both"/>
        <w:rPr>
          <w:lang w:val="hr-HR"/>
        </w:rPr>
      </w:pPr>
      <w:r w:rsidRPr="004C4164">
        <w:rPr>
          <w:lang w:val="hr-HR"/>
        </w:rPr>
        <w:t>Povlačenje kredita započelo je u prosincu 2019. godine i ukupno je iskorišteno 5.839.803,57 eura.</w:t>
      </w:r>
    </w:p>
    <w:p w:rsidR="00CD695B" w:rsidRPr="004C4164" w:rsidRDefault="0098474D">
      <w:pPr>
        <w:jc w:val="both"/>
        <w:rPr>
          <w:lang w:val="hr-HR"/>
        </w:rPr>
      </w:pPr>
      <w:r w:rsidRPr="004C4164">
        <w:rPr>
          <w:lang w:val="hr-HR"/>
        </w:rPr>
        <w:t>Sredstva kredita otplaćuju se mjesečno 10 godina, odnosno otplata kredita započela je u siječnju 2023. godine. Kamatna stopa je fiksna i iznosi 1,25%.</w:t>
      </w:r>
    </w:p>
    <w:p w:rsidR="00CD695B" w:rsidRPr="004C4164" w:rsidRDefault="0098474D">
      <w:pPr>
        <w:jc w:val="both"/>
        <w:rPr>
          <w:lang w:val="hr-HR"/>
        </w:rPr>
      </w:pPr>
      <w:r w:rsidRPr="004C4164">
        <w:rPr>
          <w:lang w:val="hr-HR"/>
        </w:rPr>
        <w:t>Tijekom 2025. godine otplaćeno je 583.980,36 eura te stanje obveze ovog kredita na dan 31. prosinca 2025. godine iznosi 4.087.862,49 eura.</w:t>
      </w:r>
    </w:p>
    <w:p w:rsidR="00CD695B" w:rsidRPr="004C4164" w:rsidRDefault="0098474D">
      <w:pPr>
        <w:jc w:val="both"/>
        <w:rPr>
          <w:lang w:val="hr-HR"/>
        </w:rPr>
      </w:pPr>
      <w:r w:rsidRPr="004C4164">
        <w:rPr>
          <w:b/>
          <w:lang w:val="hr-HR"/>
        </w:rPr>
        <w:t xml:space="preserve">Kredit ERSTE&amp;STEIERMARKISCHE BANK d.d. na iznos od 1,7 </w:t>
      </w:r>
      <w:proofErr w:type="spellStart"/>
      <w:r w:rsidRPr="004C4164">
        <w:rPr>
          <w:b/>
          <w:lang w:val="hr-HR"/>
        </w:rPr>
        <w:t>mil</w:t>
      </w:r>
      <w:proofErr w:type="spellEnd"/>
      <w:r w:rsidRPr="004C4164">
        <w:rPr>
          <w:b/>
          <w:lang w:val="hr-HR"/>
        </w:rPr>
        <w:t>. eura </w:t>
      </w:r>
    </w:p>
    <w:p w:rsidR="00CD695B" w:rsidRPr="004C4164" w:rsidRDefault="0098474D">
      <w:pPr>
        <w:jc w:val="both"/>
        <w:rPr>
          <w:lang w:val="hr-HR"/>
        </w:rPr>
      </w:pPr>
      <w:r w:rsidRPr="004C4164">
        <w:rPr>
          <w:lang w:val="hr-HR"/>
        </w:rPr>
        <w:t xml:space="preserve">Gradsko vijeće Grada Rijeke je na sjednici 4. svibnja 2022. godine donijelo Odluku o zaduživanju Grada Rijeke za sufinanciranje kapitalnog projekta Energana - Start </w:t>
      </w:r>
      <w:proofErr w:type="spellStart"/>
      <w:r w:rsidRPr="004C4164">
        <w:rPr>
          <w:lang w:val="hr-HR"/>
        </w:rPr>
        <w:t>Up</w:t>
      </w:r>
      <w:proofErr w:type="spellEnd"/>
      <w:r w:rsidRPr="004C4164">
        <w:rPr>
          <w:lang w:val="hr-HR"/>
        </w:rPr>
        <w:t xml:space="preserve"> inkubator za kreativne tehnologije i IT industriju. Vlada Republike Hrvatske dala je 25. kolovoza 2022. godine suglasnost za zaduženje te je Grad Rijeka s ERSTE&amp;STEIERMAKISCHE BANK d.d. dana 19. rujna 2022. godine zaključio Ugovor o kreditu u iznosu od 12.700.000,00 kuna. Aneksom broj 1 Ugovora o kreditu od 10. svibnja 2023. godine produljio se rok korištenja kredita do 31. prosinca 2023. godine. Sredstva kredita otplaćivat će se mjesečno 10 godina, od isteka roka korištenja. Kamatna stopa je fiksna i iznosi 0,65%.</w:t>
      </w:r>
    </w:p>
    <w:p w:rsidR="00CD695B" w:rsidRPr="004C4164" w:rsidRDefault="0098474D">
      <w:pPr>
        <w:jc w:val="both"/>
        <w:rPr>
          <w:lang w:val="hr-HR"/>
        </w:rPr>
      </w:pPr>
      <w:r w:rsidRPr="004C4164">
        <w:rPr>
          <w:lang w:val="hr-HR"/>
        </w:rPr>
        <w:t>Povlačenje kredita započelo je u studenom 2022. godine i do 31. prosinca 2023. godine iskorišten je u cijelosti u iznosu 1.685.579,67 eura. </w:t>
      </w:r>
    </w:p>
    <w:p w:rsidR="00CD695B" w:rsidRPr="004C4164" w:rsidRDefault="0098474D">
      <w:pPr>
        <w:jc w:val="both"/>
        <w:rPr>
          <w:lang w:val="hr-HR"/>
        </w:rPr>
      </w:pPr>
      <w:r w:rsidRPr="004C4164">
        <w:rPr>
          <w:lang w:val="hr-HR"/>
        </w:rPr>
        <w:t>Otplata kredita je započela u srpnju 2024. godine te stanje kredita na dan 31. prosinca 2025. godine iznosi 1.432.742,67 eura.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2671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Obveze za zajmove od državnog proračuna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2671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1.186.365,77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1.087.508,29</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91,7</w:t>
            </w:r>
          </w:p>
        </w:tc>
      </w:tr>
    </w:tbl>
    <w:p w:rsidR="00CD695B" w:rsidRPr="004C4164" w:rsidRDefault="00CD695B">
      <w:pPr>
        <w:spacing w:after="0"/>
        <w:rPr>
          <w:lang w:val="hr-HR"/>
        </w:rPr>
      </w:pPr>
    </w:p>
    <w:p w:rsidR="00CD695B" w:rsidRPr="004C4164" w:rsidRDefault="0098474D">
      <w:pPr>
        <w:jc w:val="both"/>
        <w:rPr>
          <w:lang w:val="hr-HR"/>
        </w:rPr>
      </w:pPr>
      <w:r w:rsidRPr="004C4164">
        <w:rPr>
          <w:b/>
          <w:lang w:val="hr-HR"/>
        </w:rPr>
        <w:t xml:space="preserve">Zajam od RH, Ministarstvo financija, za sufinanciranje Projekta IPA ŽCGO </w:t>
      </w:r>
      <w:proofErr w:type="spellStart"/>
      <w:r w:rsidRPr="004C4164">
        <w:rPr>
          <w:b/>
          <w:lang w:val="hr-HR"/>
        </w:rPr>
        <w:t>Marišćina</w:t>
      </w:r>
      <w:proofErr w:type="spellEnd"/>
      <w:r w:rsidRPr="004C4164">
        <w:rPr>
          <w:b/>
          <w:lang w:val="hr-HR"/>
        </w:rPr>
        <w:t> </w:t>
      </w:r>
    </w:p>
    <w:p w:rsidR="00CD695B" w:rsidRPr="004C4164" w:rsidRDefault="0098474D">
      <w:pPr>
        <w:jc w:val="both"/>
        <w:rPr>
          <w:lang w:val="hr-HR"/>
        </w:rPr>
      </w:pPr>
      <w:r w:rsidRPr="004C4164">
        <w:rPr>
          <w:lang w:val="hr-HR"/>
        </w:rPr>
        <w:t xml:space="preserve">Gradsko vijeće Grada Rijeke je na sjednici 21. prosinca 2011. godine donijelo Odluku o zaduživanju Grada Rijeke za sufinanciranje Projekta IPA ŽCGO </w:t>
      </w:r>
      <w:proofErr w:type="spellStart"/>
      <w:r w:rsidRPr="004C4164">
        <w:rPr>
          <w:lang w:val="hr-HR"/>
        </w:rPr>
        <w:t>Marišćina</w:t>
      </w:r>
      <w:proofErr w:type="spellEnd"/>
      <w:r w:rsidRPr="004C4164">
        <w:rPr>
          <w:lang w:val="hr-HR"/>
        </w:rPr>
        <w:t xml:space="preserve">. Grad Rijeka je s Ministarstvom financija 17. siječnja 2012. godine zaključio Ugovor o zajmu za sufinanciranje izgradnje Županijskog centra za gospodarenje otpadom </w:t>
      </w:r>
      <w:proofErr w:type="spellStart"/>
      <w:r w:rsidRPr="004C4164">
        <w:rPr>
          <w:lang w:val="hr-HR"/>
        </w:rPr>
        <w:t>Marišćina</w:t>
      </w:r>
      <w:proofErr w:type="spellEnd"/>
      <w:r w:rsidRPr="004C4164">
        <w:rPr>
          <w:lang w:val="hr-HR"/>
        </w:rPr>
        <w:t xml:space="preserve"> (Program IPA, komponenta III, Operativni program Zaštita okoliša), na iznos od 2.011.751 eura. Dodatkom ugovora od 20. prosinca 2013. godine povećan je maksimalni iznos zajma na 2.290.150 eura dok su ostale odredbe ugovora ostale nepromijenjene. Sredstva zajma otplaćuju se sukcesivno u roku od 25 godina, uključujući i poček od 5 godina, u 80 jednakih tromjesečnih rata. Dospijeće prve rate je 5 godina od prvog korištenja zajma, odnosno otplata zajma započela je 30. travnja 2017. godine.</w:t>
      </w:r>
    </w:p>
    <w:p w:rsidR="00CD695B" w:rsidRPr="004C4164" w:rsidRDefault="0098474D">
      <w:pPr>
        <w:jc w:val="both"/>
        <w:rPr>
          <w:lang w:val="hr-HR"/>
        </w:rPr>
      </w:pPr>
      <w:r w:rsidRPr="004C4164">
        <w:rPr>
          <w:lang w:val="hr-HR"/>
        </w:rPr>
        <w:t xml:space="preserve">Povlačenje zajma je počelo u 2012. godini sukladno dinamici realizacije projekta izgradnje Županijskog centra za gospodarenje otpadom </w:t>
      </w:r>
      <w:proofErr w:type="spellStart"/>
      <w:r w:rsidRPr="004C4164">
        <w:rPr>
          <w:lang w:val="hr-HR"/>
        </w:rPr>
        <w:t>Marišćina</w:t>
      </w:r>
      <w:proofErr w:type="spellEnd"/>
      <w:r w:rsidRPr="004C4164">
        <w:rPr>
          <w:lang w:val="hr-HR"/>
        </w:rPr>
        <w:t xml:space="preserve"> i ukupno je za projekt iskorišteno 14.823.521,00 kuna, odnosno 1.955.649,22 eura kreditnih sredstava. Kamatna stopa za cijelo vrijeme trajanja zajma je fiksna i iznosi 3,987%. Kamata se obračunava od prvog korištenja zajma, a naplaćuje se nakon isteka počeka, u 80 jednakih tromjesečnih rata.</w:t>
      </w:r>
    </w:p>
    <w:p w:rsidR="00CD695B" w:rsidRPr="004C4164" w:rsidRDefault="0098474D">
      <w:pPr>
        <w:jc w:val="both"/>
        <w:rPr>
          <w:lang w:val="hr-HR"/>
        </w:rPr>
      </w:pPr>
      <w:r w:rsidRPr="004C4164">
        <w:rPr>
          <w:lang w:val="hr-HR"/>
        </w:rPr>
        <w:t>Stanje kredita na dan 31. prosinca 2025. godine iznosi 1.087.508,29 eura.</w:t>
      </w:r>
    </w:p>
    <w:p w:rsidR="00CD695B" w:rsidRPr="004C4164" w:rsidRDefault="0098474D">
      <w:pPr>
        <w:jc w:val="both"/>
        <w:rPr>
          <w:lang w:val="hr-HR"/>
        </w:rPr>
      </w:pPr>
      <w:r w:rsidRPr="004C4164">
        <w:rPr>
          <w:b/>
          <w:lang w:val="hr-HR"/>
        </w:rPr>
        <w:t>Beskamatni zajam jedinicama lokalne i područne (regionalne) samouprave</w:t>
      </w:r>
    </w:p>
    <w:p w:rsidR="00CD695B" w:rsidRPr="004C4164" w:rsidRDefault="0098474D">
      <w:pPr>
        <w:jc w:val="both"/>
        <w:rPr>
          <w:lang w:val="hr-HR"/>
        </w:rPr>
      </w:pPr>
      <w:r w:rsidRPr="004C4164">
        <w:rPr>
          <w:lang w:val="hr-HR"/>
        </w:rPr>
        <w:t>Povrat poreza na dohodak po godišnjoj prijavi za 2024. godinu započeo je u svibnju 2025. godine. </w:t>
      </w:r>
    </w:p>
    <w:p w:rsidR="00CD695B" w:rsidRPr="004C4164" w:rsidRDefault="0098474D">
      <w:pPr>
        <w:jc w:val="both"/>
        <w:rPr>
          <w:lang w:val="hr-HR"/>
        </w:rPr>
      </w:pPr>
      <w:r w:rsidRPr="004C4164">
        <w:rPr>
          <w:lang w:val="hr-HR"/>
        </w:rPr>
        <w:t xml:space="preserve">U Naputku o načinu uplaćivanja prihoda proračuna, obveznih doprinosa te prihoda za financiranje drugih javnih potreba u 2025. godini (Narodne novine, br. 22/25), točka 9. Povrat i </w:t>
      </w:r>
      <w:proofErr w:type="spellStart"/>
      <w:r w:rsidRPr="004C4164">
        <w:rPr>
          <w:lang w:val="hr-HR"/>
        </w:rPr>
        <w:t>preknjiženje</w:t>
      </w:r>
      <w:proofErr w:type="spellEnd"/>
      <w:r w:rsidRPr="004C4164">
        <w:rPr>
          <w:lang w:val="hr-HR"/>
        </w:rPr>
        <w:t xml:space="preserve"> javnih prihoda, </w:t>
      </w:r>
      <w:proofErr w:type="spellStart"/>
      <w:r w:rsidRPr="004C4164">
        <w:rPr>
          <w:lang w:val="hr-HR"/>
        </w:rPr>
        <w:t>podtočka</w:t>
      </w:r>
      <w:proofErr w:type="spellEnd"/>
      <w:r w:rsidRPr="004C4164">
        <w:rPr>
          <w:lang w:val="hr-HR"/>
        </w:rPr>
        <w:t xml:space="preserve"> 9.5.3. Namirenje nedostajućih sredstava za izvršenje naloga za povrat, ispravak prijenosom ili </w:t>
      </w:r>
      <w:proofErr w:type="spellStart"/>
      <w:r w:rsidRPr="004C4164">
        <w:rPr>
          <w:lang w:val="hr-HR"/>
        </w:rPr>
        <w:t>preknjiženje</w:t>
      </w:r>
      <w:proofErr w:type="spellEnd"/>
      <w:r w:rsidRPr="004C4164">
        <w:rPr>
          <w:lang w:val="hr-HR"/>
        </w:rPr>
        <w:t xml:space="preserve"> na računu za uplatu i raspored zajedničkog prihoda propisan je postupak namirenja nedostajućih sredstava na računu poreza na dohodak koje će jedinice lokalne samouprave koristiti za povrat poreza na dohodak po godišnjoj prijavi za 2024. godinu u razdoblju od 2. svibnja do 31. prosinca 2025. godine. </w:t>
      </w:r>
    </w:p>
    <w:p w:rsidR="00CD695B" w:rsidRPr="004C4164" w:rsidRDefault="0098474D">
      <w:pPr>
        <w:jc w:val="both"/>
        <w:rPr>
          <w:lang w:val="hr-HR"/>
        </w:rPr>
      </w:pPr>
      <w:r w:rsidRPr="004C4164">
        <w:rPr>
          <w:lang w:val="hr-HR"/>
        </w:rPr>
        <w:t xml:space="preserve">Naputkom je propisano da ako na računu za uplatu i raspored zajedničkog prihoda, nema dovoljno sredstava za izvršenje naloga za povrat, ispravak prijenosom ili </w:t>
      </w:r>
      <w:proofErr w:type="spellStart"/>
      <w:r w:rsidRPr="004C4164">
        <w:rPr>
          <w:lang w:val="hr-HR"/>
        </w:rPr>
        <w:t>preknjiženje</w:t>
      </w:r>
      <w:proofErr w:type="spellEnd"/>
      <w:r w:rsidRPr="004C4164">
        <w:rPr>
          <w:lang w:val="hr-HR"/>
        </w:rPr>
        <w:t xml:space="preserve"> u 2025. godini, nedostajuća sredstva za provedbu naloga namiruju se na teret jedinstvenog računa državnog proračuna. Sredstva korištena za izvršenje naloga za povrat, ispravak prijenosom ili </w:t>
      </w:r>
      <w:proofErr w:type="spellStart"/>
      <w:r w:rsidRPr="004C4164">
        <w:rPr>
          <w:lang w:val="hr-HR"/>
        </w:rPr>
        <w:t>preknjiženje</w:t>
      </w:r>
      <w:proofErr w:type="spellEnd"/>
      <w:r w:rsidRPr="004C4164">
        <w:rPr>
          <w:lang w:val="hr-HR"/>
        </w:rPr>
        <w:t xml:space="preserve"> na računu za uplatu i raspored zajedničkog prihoda, namirena na teret jedinstvenog računa državnog proračuna vraćaju se na jedinstveni račun državnog proračuna iz prvoga priljeva sredstava na račun za uplatu i raspored zajedničkog prihoda.</w:t>
      </w:r>
    </w:p>
    <w:p w:rsidR="00CD695B" w:rsidRPr="004C4164" w:rsidRDefault="0098474D">
      <w:pPr>
        <w:jc w:val="both"/>
        <w:rPr>
          <w:lang w:val="hr-HR"/>
        </w:rPr>
      </w:pPr>
      <w:r w:rsidRPr="004C4164">
        <w:rPr>
          <w:lang w:val="hr-HR"/>
        </w:rPr>
        <w:t>U izvještajnom razdoblju, sredstva namirenja na teret državnog proračuna u svrhu isplate poreza i prireza po godišnjoj prijavi za 2024. godinu, u visini od 7.343.109,19 eura, evidentirana su u skladu s Uputom Ministarstva financija kao obveza i u cijelosti je vraćena do 30. rujna 2025. godine.</w:t>
      </w:r>
    </w:p>
    <w:p w:rsidR="00CD695B" w:rsidRPr="004C4164" w:rsidRDefault="0098474D" w:rsidP="00D1303E">
      <w:pPr>
        <w:jc w:val="both"/>
        <w:rPr>
          <w:lang w:val="hr-HR"/>
        </w:rPr>
      </w:pPr>
      <w:r w:rsidRPr="004C4164">
        <w:rPr>
          <w:lang w:val="hr-HR"/>
        </w:rPr>
        <w:t> </w:t>
      </w:r>
    </w:p>
    <w:p w:rsidR="00CD695B" w:rsidRPr="004C4164" w:rsidRDefault="0098474D">
      <w:pPr>
        <w:keepNext/>
        <w:spacing w:line="240" w:lineRule="auto"/>
        <w:jc w:val="center"/>
        <w:rPr>
          <w:lang w:val="hr-HR"/>
        </w:rPr>
      </w:pPr>
      <w:r w:rsidRPr="004C4164">
        <w:rPr>
          <w:sz w:val="28"/>
          <w:lang w:val="hr-HR"/>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2673</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Obveze za zajmove od gradskih proračuna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2673</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988.043,65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742.296,35</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75,1</w:t>
            </w:r>
          </w:p>
        </w:tc>
      </w:tr>
    </w:tbl>
    <w:p w:rsidR="00CD695B" w:rsidRPr="004C4164" w:rsidRDefault="00CD695B">
      <w:pPr>
        <w:spacing w:after="0"/>
        <w:rPr>
          <w:lang w:val="hr-HR"/>
        </w:rPr>
      </w:pPr>
    </w:p>
    <w:p w:rsidR="00CD695B" w:rsidRPr="004C4164" w:rsidRDefault="0098474D">
      <w:pPr>
        <w:jc w:val="both"/>
        <w:rPr>
          <w:lang w:val="hr-HR"/>
        </w:rPr>
      </w:pPr>
      <w:r w:rsidRPr="004C4164">
        <w:rPr>
          <w:b/>
          <w:lang w:val="hr-HR"/>
        </w:rPr>
        <w:t>Robni zajam od Agencije za društveno poticanu stanogradnju Grada Rijeke</w:t>
      </w:r>
    </w:p>
    <w:p w:rsidR="00CD695B" w:rsidRPr="004C4164" w:rsidRDefault="0098474D">
      <w:pPr>
        <w:jc w:val="both"/>
        <w:rPr>
          <w:lang w:val="hr-HR"/>
        </w:rPr>
      </w:pPr>
      <w:r w:rsidRPr="004C4164">
        <w:rPr>
          <w:lang w:val="hr-HR"/>
        </w:rPr>
        <w:t xml:space="preserve">U skladu s Ugovorom o kupoprodaji od 10. veljače 2009. godine, Grad Rijeka se zadužio putem robnog zajma kod Agencije za društveno poticanu stanogradnju Grada Rijeke u iznosu od 69.451.427,00 kn za kupnju dviju stambenih zgrada na </w:t>
      </w:r>
      <w:proofErr w:type="spellStart"/>
      <w:r w:rsidRPr="004C4164">
        <w:rPr>
          <w:lang w:val="hr-HR"/>
        </w:rPr>
        <w:t>Rujevici</w:t>
      </w:r>
      <w:proofErr w:type="spellEnd"/>
      <w:r w:rsidRPr="004C4164">
        <w:rPr>
          <w:lang w:val="hr-HR"/>
        </w:rPr>
        <w:t xml:space="preserve"> koje je po programu društveno poticane stanogradnje izgradila Agencija za društveno poticanu stanogradnju Grada Rijeke. Otplata zajma u tromjesečnim anuitetima traje do 2028. godine. </w:t>
      </w:r>
    </w:p>
    <w:p w:rsidR="00CD695B" w:rsidRPr="004C4164" w:rsidRDefault="0098474D">
      <w:pPr>
        <w:jc w:val="both"/>
        <w:rPr>
          <w:lang w:val="hr-HR"/>
        </w:rPr>
      </w:pPr>
      <w:r w:rsidRPr="004C4164">
        <w:rPr>
          <w:lang w:val="hr-HR"/>
        </w:rPr>
        <w:t>Tijekom 2025. godine otplaćeno je 245.747,30 eura te stanje obveze ovog zajma na dan 31. prosinca 2025. godine iznosi 742.296,35 eura.</w:t>
      </w:r>
    </w:p>
    <w:p w:rsidR="00CD695B" w:rsidRPr="004C4164" w:rsidRDefault="0098474D">
      <w:pPr>
        <w:jc w:val="both"/>
        <w:rPr>
          <w:lang w:val="hr-HR"/>
        </w:rPr>
      </w:pPr>
      <w:r w:rsidRPr="004C4164">
        <w:rPr>
          <w:lang w:val="hr-HR"/>
        </w:rPr>
        <w:t>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27</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 xml:space="preserve">Obveze za predujmove, depozite, </w:t>
            </w:r>
            <w:proofErr w:type="spellStart"/>
            <w:r w:rsidRPr="004C4164">
              <w:rPr>
                <w:sz w:val="18"/>
                <w:lang w:val="hr-HR"/>
              </w:rPr>
              <w:t>jamčevne</w:t>
            </w:r>
            <w:proofErr w:type="spellEnd"/>
            <w:r w:rsidRPr="004C4164">
              <w:rPr>
                <w:sz w:val="18"/>
                <w:lang w:val="hr-HR"/>
              </w:rPr>
              <w:t xml:space="preserve"> </w:t>
            </w:r>
            <w:proofErr w:type="spellStart"/>
            <w:r w:rsidRPr="004C4164">
              <w:rPr>
                <w:sz w:val="18"/>
                <w:lang w:val="hr-HR"/>
              </w:rPr>
              <w:t>pologe</w:t>
            </w:r>
            <w:proofErr w:type="spellEnd"/>
            <w:r w:rsidRPr="004C4164">
              <w:rPr>
                <w:sz w:val="18"/>
                <w:lang w:val="hr-HR"/>
              </w:rPr>
              <w:t xml:space="preserve"> i tuđe prihode</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8.905.454,75</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10.525.637,87</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118,2</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Na ovoj skupini računa bilježi se rast od 18,2%. U okviru ovih obveza evidentirane su obveze za predujmove u iznosu od 7.906,90 eura, zatim obveze za depozite i </w:t>
      </w:r>
      <w:proofErr w:type="spellStart"/>
      <w:r w:rsidRPr="004C4164">
        <w:rPr>
          <w:lang w:val="hr-HR"/>
        </w:rPr>
        <w:t>jamčevne</w:t>
      </w:r>
      <w:proofErr w:type="spellEnd"/>
      <w:r w:rsidRPr="004C4164">
        <w:rPr>
          <w:lang w:val="hr-HR"/>
        </w:rPr>
        <w:t xml:space="preserve"> </w:t>
      </w:r>
      <w:proofErr w:type="spellStart"/>
      <w:r w:rsidRPr="004C4164">
        <w:rPr>
          <w:lang w:val="hr-HR"/>
        </w:rPr>
        <w:t>pologe</w:t>
      </w:r>
      <w:proofErr w:type="spellEnd"/>
      <w:r w:rsidRPr="004C4164">
        <w:rPr>
          <w:lang w:val="hr-HR"/>
        </w:rPr>
        <w:t xml:space="preserve"> u iznosu od 2.642.532,13 eura, obveze za naplaćene tuđe prihode u iznosu od 3.652.318,67 eura, obveze proračuna za naplaćena sredstva proračunskog korisnika u iznosu od 4.102.645,07 eura i obveze za EU predujmove u visini od 120.235,10 eura. </w:t>
      </w:r>
    </w:p>
    <w:p w:rsidR="00CD695B" w:rsidRPr="004C4164" w:rsidRDefault="0098474D">
      <w:pPr>
        <w:jc w:val="both"/>
        <w:rPr>
          <w:lang w:val="hr-HR"/>
        </w:rPr>
      </w:pPr>
      <w:r w:rsidRPr="004C4164">
        <w:rPr>
          <w:lang w:val="hr-HR"/>
        </w:rPr>
        <w:t>Obveze proračuna za naplaćena sredstva proračunskog korisnika kontinuirano se zatvaraju (smanjuju) podmirenjem obveza proračunskih korisnika preko jedinstvenog računa riznice.</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29</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Odgođeno plaćanje rashoda i prihodi budućih razdoblja (pasivna vremenska razgraničenja) (šifre 291+292)</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29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64.391,94</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157.276,27</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244,2</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Odgođeno plaćanje rashoda i prihodi budućih razdoblja iznose 157.276,27 eura i odnose se na obračunatu naknadu za uporabu javnih cesta koja se plaća pri registraciji vozila prema obračunu Županijske uprave za ceste PGŽ 68.449,35 eura i obračunati rashodi koji nisu fakturirani, a terete tekuće razdoblje u iznosu od 88.826,92 eura.</w:t>
      </w:r>
    </w:p>
    <w:p w:rsidR="00CD695B" w:rsidRPr="004C4164" w:rsidRDefault="0098474D">
      <w:pPr>
        <w:rPr>
          <w:lang w:val="hr-HR"/>
        </w:rPr>
      </w:pPr>
      <w:r w:rsidRPr="004C4164">
        <w:rPr>
          <w:lang w:val="hr-HR"/>
        </w:rPr>
        <w:t> </w:t>
      </w:r>
    </w:p>
    <w:p w:rsidR="00CD695B" w:rsidRPr="004C4164" w:rsidRDefault="0098474D">
      <w:pPr>
        <w:keepNext/>
        <w:spacing w:line="240" w:lineRule="auto"/>
        <w:jc w:val="center"/>
        <w:rPr>
          <w:lang w:val="hr-HR"/>
        </w:rPr>
      </w:pPr>
      <w:r w:rsidRPr="004C4164">
        <w:rPr>
          <w:sz w:val="28"/>
          <w:lang w:val="hr-HR"/>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922</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Rezultat - višak/manjak (šifre 9221-9222)</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922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28.571.369,79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22.548.645,91</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78,9</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Preneseni višak prihoda i primitaka iz prethodnog razdoblja iznosio je 28.571.369,79 eura. U svojoj strukturi viškova i manjkova korigiran je u skladu s Odlukom o raspodjeli financijskog rezultata Grada Rijeke za 2024. godinu (“Službene novine Grada Rijeke“, broj 11/25.) i po osnovu  provedenih ispravaka prethodnih godina u iznosu od 46.734,87 eura (članak 193. Pravilnika o proračunskom računovodstvu i Računskom planu). Preneseni viškovi i manjkovi prihoda i primitaka korigirani su u Obrascu PR-RAS za navedene iznose te je ukupni preneseni višak prihoda i primitaka konačno iskazan u iznosu od 28.618.104,66 eura.</w:t>
      </w:r>
    </w:p>
    <w:p w:rsidR="00CD695B" w:rsidRPr="004C4164" w:rsidRDefault="0098474D">
      <w:pPr>
        <w:jc w:val="both"/>
        <w:rPr>
          <w:lang w:val="hr-HR"/>
        </w:rPr>
      </w:pPr>
      <w:r w:rsidRPr="004C4164">
        <w:rPr>
          <w:lang w:val="hr-HR"/>
        </w:rPr>
        <w:t>Grad je već u Proračunu za 2025. godinu planirao veće rashode od prihoda u iznosu od 19.777.630 eura koji će se pokriti iz izvora Višak prihoda iz prethodnih godina. Odlukom o raspodjeli financijskog rezultata za 2024. godinu raspoređeno je dodatnih 3.189.907,89 eura iz viška prenesenog prihoda za utvrđene namjene. Konačno, Izmjenama i dopunama Proračuna za 2025.  godinu, iznos rashoda koji se planira pokriti iz izvora Višak prethodnih godina utvrđen je u iznosu od 16.764.518 eura. </w:t>
      </w:r>
    </w:p>
    <w:p w:rsidR="00CD695B" w:rsidRPr="004C4164" w:rsidRDefault="0098474D">
      <w:pPr>
        <w:jc w:val="both"/>
        <w:rPr>
          <w:lang w:val="hr-HR"/>
        </w:rPr>
      </w:pPr>
      <w:r w:rsidRPr="004C4164">
        <w:rPr>
          <w:lang w:val="hr-HR"/>
        </w:rPr>
        <w:t>  U izvještajnom razdoblju ostvaren je tekući manjak prihoda i primitaka u iznosu od - 6.069.458,75 eura.</w:t>
      </w:r>
    </w:p>
    <w:p w:rsidR="00CD695B" w:rsidRPr="004C4164" w:rsidRDefault="0098474D">
      <w:pPr>
        <w:jc w:val="both"/>
        <w:rPr>
          <w:lang w:val="hr-HR"/>
        </w:rPr>
      </w:pPr>
      <w:r w:rsidRPr="004C4164">
        <w:rPr>
          <w:lang w:val="hr-HR"/>
        </w:rPr>
        <w:t>Utvrđeni viškovi i manjkovi (ukupno preneseni i tekući) naknadno se prebijaju po istovrsnim kategorijama aktivnosti i korigiraju u skladu sa člankom 215. Pravilnika o proračunskom računovodstvu i računskom planu. </w:t>
      </w:r>
    </w:p>
    <w:p w:rsidR="00CD695B" w:rsidRPr="004C4164" w:rsidRDefault="0098474D">
      <w:pPr>
        <w:jc w:val="both"/>
        <w:rPr>
          <w:lang w:val="hr-HR"/>
        </w:rPr>
      </w:pPr>
      <w:r w:rsidRPr="004C4164">
        <w:rPr>
          <w:lang w:val="hr-HR"/>
        </w:rPr>
        <w:t>Na kraju izvještajne 2025. godine utvrđen je višak prihoda i primitaka raspoloživ u sljedećem razdoblju u ukupnom iznosu od 22.548.645,91 eura koji se sastoji od:</w:t>
      </w:r>
    </w:p>
    <w:p w:rsidR="00CD695B" w:rsidRPr="004C4164" w:rsidRDefault="0098474D">
      <w:pPr>
        <w:rPr>
          <w:lang w:val="hr-HR"/>
        </w:rPr>
      </w:pPr>
      <w:r w:rsidRPr="004C4164">
        <w:rPr>
          <w:lang w:val="hr-HR"/>
        </w:rPr>
        <w:t>·        viška prihoda poslovanja                                                                      </w:t>
      </w:r>
      <w:r w:rsidR="00AD5E82">
        <w:rPr>
          <w:lang w:val="hr-HR"/>
        </w:rPr>
        <w:t xml:space="preserve"> </w:t>
      </w:r>
      <w:r w:rsidRPr="004C4164">
        <w:rPr>
          <w:lang w:val="hr-HR"/>
        </w:rPr>
        <w:t>31.628.710,12 eura </w:t>
      </w:r>
    </w:p>
    <w:p w:rsidR="00CD695B" w:rsidRPr="004C4164" w:rsidRDefault="0098474D">
      <w:pPr>
        <w:rPr>
          <w:lang w:val="hr-HR"/>
        </w:rPr>
      </w:pPr>
      <w:r w:rsidRPr="004C4164">
        <w:rPr>
          <w:lang w:val="hr-HR"/>
        </w:rPr>
        <w:t>·        manjka prihoda od nefinancijske imovine                                            - 5.407.845,51 eura </w:t>
      </w:r>
    </w:p>
    <w:p w:rsidR="00CD695B" w:rsidRPr="004C4164" w:rsidRDefault="0098474D">
      <w:pPr>
        <w:rPr>
          <w:lang w:val="hr-HR"/>
        </w:rPr>
      </w:pPr>
      <w:r w:rsidRPr="004C4164">
        <w:rPr>
          <w:lang w:val="hr-HR"/>
        </w:rPr>
        <w:t>·        manjka primitaka od financijske imovine                                             - 3.672.218,70 eura</w:t>
      </w:r>
    </w:p>
    <w:p w:rsidR="00CD695B" w:rsidRPr="004C4164" w:rsidRDefault="0098474D">
      <w:pPr>
        <w:jc w:val="both"/>
        <w:rPr>
          <w:lang w:val="hr-HR"/>
        </w:rPr>
      </w:pPr>
      <w:r w:rsidRPr="004C4164">
        <w:rPr>
          <w:lang w:val="hr-HR"/>
        </w:rPr>
        <w:t>Dio navedenog iznosa Viška prihoda u iznosu od 13.381.990 eura planiran je za korištenje u Proračunu Grada Rijeke za 2026. godinu.</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1. siječnja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Stanje 31. prosinca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991</w:t>
            </w:r>
          </w:p>
        </w:tc>
        <w:tc>
          <w:tcPr>
            <w:tcW w:w="3180" w:type="dxa"/>
            <w:tcMar>
              <w:top w:w="0" w:type="dxa"/>
              <w:bottom w:w="0" w:type="dxa"/>
            </w:tcMar>
            <w:vAlign w:val="center"/>
          </w:tcPr>
          <w:p w:rsidR="00CD695B" w:rsidRPr="004C4164" w:rsidRDefault="0098474D">
            <w:pPr>
              <w:keepNext/>
              <w:keepLines/>
              <w:spacing w:after="0" w:line="240" w:lineRule="auto"/>
              <w:rPr>
                <w:lang w:val="hr-HR"/>
              </w:rPr>
            </w:pPr>
            <w:proofErr w:type="spellStart"/>
            <w:r w:rsidRPr="004C4164">
              <w:rPr>
                <w:sz w:val="18"/>
                <w:lang w:val="hr-HR"/>
              </w:rPr>
              <w:t>Izvanbilančni</w:t>
            </w:r>
            <w:proofErr w:type="spellEnd"/>
            <w:r w:rsidRPr="004C4164">
              <w:rPr>
                <w:sz w:val="18"/>
                <w:lang w:val="hr-HR"/>
              </w:rPr>
              <w:t xml:space="preserve"> zapisi - aktiva (šifra 996)</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991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251.092.652,20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292.606.164,08</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116,5</w:t>
            </w:r>
          </w:p>
        </w:tc>
      </w:tr>
    </w:tbl>
    <w:p w:rsidR="00CD695B" w:rsidRPr="004C4164" w:rsidRDefault="00CD695B">
      <w:pPr>
        <w:spacing w:after="0"/>
        <w:rPr>
          <w:lang w:val="hr-HR"/>
        </w:rPr>
      </w:pPr>
    </w:p>
    <w:p w:rsidR="00CD695B" w:rsidRPr="004C4164" w:rsidRDefault="0098474D">
      <w:pPr>
        <w:jc w:val="both"/>
        <w:rPr>
          <w:lang w:val="hr-HR"/>
        </w:rPr>
      </w:pPr>
      <w:proofErr w:type="spellStart"/>
      <w:r w:rsidRPr="004C4164">
        <w:rPr>
          <w:lang w:val="hr-HR"/>
        </w:rPr>
        <w:t>Izvanbilančni</w:t>
      </w:r>
      <w:proofErr w:type="spellEnd"/>
      <w:r w:rsidRPr="004C4164">
        <w:rPr>
          <w:lang w:val="hr-HR"/>
        </w:rPr>
        <w:t xml:space="preserve"> zapisi (991-996) sadrže vrijednosti poslovnih događaja koji u trenutku nastanka nemaju izravan utjecaj niti na jednu poziciju temeljnih financijskih izvještaja. Sadrže stavke koje nisu uključene u bilančne kategorije: dana jamstva, tuđu imovinu dobivenu na korištenje, instrumente osiguranja plaćanja, potencijalne obveze i potraživanja temeljem sudskih sporova u tijeku i ostalih ugovornih odnosa. </w:t>
      </w:r>
    </w:p>
    <w:p w:rsidR="00D1303E" w:rsidRDefault="00D1303E">
      <w:pPr>
        <w:jc w:val="both"/>
        <w:rPr>
          <w:b/>
          <w:lang w:val="hr-HR"/>
        </w:rPr>
      </w:pPr>
    </w:p>
    <w:p w:rsidR="00D1303E" w:rsidRDefault="00D1303E">
      <w:pPr>
        <w:jc w:val="both"/>
        <w:rPr>
          <w:b/>
          <w:lang w:val="hr-HR"/>
        </w:rPr>
      </w:pPr>
    </w:p>
    <w:p w:rsidR="00D1303E" w:rsidRDefault="00D1303E">
      <w:pPr>
        <w:jc w:val="both"/>
        <w:rPr>
          <w:b/>
          <w:lang w:val="hr-HR"/>
        </w:rPr>
      </w:pPr>
    </w:p>
    <w:p w:rsidR="00D1303E" w:rsidRDefault="00D1303E">
      <w:pPr>
        <w:jc w:val="both"/>
        <w:rPr>
          <w:b/>
          <w:lang w:val="hr-HR"/>
        </w:rPr>
      </w:pPr>
    </w:p>
    <w:p w:rsidR="00D1303E" w:rsidRDefault="00D1303E">
      <w:pPr>
        <w:jc w:val="both"/>
        <w:rPr>
          <w:b/>
          <w:lang w:val="hr-HR"/>
        </w:rPr>
      </w:pPr>
    </w:p>
    <w:p w:rsidR="00CD695B" w:rsidRDefault="0098474D" w:rsidP="00D1303E">
      <w:pPr>
        <w:jc w:val="center"/>
        <w:rPr>
          <w:b/>
          <w:lang w:val="hr-HR"/>
        </w:rPr>
      </w:pPr>
      <w:r w:rsidRPr="004C4164">
        <w:rPr>
          <w:b/>
          <w:lang w:val="hr-HR"/>
        </w:rPr>
        <w:t>Pregled ostalih ugovornih odnosa</w:t>
      </w:r>
    </w:p>
    <w:p w:rsidR="00D1303E" w:rsidRPr="004C4164" w:rsidRDefault="00D1303E" w:rsidP="00D1303E">
      <w:pPr>
        <w:jc w:val="center"/>
        <w:rPr>
          <w:lang w:val="hr-HR"/>
        </w:rPr>
      </w:pPr>
    </w:p>
    <w:p w:rsidR="00D1303E" w:rsidRPr="00472483" w:rsidRDefault="0098474D" w:rsidP="00472483">
      <w:pPr>
        <w:jc w:val="center"/>
        <w:rPr>
          <w:lang w:val="hr-HR"/>
        </w:rPr>
      </w:pPr>
      <w:r w:rsidRPr="004C4164">
        <w:rPr>
          <w:b/>
          <w:lang w:val="hr-HR"/>
        </w:rPr>
        <w:t>Pregled danih jamstava</w:t>
      </w:r>
    </w:p>
    <w:p w:rsidR="00CD695B" w:rsidRPr="004C4164" w:rsidRDefault="0098474D">
      <w:pPr>
        <w:jc w:val="both"/>
        <w:rPr>
          <w:lang w:val="hr-HR"/>
        </w:rPr>
      </w:pPr>
      <w:r w:rsidRPr="004C4164">
        <w:rPr>
          <w:b/>
          <w:i/>
          <w:lang w:val="hr-HR"/>
        </w:rPr>
        <w:t xml:space="preserve">Jamstvo dano Republici Hrvatskoj Ministarstvu financija za kreditno zaduženje </w:t>
      </w:r>
      <w:proofErr w:type="spellStart"/>
      <w:r w:rsidRPr="004C4164">
        <w:rPr>
          <w:b/>
          <w:i/>
          <w:lang w:val="hr-HR"/>
        </w:rPr>
        <w:t>Ekoplus</w:t>
      </w:r>
      <w:proofErr w:type="spellEnd"/>
      <w:r w:rsidRPr="004C4164">
        <w:rPr>
          <w:b/>
          <w:i/>
          <w:lang w:val="hr-HR"/>
        </w:rPr>
        <w:t xml:space="preserve"> d.o.o.</w:t>
      </w:r>
    </w:p>
    <w:p w:rsidR="00CD695B" w:rsidRPr="004C4164" w:rsidRDefault="0098474D">
      <w:pPr>
        <w:jc w:val="both"/>
        <w:rPr>
          <w:lang w:val="hr-HR"/>
        </w:rPr>
      </w:pPr>
      <w:r w:rsidRPr="004C4164">
        <w:rPr>
          <w:lang w:val="hr-HR"/>
        </w:rPr>
        <w:t xml:space="preserve">Gradsko vijeće Grada Rijeke je na sjednici održanoj 21. prosinca 2011. godine donijelo Odluku o davanju jamstva za dugoročno zaduženje </w:t>
      </w:r>
      <w:proofErr w:type="spellStart"/>
      <w:r w:rsidRPr="004C4164">
        <w:rPr>
          <w:lang w:val="hr-HR"/>
        </w:rPr>
        <w:t>Ekoplus</w:t>
      </w:r>
      <w:proofErr w:type="spellEnd"/>
      <w:r w:rsidRPr="004C4164">
        <w:rPr>
          <w:lang w:val="hr-HR"/>
        </w:rPr>
        <w:t xml:space="preserve"> d.o.o. za sufinanciranje Projekta IPA ŽCGO </w:t>
      </w:r>
      <w:proofErr w:type="spellStart"/>
      <w:r w:rsidRPr="004C4164">
        <w:rPr>
          <w:lang w:val="hr-HR"/>
        </w:rPr>
        <w:t>Marišćina</w:t>
      </w:r>
      <w:proofErr w:type="spellEnd"/>
      <w:r w:rsidRPr="004C4164">
        <w:rPr>
          <w:lang w:val="hr-HR"/>
        </w:rPr>
        <w:t>.</w:t>
      </w:r>
    </w:p>
    <w:p w:rsidR="00CD695B" w:rsidRPr="004C4164" w:rsidRDefault="0098474D">
      <w:pPr>
        <w:jc w:val="both"/>
        <w:rPr>
          <w:lang w:val="hr-HR"/>
        </w:rPr>
      </w:pPr>
      <w:r w:rsidRPr="004C4164">
        <w:rPr>
          <w:lang w:val="hr-HR"/>
        </w:rPr>
        <w:t xml:space="preserve">Navedenom Odlukom Grad Rijeka, kao solidarni dužnik s Primorsko-goranskom županijom, dao je jamstvo Republici Hrvatskoj Ministarstvu financija za osiguranje povrata dugoročnog zajma kojeg je </w:t>
      </w:r>
      <w:proofErr w:type="spellStart"/>
      <w:r w:rsidRPr="004C4164">
        <w:rPr>
          <w:lang w:val="hr-HR"/>
        </w:rPr>
        <w:t>Ekoplus</w:t>
      </w:r>
      <w:proofErr w:type="spellEnd"/>
      <w:r w:rsidRPr="004C4164">
        <w:rPr>
          <w:lang w:val="hr-HR"/>
        </w:rPr>
        <w:t xml:space="preserve"> d.o.o. primio od Republike Hrvatske Ministarstva financija za sufinanciranje gradnje Županijskog centra za gospodarenje otpadom </w:t>
      </w:r>
      <w:proofErr w:type="spellStart"/>
      <w:r w:rsidRPr="004C4164">
        <w:rPr>
          <w:lang w:val="hr-HR"/>
        </w:rPr>
        <w:t>Marišćina</w:t>
      </w:r>
      <w:proofErr w:type="spellEnd"/>
      <w:r w:rsidRPr="004C4164">
        <w:rPr>
          <w:lang w:val="hr-HR"/>
        </w:rPr>
        <w:t xml:space="preserve"> (Program IPA, komponenta III, Operativni program Zaštita okoliša).</w:t>
      </w:r>
    </w:p>
    <w:p w:rsidR="00CD695B" w:rsidRPr="004C4164" w:rsidRDefault="0098474D">
      <w:pPr>
        <w:jc w:val="both"/>
        <w:rPr>
          <w:lang w:val="hr-HR"/>
        </w:rPr>
      </w:pPr>
      <w:r w:rsidRPr="004C4164">
        <w:rPr>
          <w:lang w:val="hr-HR"/>
        </w:rPr>
        <w:t xml:space="preserve">Ugovor o zajmu između Republike Hrvatske Ministarstva financija i </w:t>
      </w:r>
      <w:proofErr w:type="spellStart"/>
      <w:r w:rsidRPr="004C4164">
        <w:rPr>
          <w:lang w:val="hr-HR"/>
        </w:rPr>
        <w:t>Ekoplus</w:t>
      </w:r>
      <w:proofErr w:type="spellEnd"/>
      <w:r w:rsidRPr="004C4164">
        <w:rPr>
          <w:lang w:val="hr-HR"/>
        </w:rPr>
        <w:t xml:space="preserve"> d.o.o., uz suglasnost Primorsko-goranske županije i Grada Rijeke kao solidarnih dužnika, sklopljen je 17. siječnja 2012. godine na iznos od 7.201.344 eura.</w:t>
      </w:r>
    </w:p>
    <w:p w:rsidR="00CD695B" w:rsidRPr="004C4164" w:rsidRDefault="0098474D">
      <w:pPr>
        <w:jc w:val="both"/>
        <w:rPr>
          <w:lang w:val="hr-HR"/>
        </w:rPr>
      </w:pPr>
      <w:r w:rsidRPr="004C4164">
        <w:rPr>
          <w:lang w:val="hr-HR"/>
        </w:rPr>
        <w:t xml:space="preserve">Dodatkom Ugovoru o zajmu Republike Hrvatske Ministarstva financija i </w:t>
      </w:r>
      <w:proofErr w:type="spellStart"/>
      <w:r w:rsidRPr="004C4164">
        <w:rPr>
          <w:lang w:val="hr-HR"/>
        </w:rPr>
        <w:t>Ekoplus</w:t>
      </w:r>
      <w:proofErr w:type="spellEnd"/>
      <w:r w:rsidRPr="004C4164">
        <w:rPr>
          <w:lang w:val="hr-HR"/>
        </w:rPr>
        <w:t xml:space="preserve"> d.o.o., uz suglasnost Primorsko-goranske županije i Grada Rijeke kao solidarnih dužnika, koji je sklopljen 20. prosinca 2013. godine, smanjen je iznos sufinanciranja </w:t>
      </w:r>
      <w:proofErr w:type="spellStart"/>
      <w:r w:rsidRPr="004C4164">
        <w:rPr>
          <w:lang w:val="hr-HR"/>
        </w:rPr>
        <w:t>Ekoplus</w:t>
      </w:r>
      <w:proofErr w:type="spellEnd"/>
      <w:r w:rsidRPr="004C4164">
        <w:rPr>
          <w:lang w:val="hr-HR"/>
        </w:rPr>
        <w:t xml:space="preserve"> d.o.o. u projektu na iznos od 4.566.903,58 eura, odnosno smanjen je iznos jamstva Grada.</w:t>
      </w:r>
    </w:p>
    <w:p w:rsidR="00CD695B" w:rsidRPr="004C4164" w:rsidRDefault="0098474D">
      <w:pPr>
        <w:jc w:val="both"/>
        <w:rPr>
          <w:lang w:val="hr-HR"/>
        </w:rPr>
      </w:pPr>
      <w:r w:rsidRPr="004C4164">
        <w:rPr>
          <w:lang w:val="hr-HR"/>
        </w:rPr>
        <w:t xml:space="preserve">Prema uvjetima iz ugovora, </w:t>
      </w:r>
      <w:proofErr w:type="spellStart"/>
      <w:r w:rsidRPr="004C4164">
        <w:rPr>
          <w:lang w:val="hr-HR"/>
        </w:rPr>
        <w:t>Ekoplus</w:t>
      </w:r>
      <w:proofErr w:type="spellEnd"/>
      <w:r w:rsidRPr="004C4164">
        <w:rPr>
          <w:lang w:val="hr-HR"/>
        </w:rPr>
        <w:t xml:space="preserve"> d.o.o. će sredstva zajma otplaćivati sukcesivno u roku od 25 godina uključujući i poček od 5 godina u 80 jednakih tromjesečnih rata. Dospijeće prve rate je 5 godina od prvog korištenja zajma, odnosno otplata zajma je započela u 2017. godini.</w:t>
      </w:r>
    </w:p>
    <w:p w:rsidR="00CD695B" w:rsidRPr="004C4164" w:rsidRDefault="0098474D">
      <w:pPr>
        <w:jc w:val="both"/>
        <w:rPr>
          <w:lang w:val="hr-HR"/>
        </w:rPr>
      </w:pPr>
      <w:r w:rsidRPr="004C4164">
        <w:rPr>
          <w:lang w:val="hr-HR"/>
        </w:rPr>
        <w:t>Kamatna stopa za cijelo vrijeme trajanja zajma je fiksna i iznosi 3,987%. Kamata se obračunava od prvog korištenja zajma, a naplaćuje se nakon isteka počeka u 80 jednakih tromjesečnih rata.</w:t>
      </w:r>
    </w:p>
    <w:p w:rsidR="00CD695B" w:rsidRPr="004C4164" w:rsidRDefault="0098474D">
      <w:pPr>
        <w:jc w:val="both"/>
        <w:rPr>
          <w:lang w:val="hr-HR"/>
        </w:rPr>
      </w:pPr>
      <w:r w:rsidRPr="004C4164">
        <w:rPr>
          <w:lang w:val="hr-HR"/>
        </w:rPr>
        <w:t>Stanje kredita na dan 31. prosinca 2025. godine po osnovi glavnice i kamate iznosi 3.434.200,31 eura.</w:t>
      </w:r>
    </w:p>
    <w:p w:rsidR="00CD695B" w:rsidRPr="004C4164" w:rsidRDefault="0098474D">
      <w:pPr>
        <w:jc w:val="both"/>
        <w:rPr>
          <w:lang w:val="hr-HR"/>
        </w:rPr>
      </w:pPr>
      <w:r w:rsidRPr="004C4164">
        <w:rPr>
          <w:b/>
          <w:i/>
          <w:lang w:val="hr-HR"/>
        </w:rPr>
        <w:t>Jamstvo dano za kreditno zaduženje Energo d.o.o. Rijeka</w:t>
      </w:r>
    </w:p>
    <w:p w:rsidR="00CD695B" w:rsidRPr="004C4164" w:rsidRDefault="0098474D">
      <w:pPr>
        <w:jc w:val="both"/>
        <w:rPr>
          <w:lang w:val="hr-HR"/>
        </w:rPr>
      </w:pPr>
      <w:r w:rsidRPr="004C4164">
        <w:rPr>
          <w:lang w:val="hr-HR"/>
        </w:rPr>
        <w:t xml:space="preserve">Gradsko vijeće Grada Rijeke donijelo je na sjednici 27. veljače 2014. godine Odluku o davanju suglasnosti trgovačkom društvu Energo d.o.o. za zaduženje kod Europske banke za obnovu i razvoj radi izgradnje </w:t>
      </w:r>
      <w:proofErr w:type="spellStart"/>
      <w:r w:rsidRPr="004C4164">
        <w:rPr>
          <w:lang w:val="hr-HR"/>
        </w:rPr>
        <w:t>kogeneracijske</w:t>
      </w:r>
      <w:proofErr w:type="spellEnd"/>
      <w:r w:rsidRPr="004C4164">
        <w:rPr>
          <w:lang w:val="hr-HR"/>
        </w:rPr>
        <w:t xml:space="preserve"> energane na području Sveučilišnog </w:t>
      </w:r>
      <w:proofErr w:type="spellStart"/>
      <w:r w:rsidRPr="004C4164">
        <w:rPr>
          <w:lang w:val="hr-HR"/>
        </w:rPr>
        <w:t>kampusa</w:t>
      </w:r>
      <w:proofErr w:type="spellEnd"/>
      <w:r w:rsidRPr="004C4164">
        <w:rPr>
          <w:lang w:val="hr-HR"/>
        </w:rPr>
        <w:t xml:space="preserve"> na Trsatu i o davanju jamstva za ispunjenje preuzetih obveza.</w:t>
      </w:r>
    </w:p>
    <w:p w:rsidR="00CD695B" w:rsidRPr="004C4164" w:rsidRDefault="0098474D">
      <w:pPr>
        <w:jc w:val="both"/>
        <w:rPr>
          <w:lang w:val="hr-HR"/>
        </w:rPr>
      </w:pPr>
      <w:r w:rsidRPr="004C4164">
        <w:rPr>
          <w:lang w:val="hr-HR"/>
        </w:rPr>
        <w:t>Navedenom Odlukom Grad Rijeka je dao suglasnost trgovačkom društvu Energo d.o.o. za zaduženje putem dugoročnog financijskog kredita kod Europske banke za obnovu i razvoj u iznosu do 6.150.000,00 eura te jamstvo za ispunjenje preuzetih obveza trgovačkog društva Energo d.o.o. temeljem dugoročnog kredita u iznosu do 6.150.000,00 eura. Na predmetnu Odluku Gradskog vijeća, Grad Rijeka je dobio suglasnost ministra financija 7. ožujka 2014. godine.</w:t>
      </w:r>
    </w:p>
    <w:p w:rsidR="00CD695B" w:rsidRPr="004C4164" w:rsidRDefault="0098474D">
      <w:pPr>
        <w:jc w:val="both"/>
        <w:rPr>
          <w:lang w:val="hr-HR"/>
        </w:rPr>
      </w:pPr>
      <w:r w:rsidRPr="004C4164">
        <w:rPr>
          <w:lang w:val="hr-HR"/>
        </w:rPr>
        <w:t>Temeljem navedene Odluke Gradskog vijeća i suglasnosti ministra financija, dana 10. ožujka 2014. godine, trgovačko društvo Energo d.o.o. sklopilo je ugovor o kreditu s Europskom bankom za obnovu i razvoj, dok je ugovor o jamstvu sklopljen između Grada Rijeke i Europske banke za obnovu i razvoj.</w:t>
      </w:r>
    </w:p>
    <w:p w:rsidR="00CD695B" w:rsidRPr="004C4164" w:rsidRDefault="0098474D">
      <w:pPr>
        <w:jc w:val="both"/>
        <w:rPr>
          <w:lang w:val="hr-HR"/>
        </w:rPr>
      </w:pPr>
      <w:r w:rsidRPr="004C4164">
        <w:rPr>
          <w:lang w:val="hr-HR"/>
        </w:rPr>
        <w:t>Prema uvjetima iz ugovora, Energo d.o.o. će sredstva zajma, po isteku počeka od 3 godine otplaćivati u roku od 9 godina u 18 jednakih polugodišnjih obroka, odnosno otplata je započela u 2017. godini. </w:t>
      </w:r>
    </w:p>
    <w:p w:rsidR="00CD695B" w:rsidRPr="004C4164" w:rsidRDefault="0098474D">
      <w:pPr>
        <w:jc w:val="both"/>
        <w:rPr>
          <w:lang w:val="hr-HR"/>
        </w:rPr>
      </w:pPr>
      <w:r w:rsidRPr="004C4164">
        <w:rPr>
          <w:lang w:val="hr-HR"/>
        </w:rPr>
        <w:t>Kamatna stopa je promjenjiva, vezana za šestomjesečni EURIBOR + marža (2,85% ili 3,00% ili 3,10% godišnje).</w:t>
      </w:r>
    </w:p>
    <w:p w:rsidR="00CD695B" w:rsidRPr="004C4164" w:rsidRDefault="0098474D">
      <w:pPr>
        <w:jc w:val="both"/>
        <w:rPr>
          <w:lang w:val="hr-HR"/>
        </w:rPr>
      </w:pPr>
      <w:r w:rsidRPr="004C4164">
        <w:rPr>
          <w:lang w:val="hr-HR"/>
        </w:rPr>
        <w:t>TD Energo d.o.o. do 2021. godine je povukao znatno manji iznos kredita od ugovorenog iznosa kredita od 6.150.000,00 eura i povučeni dio kredita u iznosu 2.275.892,97 eura je već u otplati. Sukladno odredbama Ugovora o jamstvu između Grada Rijeke i EBRD, Europska banka za obnovu i razvoj je stoga dostavila Gradu Rijeci službeni dopis u kojem navodi trenutno stanje glavnice navedenog kredita društva Energo d.o.o. te potvrđuje nemogućnost daljnje isplate sredstava po Ugovoru o kreditu s Energo d.o.o. na temelju kojeg se smanjuju potencijalne obveze Grada Rijeke po Ugovoru o jamstvu izdanog za kreditno zaduženje društva Energo d.o.o..</w:t>
      </w:r>
    </w:p>
    <w:p w:rsidR="00CD695B" w:rsidRPr="004C4164" w:rsidRDefault="0098474D">
      <w:pPr>
        <w:jc w:val="both"/>
        <w:rPr>
          <w:lang w:val="hr-HR"/>
        </w:rPr>
      </w:pPr>
      <w:r w:rsidRPr="004C4164">
        <w:rPr>
          <w:lang w:val="hr-HR"/>
        </w:rPr>
        <w:t>Stanje kredita na dan 31. prosinca 2025. godine po osnovi glavnice i kamate iznosi 144.462,74 eura.</w:t>
      </w:r>
    </w:p>
    <w:p w:rsidR="00CD695B" w:rsidRPr="004C4164" w:rsidRDefault="0098474D">
      <w:pPr>
        <w:jc w:val="both"/>
        <w:rPr>
          <w:lang w:val="hr-HR"/>
        </w:rPr>
      </w:pPr>
      <w:r w:rsidRPr="004C4164">
        <w:rPr>
          <w:b/>
          <w:i/>
          <w:lang w:val="hr-HR"/>
        </w:rPr>
        <w:t xml:space="preserve">Jamstvo dano za kreditno zaduženje Energo d.o.o. Rijeka u visini od 3,2 </w:t>
      </w:r>
      <w:proofErr w:type="spellStart"/>
      <w:r w:rsidRPr="004C4164">
        <w:rPr>
          <w:b/>
          <w:i/>
          <w:lang w:val="hr-HR"/>
        </w:rPr>
        <w:t>mil</w:t>
      </w:r>
      <w:proofErr w:type="spellEnd"/>
      <w:r w:rsidRPr="004C4164">
        <w:rPr>
          <w:b/>
          <w:i/>
          <w:lang w:val="hr-HR"/>
        </w:rPr>
        <w:t>. eura</w:t>
      </w:r>
    </w:p>
    <w:p w:rsidR="00CD695B" w:rsidRPr="004C4164" w:rsidRDefault="0098474D">
      <w:pPr>
        <w:jc w:val="both"/>
        <w:rPr>
          <w:lang w:val="hr-HR"/>
        </w:rPr>
      </w:pPr>
      <w:r w:rsidRPr="004C4164">
        <w:rPr>
          <w:lang w:val="hr-HR"/>
        </w:rPr>
        <w:t xml:space="preserve">Gradsko vijeće Grada Rijeke donijelo je na sjednici 31. ožujka 2022. godine Odluku o davanju suglasnosti za zaduženje i davanju jamstva za ispunjavanje obveza trgovačkog društva Energo d.o.o. kod </w:t>
      </w:r>
      <w:proofErr w:type="spellStart"/>
      <w:r w:rsidRPr="004C4164">
        <w:rPr>
          <w:lang w:val="hr-HR"/>
        </w:rPr>
        <w:t>Erste&amp;Steiermarkische</w:t>
      </w:r>
      <w:proofErr w:type="spellEnd"/>
      <w:r w:rsidRPr="004C4164">
        <w:rPr>
          <w:lang w:val="hr-HR"/>
        </w:rPr>
        <w:t xml:space="preserve"> Bank d.d. u iznosu 30.000.000,00 kuna, radi sufinanciranja vlastite komponente u realizaciji EU projekta Obnova </w:t>
      </w:r>
      <w:proofErr w:type="spellStart"/>
      <w:r w:rsidRPr="004C4164">
        <w:rPr>
          <w:lang w:val="hr-HR"/>
        </w:rPr>
        <w:t>toplinarstva</w:t>
      </w:r>
      <w:proofErr w:type="spellEnd"/>
      <w:r w:rsidRPr="004C4164">
        <w:rPr>
          <w:lang w:val="hr-HR"/>
        </w:rPr>
        <w:t xml:space="preserve"> Grada Rijeke. Temeljem Odluke dano je jamstvo za ispunjenje preuzetih obveza društva Energo d.o.o. u visini 80% ukupnog kredita, odnosno u iznosu od 24.000.000,00 kuna, uvećano za pripadajuće kamate i ostale troškove. Budući da je jamstvo dano do visine 80% kredita ne predstavlja nedozvoljenu državnu potporu.</w:t>
      </w:r>
    </w:p>
    <w:p w:rsidR="00CD695B" w:rsidRPr="004C4164" w:rsidRDefault="0098474D">
      <w:pPr>
        <w:jc w:val="both"/>
        <w:rPr>
          <w:lang w:val="hr-HR"/>
        </w:rPr>
      </w:pPr>
      <w:r w:rsidRPr="004C4164">
        <w:rPr>
          <w:lang w:val="hr-HR"/>
        </w:rPr>
        <w:t xml:space="preserve">Na predmetnu Odluku Gradskog vijeća, Grad Rijeka je dobio suglasnost ministra financija 5. srpnja 2022. godine. Na temelju dobivene suglasnosti za davanje jamstva na 24.000.000,00 kuna, kojim jamči </w:t>
      </w:r>
      <w:proofErr w:type="spellStart"/>
      <w:r w:rsidRPr="004C4164">
        <w:rPr>
          <w:lang w:val="hr-HR"/>
        </w:rPr>
        <w:t>Erste&amp;Steiermarkische</w:t>
      </w:r>
      <w:proofErr w:type="spellEnd"/>
      <w:r w:rsidRPr="004C4164">
        <w:rPr>
          <w:lang w:val="hr-HR"/>
        </w:rPr>
        <w:t xml:space="preserve"> Bank d.d. Rijeka za plaćanje svih obveza glavnog dužnika Energo d.o.o., dok je Ugovor o kreditu sklopljen između Energo d.o.o. i </w:t>
      </w:r>
      <w:proofErr w:type="spellStart"/>
      <w:r w:rsidRPr="004C4164">
        <w:rPr>
          <w:lang w:val="hr-HR"/>
        </w:rPr>
        <w:t>Erste&amp;Steiermarkische</w:t>
      </w:r>
      <w:proofErr w:type="spellEnd"/>
      <w:r w:rsidRPr="004C4164">
        <w:rPr>
          <w:lang w:val="hr-HR"/>
        </w:rPr>
        <w:t xml:space="preserve"> Bank d.d. Prema uvjetima iz ugovora Energo d.o.o. će sredstva kredita po isteku roka korištenja otplaćivati u roku od 15 godina u jednakim tromjesečnim ratama. Kamatna stopa je fiksna i iznosi 2,3% godišnje. </w:t>
      </w:r>
    </w:p>
    <w:p w:rsidR="00CD695B" w:rsidRPr="004C4164" w:rsidRDefault="0098474D">
      <w:pPr>
        <w:jc w:val="both"/>
        <w:rPr>
          <w:lang w:val="hr-HR"/>
        </w:rPr>
      </w:pPr>
      <w:r w:rsidRPr="004C4164">
        <w:rPr>
          <w:lang w:val="hr-HR"/>
        </w:rPr>
        <w:t>Stanje kredita na dan 31. prosinca 2025. godine po osnovi glavnice i kamate iznosi 3.187.259,12 eura.  </w:t>
      </w:r>
    </w:p>
    <w:p w:rsidR="00CD695B" w:rsidRPr="004C4164" w:rsidRDefault="0098474D">
      <w:pPr>
        <w:jc w:val="both"/>
        <w:rPr>
          <w:lang w:val="hr-HR"/>
        </w:rPr>
      </w:pPr>
      <w:r w:rsidRPr="004C4164">
        <w:rPr>
          <w:b/>
          <w:i/>
          <w:lang w:val="hr-HR"/>
        </w:rPr>
        <w:t xml:space="preserve">Jamstvo dano za kreditno zaduženje Energo d.o.o. Rijeka u visini 9,3 </w:t>
      </w:r>
      <w:proofErr w:type="spellStart"/>
      <w:r w:rsidRPr="004C4164">
        <w:rPr>
          <w:b/>
          <w:i/>
          <w:lang w:val="hr-HR"/>
        </w:rPr>
        <w:t>mil</w:t>
      </w:r>
      <w:proofErr w:type="spellEnd"/>
      <w:r w:rsidRPr="004C4164">
        <w:rPr>
          <w:b/>
          <w:i/>
          <w:lang w:val="hr-HR"/>
        </w:rPr>
        <w:t>. eura</w:t>
      </w:r>
    </w:p>
    <w:p w:rsidR="00CD695B" w:rsidRPr="004C4164" w:rsidRDefault="0098474D">
      <w:pPr>
        <w:jc w:val="both"/>
        <w:rPr>
          <w:lang w:val="hr-HR"/>
        </w:rPr>
      </w:pPr>
      <w:r w:rsidRPr="004C4164">
        <w:rPr>
          <w:lang w:val="hr-HR"/>
        </w:rPr>
        <w:t>Gradsko vijeće Grada Rijeke donijelo je na sjednici 23. veljače 2023. godine Odluku o davanju suglasnosti za zaduženje i davanju jamstva radi refinanciranja postojećih financijskih obveza Energo d.o.o. Navedenom Odlukom dana je suglasnost Energu d.o.o. za dugoročno zaduženje kod kluba banaka: Agram banke d.d., Karlovačke banke d.d., Nove hrvatske banke d.d., PBZ d.d. i Zagrebačke banke d.d. u iznosu do 11.600.000,00 eura radi refinanciranja postojećih financijskih obveza društva kod navedenih poslovnih banaka. Nadalje, Odlukom je odobreno davanje jamstva Grada Rijeke za ispunjenje preuzetih obveza Energo d.o.o. u visini 80% ukupnog kredita, odnosno u iznosu do 9.280.000,00 eura, uvećano za pripadajuće kamate i ostale troškove. Na predmetnu Odluku Gradskog vijeća, Grad Rijeka je dobio suglasnost ministra financija 4. svibnja 2023. godine. Na temelju dobivene suglasnosti za davanje jamstva od Ministarstva financija, Grad Rijeka je 23. svibnja 2023. sklopio Ugovor o jamstvu s navedenim poslovnim bankama do iznosa od 8.954.447,81 eura, uvećano za pripadajuću kamatu i ostale troškove. Prema uvjetima iz ugovora, Energo d.o.o. će sredstva kredita po isteku roka korištenja otplaćivati u roku od 10 godina u tromjesečnim ratama uz promjenjivu godišnju kamatnu stopu vezanu uz 3M Euribor+3,30 p.p.</w:t>
      </w:r>
    </w:p>
    <w:p w:rsidR="00CD695B" w:rsidRPr="004C4164" w:rsidRDefault="0098474D">
      <w:pPr>
        <w:jc w:val="both"/>
        <w:rPr>
          <w:lang w:val="hr-HR"/>
        </w:rPr>
      </w:pPr>
      <w:r w:rsidRPr="004C4164">
        <w:rPr>
          <w:lang w:val="hr-HR"/>
        </w:rPr>
        <w:t>Stanje kredita na dan 31. prosinca 2025. godine po osnovi glavnice i kamate iznosi 8.965.393,38 eura.</w:t>
      </w:r>
    </w:p>
    <w:p w:rsidR="00D1303E" w:rsidRDefault="00D1303E">
      <w:pPr>
        <w:jc w:val="both"/>
        <w:rPr>
          <w:b/>
          <w:lang w:val="hr-HR"/>
        </w:rPr>
      </w:pPr>
    </w:p>
    <w:p w:rsidR="00CD695B" w:rsidRPr="004C4164" w:rsidRDefault="0098474D" w:rsidP="00472483">
      <w:pPr>
        <w:jc w:val="center"/>
        <w:rPr>
          <w:lang w:val="hr-HR"/>
        </w:rPr>
      </w:pPr>
      <w:r w:rsidRPr="004C4164">
        <w:rPr>
          <w:b/>
          <w:lang w:val="hr-HR"/>
        </w:rPr>
        <w:t>Dane suglasnosti za zaduženje</w:t>
      </w:r>
    </w:p>
    <w:p w:rsidR="00CD695B" w:rsidRPr="004C4164" w:rsidRDefault="0098474D">
      <w:pPr>
        <w:jc w:val="both"/>
        <w:rPr>
          <w:lang w:val="hr-HR"/>
        </w:rPr>
      </w:pPr>
      <w:r w:rsidRPr="004C4164">
        <w:rPr>
          <w:lang w:val="hr-HR"/>
        </w:rPr>
        <w:t xml:space="preserve">Gradsko vijeće Grada Rijeke je na sjednici 25. veljače 2025. donijelo Odluku o davanju  suglasnosti za zaduženje KD Vodovod i kanalizacija d.o.o. u iznosu od 30 </w:t>
      </w:r>
      <w:proofErr w:type="spellStart"/>
      <w:r w:rsidRPr="004C4164">
        <w:rPr>
          <w:lang w:val="hr-HR"/>
        </w:rPr>
        <w:t>mil</w:t>
      </w:r>
      <w:proofErr w:type="spellEnd"/>
      <w:r w:rsidRPr="004C4164">
        <w:rPr>
          <w:lang w:val="hr-HR"/>
        </w:rPr>
        <w:t>. eura radi financiranja Projekta „Poboljšanje vodno-komunalne infrastrukture na području aglomeracije Rijeka“. Ranijih godina Grad je dao suglasnosti ustanovi Dječji vrtić Rijeka te trgovačkim društvima u većinskom vlasništvu: Rijeka plus d.o.o. Rijeka sport d.o.o., Energo d.o.o. i komunalnim društvima Vodovod i kanalizacija d.o.o., Autotrolej d.o.o. i Čistoća d.o.o.</w:t>
      </w:r>
    </w:p>
    <w:p w:rsidR="00CD695B" w:rsidRPr="004C4164" w:rsidRDefault="0098474D">
      <w:pPr>
        <w:jc w:val="both"/>
        <w:rPr>
          <w:lang w:val="hr-HR"/>
        </w:rPr>
      </w:pPr>
      <w:r w:rsidRPr="004C4164">
        <w:rPr>
          <w:lang w:val="hr-HR"/>
        </w:rPr>
        <w:t>Stanje kredita po osnovi danih suglasnosti za dugoročno zaduženje pravnim osobama na dan 31. prosinca 2025. godine po osnovi glavnice i kamata iznosi 79.909.172,74 eura. </w:t>
      </w:r>
    </w:p>
    <w:p w:rsidR="00D1303E" w:rsidRDefault="00D1303E">
      <w:pPr>
        <w:jc w:val="both"/>
        <w:rPr>
          <w:b/>
          <w:lang w:val="hr-HR"/>
        </w:rPr>
      </w:pPr>
    </w:p>
    <w:p w:rsidR="00CD695B" w:rsidRPr="004C4164" w:rsidRDefault="0098474D" w:rsidP="00472483">
      <w:pPr>
        <w:jc w:val="center"/>
        <w:rPr>
          <w:lang w:val="hr-HR"/>
        </w:rPr>
      </w:pPr>
      <w:r w:rsidRPr="004C4164">
        <w:rPr>
          <w:b/>
          <w:lang w:val="hr-HR"/>
        </w:rPr>
        <w:t>Sudski sporovi u tijeku</w:t>
      </w:r>
    </w:p>
    <w:p w:rsidR="00CD695B" w:rsidRPr="004C4164" w:rsidRDefault="0098474D">
      <w:pPr>
        <w:jc w:val="both"/>
        <w:rPr>
          <w:lang w:val="hr-HR"/>
        </w:rPr>
      </w:pPr>
      <w:r w:rsidRPr="004C4164">
        <w:rPr>
          <w:lang w:val="hr-HR"/>
        </w:rPr>
        <w:t xml:space="preserve">U skladu sa člankom 15. st. 2. točka 2. Pravilnika o financijskom izvještavanju u proračunskom računovodstvu u </w:t>
      </w:r>
      <w:proofErr w:type="spellStart"/>
      <w:r w:rsidRPr="004C4164">
        <w:rPr>
          <w:lang w:val="hr-HR"/>
        </w:rPr>
        <w:t>izvanbilančnoj</w:t>
      </w:r>
      <w:proofErr w:type="spellEnd"/>
      <w:r w:rsidRPr="004C4164">
        <w:rPr>
          <w:lang w:val="hr-HR"/>
        </w:rPr>
        <w:t xml:space="preserve"> evidenciji i u Bilješkama uz financijski izvještaj iskazuje se podatak o sudskim sporovima u tijeku. Prema podacima nadležnih odjela gradske uprave u kojima se vode službene evidencije o sudskim sporovima u kojima je Grad jedna od stranaka, na dan 31. prosinca 2025. Grad u aktivnoj ulozi tužitelja vodi 848 sudskih sporova, potencijalne imovine (potraživanja) u vrijednosti od 6.849.541,89 eura, a u ulozi tuženika vodi 297 sudskih sporova, potencijalne obveze u vrijednosti od 5.543.560,62 eura. </w:t>
      </w:r>
    </w:p>
    <w:p w:rsidR="00CD695B" w:rsidRPr="004C4164" w:rsidRDefault="0098474D">
      <w:pPr>
        <w:jc w:val="both"/>
        <w:rPr>
          <w:lang w:val="hr-HR"/>
        </w:rPr>
      </w:pPr>
      <w:r w:rsidRPr="004C4164">
        <w:rPr>
          <w:lang w:val="hr-HR"/>
        </w:rPr>
        <w:t>Tablice s iskazanim analitičkim podacima po svakom pojedinom sudskom sporu nalaze se u prilogu Dodatak 1. i Dodatak 2. i čine sastavni dio ovih Bilješki uz godišnji financijski izvještaj.</w:t>
      </w:r>
    </w:p>
    <w:p w:rsidR="00D1303E" w:rsidRDefault="00D1303E">
      <w:pPr>
        <w:jc w:val="both"/>
        <w:rPr>
          <w:b/>
          <w:lang w:val="hr-HR"/>
        </w:rPr>
      </w:pPr>
    </w:p>
    <w:p w:rsidR="00472483" w:rsidRDefault="00472483">
      <w:pPr>
        <w:jc w:val="both"/>
        <w:rPr>
          <w:b/>
          <w:lang w:val="hr-HR"/>
        </w:rPr>
      </w:pPr>
    </w:p>
    <w:p w:rsidR="00CD695B" w:rsidRPr="004C4164" w:rsidRDefault="0098474D" w:rsidP="00472483">
      <w:pPr>
        <w:jc w:val="center"/>
        <w:rPr>
          <w:lang w:val="hr-HR"/>
        </w:rPr>
      </w:pPr>
      <w:r w:rsidRPr="004C4164">
        <w:rPr>
          <w:b/>
          <w:lang w:val="hr-HR"/>
        </w:rPr>
        <w:t>Instrumenti osiguranja plaćanja</w:t>
      </w:r>
    </w:p>
    <w:p w:rsidR="00CD695B" w:rsidRPr="004C4164" w:rsidRDefault="0098474D">
      <w:pPr>
        <w:jc w:val="both"/>
        <w:rPr>
          <w:lang w:val="hr-HR"/>
        </w:rPr>
      </w:pPr>
      <w:r w:rsidRPr="004C4164">
        <w:rPr>
          <w:lang w:val="hr-HR"/>
        </w:rPr>
        <w:t>Upravni odjel za financije vodi analitičku evidenciju izdanih i primljenih vrijednosnih papira i drugih financijskih instrumenata. Prema članku 23. Odluke o izvršavanju proračuna Grada Rijeke za 2025. godinu (Službene novine Grada Rijeke, broj 18/23,10/24 ,15/24 i 16/24), upravni odjeli obvezni su Upravnom odjelu za financije dostaviti primljene instrumente osiguranja plaćanja od strane pravnih osoba kao sredstvo osiguranja naplate potraživanja ili izvođenja radova i usluga.</w:t>
      </w:r>
    </w:p>
    <w:p w:rsidR="00CD695B" w:rsidRPr="004C4164" w:rsidRDefault="0098474D">
      <w:pPr>
        <w:jc w:val="both"/>
        <w:rPr>
          <w:lang w:val="hr-HR"/>
        </w:rPr>
      </w:pPr>
      <w:r w:rsidRPr="004C4164">
        <w:rPr>
          <w:lang w:val="hr-HR"/>
        </w:rPr>
        <w:t>Prema analitičkoj evidenciji, stanje na dan 31. prosinca 2025., Grad je izdao: 23 zadužnice ukupne vrijednosti 33.345.745,97 eura, 2 jamstva ukupne vrijednosti 14.378.407,16 eura i 13 bjanko mjenica.</w:t>
      </w:r>
    </w:p>
    <w:p w:rsidR="00CD695B" w:rsidRPr="004C4164" w:rsidRDefault="0098474D">
      <w:pPr>
        <w:jc w:val="both"/>
        <w:rPr>
          <w:lang w:val="hr-HR"/>
        </w:rPr>
      </w:pPr>
      <w:r w:rsidRPr="004C4164">
        <w:rPr>
          <w:lang w:val="hr-HR"/>
        </w:rPr>
        <w:t>Prema analitičkoj evidenciji, stanje na dan 31.12.2025., Grad je primio: 692 bankarskih garancija ukupne vrijednosti 30.623.322,54 eura, 4.448 zadužnice ukupne vrijednosti 67.059.027,57 eura, 274 novčanih pologa ukupne vrijednosti 1.817.761,01 eura i 9.850 bjanko mjenica.</w:t>
      </w:r>
    </w:p>
    <w:p w:rsidR="00D1303E" w:rsidRDefault="00D1303E">
      <w:pPr>
        <w:jc w:val="both"/>
        <w:rPr>
          <w:b/>
          <w:lang w:val="hr-HR"/>
        </w:rPr>
      </w:pPr>
    </w:p>
    <w:p w:rsidR="00CD695B" w:rsidRPr="004C4164" w:rsidRDefault="0098474D" w:rsidP="00472483">
      <w:pPr>
        <w:jc w:val="center"/>
        <w:rPr>
          <w:lang w:val="hr-HR"/>
        </w:rPr>
      </w:pPr>
      <w:r w:rsidRPr="004C4164">
        <w:rPr>
          <w:b/>
          <w:lang w:val="hr-HR"/>
        </w:rPr>
        <w:t>Hipoteke (založno pravo)</w:t>
      </w:r>
    </w:p>
    <w:p w:rsidR="00CD695B" w:rsidRPr="004C4164" w:rsidRDefault="0098474D">
      <w:pPr>
        <w:jc w:val="both"/>
        <w:rPr>
          <w:lang w:val="hr-HR"/>
        </w:rPr>
      </w:pPr>
      <w:r w:rsidRPr="004C4164">
        <w:rPr>
          <w:lang w:val="hr-HR"/>
        </w:rPr>
        <w:t>Hipotekom ili založnim pravom opterećene su sljedeće nekretnine u vlasništvu Grada:</w:t>
      </w:r>
    </w:p>
    <w:p w:rsidR="00CD695B" w:rsidRPr="004C4164" w:rsidRDefault="0098474D">
      <w:pPr>
        <w:jc w:val="both"/>
        <w:rPr>
          <w:lang w:val="hr-HR"/>
        </w:rPr>
      </w:pPr>
      <w:r w:rsidRPr="004C4164">
        <w:rPr>
          <w:lang w:val="hr-HR"/>
        </w:rPr>
        <w:t>·        Nekretnine Plivališta SFK Kantrida na temelju Sporazuma o zasnivanju založnog prava na nekretninama i pravu na neposrednu ovrhu od 3. siječnja 2017. godine, u korist Privredne banke Zagreb d.d., a radi osiguranja novčane tražbine Privredne banke Zagreb d.d. sukladno zaključenom Ugovoru o dugoročnom kreditu broj 5010609829.</w:t>
      </w:r>
    </w:p>
    <w:p w:rsidR="00CD695B" w:rsidRPr="004C4164" w:rsidRDefault="0098474D">
      <w:pPr>
        <w:jc w:val="both"/>
        <w:rPr>
          <w:lang w:val="hr-HR"/>
        </w:rPr>
      </w:pPr>
      <w:r w:rsidRPr="004C4164">
        <w:rPr>
          <w:lang w:val="hr-HR"/>
        </w:rPr>
        <w:t xml:space="preserve">·        Nekretnina </w:t>
      </w:r>
      <w:proofErr w:type="spellStart"/>
      <w:r w:rsidRPr="004C4164">
        <w:rPr>
          <w:lang w:val="hr-HR"/>
        </w:rPr>
        <w:t>k.č</w:t>
      </w:r>
      <w:proofErr w:type="spellEnd"/>
      <w:r w:rsidRPr="004C4164">
        <w:rPr>
          <w:lang w:val="hr-HR"/>
        </w:rPr>
        <w:t xml:space="preserve">. 388/562 šuma površine 5123 m2, </w:t>
      </w:r>
      <w:proofErr w:type="spellStart"/>
      <w:r w:rsidRPr="004C4164">
        <w:rPr>
          <w:lang w:val="hr-HR"/>
        </w:rPr>
        <w:t>zk.ul</w:t>
      </w:r>
      <w:proofErr w:type="spellEnd"/>
      <w:r w:rsidRPr="004C4164">
        <w:rPr>
          <w:lang w:val="hr-HR"/>
        </w:rPr>
        <w:t xml:space="preserve">. 1349 KO </w:t>
      </w:r>
      <w:proofErr w:type="spellStart"/>
      <w:r w:rsidRPr="004C4164">
        <w:rPr>
          <w:lang w:val="hr-HR"/>
        </w:rPr>
        <w:t>Hosti</w:t>
      </w:r>
      <w:proofErr w:type="spellEnd"/>
      <w:r w:rsidRPr="004C4164">
        <w:rPr>
          <w:lang w:val="hr-HR"/>
        </w:rPr>
        <w:t>, vrijednost zemljišta 2.254.120,00 kuna, temeljem Ugovora br. 130926087159 o dugoročnom kreditu na 25.000.000,00 kuna, zaključenog 11. studenog 2013. između OTP banke, korisnika: Dječji vrtić Rijeka i zalogodavca: Grad Rijeka. Uvjete odobrava i sredstva osigurava: Hrvatska banka za obnovu i razvitak Zagreb. Namjena: za realizaciju kapitalnog projekta Dječji vrtić Pehlin. Odluka o davanju suglasnosti za zaduženje Dječji vrtić Rijeka donijeta je na Gradskom vijeću Grada Rijeke 25. srpnja 2013., objavljena u SN PGŽ 27/13. </w:t>
      </w:r>
    </w:p>
    <w:p w:rsidR="00CD695B" w:rsidRPr="004C4164" w:rsidRDefault="0098474D">
      <w:pPr>
        <w:jc w:val="both"/>
        <w:rPr>
          <w:lang w:val="hr-HR"/>
        </w:rPr>
      </w:pPr>
      <w:r w:rsidRPr="004C4164">
        <w:rPr>
          <w:lang w:val="hr-HR"/>
        </w:rPr>
        <w:t> </w:t>
      </w:r>
    </w:p>
    <w:p w:rsidR="00CD695B" w:rsidRPr="004C4164" w:rsidRDefault="0098474D">
      <w:pPr>
        <w:jc w:val="both"/>
        <w:rPr>
          <w:lang w:val="hr-HR"/>
        </w:rPr>
      </w:pPr>
      <w:r w:rsidRPr="004C4164">
        <w:rPr>
          <w:lang w:val="hr-HR"/>
        </w:rPr>
        <w:t> </w:t>
      </w:r>
    </w:p>
    <w:p w:rsidR="00CD695B" w:rsidRPr="004C4164" w:rsidRDefault="00CD695B">
      <w:pPr>
        <w:rPr>
          <w:lang w:val="hr-HR"/>
        </w:rPr>
      </w:pPr>
    </w:p>
    <w:p w:rsidR="00D1303E" w:rsidRDefault="0098474D">
      <w:pPr>
        <w:keepNext/>
        <w:spacing w:line="240" w:lineRule="auto"/>
        <w:jc w:val="center"/>
        <w:rPr>
          <w:lang w:val="hr-HR"/>
        </w:rPr>
      </w:pPr>
      <w:r w:rsidRPr="004C4164">
        <w:rPr>
          <w:b/>
          <w:sz w:val="28"/>
          <w:lang w:val="hr-HR"/>
        </w:rPr>
        <w:t>Promjene u vrijednosti i obujmu imovine i obveza</w:t>
      </w:r>
    </w:p>
    <w:p w:rsidR="00472483" w:rsidRPr="00472483" w:rsidRDefault="00472483">
      <w:pPr>
        <w:keepNext/>
        <w:spacing w:line="240" w:lineRule="auto"/>
        <w:jc w:val="center"/>
        <w:rPr>
          <w:lang w:val="hr-HR"/>
        </w:rPr>
      </w:pPr>
    </w:p>
    <w:p w:rsidR="00CD695B" w:rsidRPr="004C4164" w:rsidRDefault="0098474D">
      <w:pPr>
        <w:keepNext/>
        <w:spacing w:line="240" w:lineRule="auto"/>
        <w:jc w:val="center"/>
        <w:rPr>
          <w:lang w:val="hr-HR"/>
        </w:rPr>
      </w:pPr>
      <w:r w:rsidRPr="004C4164">
        <w:rPr>
          <w:sz w:val="28"/>
          <w:lang w:val="hr-HR"/>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povećanja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smanjenja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9151</w:t>
            </w: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Promjene u vrijednosti i obujmu imovine (šifre 91511+91512)</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9151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10.123.626,92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14.333.681,08</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141,6</w:t>
            </w:r>
          </w:p>
        </w:tc>
      </w:tr>
    </w:tbl>
    <w:p w:rsidR="00CD695B" w:rsidRPr="004C4164" w:rsidRDefault="00CD695B">
      <w:pPr>
        <w:spacing w:after="0"/>
        <w:rPr>
          <w:lang w:val="hr-HR"/>
        </w:rPr>
      </w:pPr>
    </w:p>
    <w:p w:rsidR="00CD695B" w:rsidRDefault="0098474D" w:rsidP="00D1303E">
      <w:pPr>
        <w:jc w:val="both"/>
        <w:rPr>
          <w:lang w:val="hr-HR"/>
        </w:rPr>
      </w:pPr>
      <w:r w:rsidRPr="004C4164">
        <w:rPr>
          <w:lang w:val="hr-HR"/>
        </w:rPr>
        <w:t>U obrascu P-VRIO iskazane su promjene u vrijednosti i obujmu imovine i obveza koje nisu rezultat financijskih aktivnosti, odnosno prihoda, rashoda i novčanog tijeka. Iz izvještaja je evidentno ukupno povećanje vrijednosti i obujma imovine i obveza u vrijednosti od 10.123.626,92 eura te smanjenje 14.333.681,08 eura.</w:t>
      </w:r>
    </w:p>
    <w:p w:rsidR="00D1303E" w:rsidRPr="004C4164" w:rsidRDefault="00D1303E" w:rsidP="00D1303E">
      <w:pPr>
        <w:jc w:val="both"/>
        <w:rPr>
          <w:lang w:val="hr-HR"/>
        </w:rPr>
      </w:pPr>
    </w:p>
    <w:p w:rsidR="00CD695B" w:rsidRPr="004C4164" w:rsidRDefault="0098474D">
      <w:pPr>
        <w:keepNext/>
        <w:spacing w:line="240" w:lineRule="auto"/>
        <w:jc w:val="center"/>
        <w:rPr>
          <w:lang w:val="hr-HR"/>
        </w:rPr>
      </w:pPr>
      <w:r w:rsidRPr="004C4164">
        <w:rPr>
          <w:sz w:val="28"/>
          <w:lang w:val="hr-HR"/>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povećanja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smanjenja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proofErr w:type="spellStart"/>
            <w:r w:rsidRPr="004C4164">
              <w:rPr>
                <w:sz w:val="18"/>
                <w:lang w:val="hr-HR"/>
              </w:rPr>
              <w:t>Neproizvedena</w:t>
            </w:r>
            <w:proofErr w:type="spellEnd"/>
            <w:r w:rsidRPr="004C4164">
              <w:rPr>
                <w:sz w:val="18"/>
                <w:lang w:val="hr-HR"/>
              </w:rPr>
              <w:t xml:space="preserve"> dugotrajna imovina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P002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22.748,67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254.787,99</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1120,0</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Povećanje vrijednosti </w:t>
      </w:r>
      <w:proofErr w:type="spellStart"/>
      <w:r w:rsidRPr="004C4164">
        <w:rPr>
          <w:lang w:val="hr-HR"/>
        </w:rPr>
        <w:t>neproizvedene</w:t>
      </w:r>
      <w:proofErr w:type="spellEnd"/>
      <w:r w:rsidRPr="004C4164">
        <w:rPr>
          <w:lang w:val="hr-HR"/>
        </w:rPr>
        <w:t xml:space="preserve"> dugotrajne imovine odnosi se na usklađenje vrijednosti zemljišta do kupoprodajne vrijednosti i nove procjene, a smanjenje vrijednosti </w:t>
      </w:r>
      <w:proofErr w:type="spellStart"/>
      <w:r w:rsidRPr="004C4164">
        <w:rPr>
          <w:lang w:val="hr-HR"/>
        </w:rPr>
        <w:t>neproizvedene</w:t>
      </w:r>
      <w:proofErr w:type="spellEnd"/>
      <w:r w:rsidRPr="004C4164">
        <w:rPr>
          <w:lang w:val="hr-HR"/>
        </w:rPr>
        <w:t xml:space="preserve"> dugotrajne imovine bilježi propisan godišnji ispravak vrijednosti imovine.</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povećanja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smanjenja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Proizvedena dugotrajna imovina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P003</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7.436.171,32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11.490.943,17</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154,5</w:t>
            </w:r>
          </w:p>
        </w:tc>
      </w:tr>
    </w:tbl>
    <w:p w:rsidR="00CD695B" w:rsidRPr="004C4164" w:rsidRDefault="00CD695B">
      <w:pPr>
        <w:spacing w:after="0"/>
        <w:rPr>
          <w:lang w:val="hr-HR"/>
        </w:rPr>
      </w:pPr>
    </w:p>
    <w:p w:rsidR="00CD695B" w:rsidRPr="004C4164" w:rsidRDefault="0098474D" w:rsidP="00D1303E">
      <w:pPr>
        <w:jc w:val="both"/>
        <w:rPr>
          <w:lang w:val="hr-HR"/>
        </w:rPr>
      </w:pPr>
      <w:r w:rsidRPr="004C4164">
        <w:rPr>
          <w:lang w:val="hr-HR"/>
        </w:rPr>
        <w:t>Povećanje vrijednosti proizvedene dugotrajne imovine bilježi povećanje vrijednosti stanova i poslovnih prostora u iznosu od 7.436.171,32 eura zbog usklađenja vrijednosti stanova do više kupoprodajne vrijednosti i nove procjene vrijednosti stanova i poslovnih prostora. Vrijednost ove vrste imovine smanjena je zbog usklađenja vrijednosti poslovnih prostora i stanova do niže kupoprodajne vrijednosti, nove procjene vrijednosti poslovnih prostora. Osim navedenog  do smanjenja dolazi i zbog obračuna godišnjeg ispravka vrijednosti u iznosu od 11.396.051,26 eura te zbog provedenog rashodovanja dotrajale, zastarjele ili oštećene imovine u vrijednosti od 8.921,12 eura.  </w:t>
      </w:r>
    </w:p>
    <w:p w:rsidR="00CD695B" w:rsidRPr="004C4164" w:rsidRDefault="0098474D">
      <w:pPr>
        <w:keepNext/>
        <w:spacing w:line="240" w:lineRule="auto"/>
        <w:jc w:val="center"/>
        <w:rPr>
          <w:lang w:val="hr-HR"/>
        </w:rPr>
      </w:pPr>
      <w:r w:rsidRPr="004C4164">
        <w:rPr>
          <w:sz w:val="28"/>
          <w:lang w:val="hr-HR"/>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xml:space="preserve">. </w:t>
            </w:r>
            <w:r w:rsidR="00D1303E" w:rsidRPr="004C4164">
              <w:rPr>
                <w:b/>
                <w:sz w:val="18"/>
                <w:lang w:val="hr-HR"/>
              </w:rPr>
              <w:t>P</w:t>
            </w:r>
            <w:r w:rsidRPr="004C4164">
              <w:rPr>
                <w:b/>
                <w:sz w:val="18"/>
                <w:lang w:val="hr-HR"/>
              </w:rPr>
              <w:t>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povećanja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smanjenja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Financijski instrumenti - dionice i udjeli u glavnici</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P013</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924,87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7,02</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0,8</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Povećanje vrijednosti dionica i poslovnih udjela u glavnici trgovačkih društava proizlazi iz usklađenja nominalne i tržne vrijednosti poslovnih udjela Grada Rijeke prema Izvještaju Središnjeg klirinško depozitarnog društva dok je vrijednost ove imovine smanjena zbog provedenih usklađenja poslovnog udjela Grada.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xml:space="preserve">. </w:t>
            </w:r>
            <w:r w:rsidR="00D1303E" w:rsidRPr="004C4164">
              <w:rPr>
                <w:b/>
                <w:sz w:val="18"/>
                <w:lang w:val="hr-HR"/>
              </w:rPr>
              <w:t>P</w:t>
            </w:r>
            <w:r w:rsidRPr="004C4164">
              <w:rPr>
                <w:b/>
                <w:sz w:val="18"/>
                <w:lang w:val="hr-HR"/>
              </w:rPr>
              <w:t>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povećanja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smanjenja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proofErr w:type="spellStart"/>
            <w:r w:rsidRPr="004C4164">
              <w:rPr>
                <w:sz w:val="18"/>
                <w:lang w:val="hr-HR"/>
              </w:rPr>
              <w:t>Neproizvedena</w:t>
            </w:r>
            <w:proofErr w:type="spellEnd"/>
            <w:r w:rsidRPr="004C4164">
              <w:rPr>
                <w:sz w:val="18"/>
                <w:lang w:val="hr-HR"/>
              </w:rPr>
              <w:t xml:space="preserve"> dugotrajna imovina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P017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2.180.563,24</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373.919,57</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17,1</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Do povećanja obujma </w:t>
      </w:r>
      <w:proofErr w:type="spellStart"/>
      <w:r w:rsidRPr="004C4164">
        <w:rPr>
          <w:lang w:val="hr-HR"/>
        </w:rPr>
        <w:t>neproizvedene</w:t>
      </w:r>
      <w:proofErr w:type="spellEnd"/>
      <w:r w:rsidRPr="004C4164">
        <w:rPr>
          <w:lang w:val="hr-HR"/>
        </w:rPr>
        <w:t xml:space="preserve"> dugotrajne imovine dolazi zbog uknjiženja zemljišta temeljem pravnog slijeda, provedenih parcelacija, novih izmjera i ukidanja statusa javnog dobra, a do smanjenja obujma ove imovine dolazi zbog </w:t>
      </w:r>
      <w:proofErr w:type="spellStart"/>
      <w:r w:rsidRPr="004C4164">
        <w:rPr>
          <w:lang w:val="hr-HR"/>
        </w:rPr>
        <w:t>isknjiženja</w:t>
      </w:r>
      <w:proofErr w:type="spellEnd"/>
      <w:r w:rsidRPr="004C4164">
        <w:rPr>
          <w:lang w:val="hr-HR"/>
        </w:rPr>
        <w:t xml:space="preserve"> zemljišta temeljem provedenih parcelacija, novih izmjera, prijenosa prava vlasništva te ostalih usklađenja.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xml:space="preserve">. </w:t>
            </w:r>
            <w:r w:rsidR="00D1303E" w:rsidRPr="004C4164">
              <w:rPr>
                <w:b/>
                <w:sz w:val="18"/>
                <w:lang w:val="hr-HR"/>
              </w:rPr>
              <w:t>P</w:t>
            </w:r>
            <w:r w:rsidRPr="004C4164">
              <w:rPr>
                <w:b/>
                <w:sz w:val="18"/>
                <w:lang w:val="hr-HR"/>
              </w:rPr>
              <w:t>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povećanja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smanjenja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Proizvedena dugotrajna imovina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P018</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463.009,87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1.142.959,50</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246,9</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Kod povećanja obujma proizvedene dugotrajne imovine evidentirano je povećanje temeljem uknjiženja i povećanja površine stanova na temelju rješenja, nagodbi i presuda, zatim uknjiženja poslovnih prostora i drugih objekata donosom iz </w:t>
      </w:r>
      <w:proofErr w:type="spellStart"/>
      <w:r w:rsidRPr="004C4164">
        <w:rPr>
          <w:lang w:val="hr-HR"/>
        </w:rPr>
        <w:t>izvanbilančnih</w:t>
      </w:r>
      <w:proofErr w:type="spellEnd"/>
      <w:r w:rsidRPr="004C4164">
        <w:rPr>
          <w:lang w:val="hr-HR"/>
        </w:rPr>
        <w:t xml:space="preserve"> evidencija. Do smanjenja  obujma proizvedene dugotrajne imovine tijekom izvještajne godine dolazi zbog </w:t>
      </w:r>
      <w:proofErr w:type="spellStart"/>
      <w:r w:rsidRPr="004C4164">
        <w:rPr>
          <w:lang w:val="hr-HR"/>
        </w:rPr>
        <w:t>isknjiženja</w:t>
      </w:r>
      <w:proofErr w:type="spellEnd"/>
      <w:r w:rsidRPr="004C4164">
        <w:rPr>
          <w:lang w:val="hr-HR"/>
        </w:rPr>
        <w:t xml:space="preserve"> i smanjenja površina stanova, poslovnih prostora i drugih objekata po sudskim rješenjima i presudama te zbog </w:t>
      </w:r>
      <w:proofErr w:type="spellStart"/>
      <w:r w:rsidRPr="004C4164">
        <w:rPr>
          <w:lang w:val="hr-HR"/>
        </w:rPr>
        <w:t>isknjiženja</w:t>
      </w:r>
      <w:proofErr w:type="spellEnd"/>
      <w:r w:rsidRPr="004C4164">
        <w:rPr>
          <w:lang w:val="hr-HR"/>
        </w:rPr>
        <w:t xml:space="preserve"> imovine koja je utvrđena kao manjak prilikom godišnjeg popisa imovine.</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xml:space="preserve">. </w:t>
            </w:r>
            <w:r w:rsidR="00D1303E" w:rsidRPr="004C4164">
              <w:rPr>
                <w:b/>
                <w:sz w:val="18"/>
                <w:lang w:val="hr-HR"/>
              </w:rPr>
              <w:t>P</w:t>
            </w:r>
            <w:r w:rsidRPr="004C4164">
              <w:rPr>
                <w:b/>
                <w:sz w:val="18"/>
                <w:lang w:val="hr-HR"/>
              </w:rPr>
              <w:t>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povećanja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smanjenja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Proizvedena kratkotrajna imovina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P022</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0,00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5.000,00</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Do smanjenja obujma proizvedene kratkotrajne imovine dolazi zbog </w:t>
      </w:r>
      <w:proofErr w:type="spellStart"/>
      <w:r w:rsidRPr="004C4164">
        <w:rPr>
          <w:lang w:val="hr-HR"/>
        </w:rPr>
        <w:t>isknjiženja</w:t>
      </w:r>
      <w:proofErr w:type="spellEnd"/>
      <w:r w:rsidRPr="004C4164">
        <w:rPr>
          <w:lang w:val="hr-HR"/>
        </w:rPr>
        <w:t xml:space="preserve"> opreme temeljem Ugovora o prijenosu prava vlasništva bez naknade Dječjem vrtiću Rijeka.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xml:space="preserve">. </w:t>
            </w:r>
            <w:r w:rsidR="00D1303E" w:rsidRPr="004C4164">
              <w:rPr>
                <w:b/>
                <w:sz w:val="18"/>
                <w:lang w:val="hr-HR"/>
              </w:rPr>
              <w:t>P</w:t>
            </w:r>
            <w:r w:rsidRPr="004C4164">
              <w:rPr>
                <w:b/>
                <w:sz w:val="18"/>
                <w:lang w:val="hr-HR"/>
              </w:rPr>
              <w:t>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povećanja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smanjenja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Financijski instrumenti - dionice i udjeli u glavnici</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P028</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6.636,14</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6.636,14</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100</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Povećanje i smanjenje udjela u glavnici nastalo je po osnovu provedenih promjena poslovnih udjela Grada uslijed pripajanja trgovačkog društva te usklađenjem stanja kapitalnih pričuva. </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xml:space="preserve">. </w:t>
            </w:r>
            <w:r w:rsidR="00D1303E" w:rsidRPr="004C4164">
              <w:rPr>
                <w:b/>
                <w:sz w:val="18"/>
                <w:lang w:val="hr-HR"/>
              </w:rPr>
              <w:t>P</w:t>
            </w:r>
            <w:r w:rsidRPr="004C4164">
              <w:rPr>
                <w:b/>
                <w:sz w:val="18"/>
                <w:lang w:val="hr-HR"/>
              </w:rPr>
              <w:t>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povećanja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smanjenja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Potraživanja za prihode poslovanja</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P029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5.822,80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1.053.929,88</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&gt;&gt;100</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 xml:space="preserve">Povećanje obujma financijske imovine odnosno potraživanja za prihode poslovanja nastalo je temeljem uknjiženja potraživanja zbog naplate iz stečajne mase i </w:t>
      </w:r>
      <w:proofErr w:type="spellStart"/>
      <w:r w:rsidRPr="004C4164">
        <w:rPr>
          <w:lang w:val="hr-HR"/>
        </w:rPr>
        <w:t>storno</w:t>
      </w:r>
      <w:proofErr w:type="spellEnd"/>
      <w:r w:rsidRPr="004C4164">
        <w:rPr>
          <w:lang w:val="hr-HR"/>
        </w:rPr>
        <w:t xml:space="preserve"> popusta na naknadu za zadržavanje nezakonito izgrađene zgrade.</w:t>
      </w:r>
    </w:p>
    <w:p w:rsidR="00CD695B" w:rsidRPr="004C4164" w:rsidRDefault="0098474D" w:rsidP="00D1303E">
      <w:pPr>
        <w:jc w:val="both"/>
        <w:rPr>
          <w:lang w:val="hr-HR"/>
        </w:rPr>
      </w:pPr>
      <w:r w:rsidRPr="004C4164">
        <w:rPr>
          <w:lang w:val="hr-HR"/>
        </w:rPr>
        <w:t>Do smanjenja obujma ovih potraživanja, u najvećem dijelu, dolazi zbog provedenih otpisa po Uredbi o kriterijima, mjerilima i postupku za odgodu plaćanja, obročnu otplatu duga te prodaju, otpis ili djelomičan otpis potraživanja („Narodne novine“, broj 52/13, 94/14 i 144/21), temeljem Zakona o obveznim odnosima („Narodne novine“, broj 35/05, 41/08, 125/11, 78/15, 29/18, 126/21, 114/22, 156/22, 145/23 i 155/23) i temeljem Općeg poreznog zakona („Narodne novine", broj 115/16, 106/18, 121/19, 32/20, 42/20 i 114/22) i to najviše s osnova zakupnine poslovnih prostora, pripadajućih kamata i sudskih troškova te s osnova komunalnog doprinosa, pripadajućih kamata i ostalih prihoda poslovanja. Do smanjenja dolazi i zbog provedenih otpisa potraživanja radi nemogućnosti naplate i brisanih subjekata, otpisa po Prekršajnom zakonu („Narodne novine“, broj 107/07, 39/13, 157/13, 110/15, 70/17, 118/18 i 114/22), zatim otpisa po zaključcima Gradonačelnice, po pojedinačnim rješenjima i temeljem obračunatih popusta i oslobođenja.</w:t>
      </w:r>
    </w:p>
    <w:p w:rsidR="00CD695B" w:rsidRPr="004C4164" w:rsidRDefault="0098474D">
      <w:pPr>
        <w:keepNext/>
        <w:spacing w:line="240" w:lineRule="auto"/>
        <w:jc w:val="center"/>
        <w:rPr>
          <w:lang w:val="hr-HR"/>
        </w:rPr>
      </w:pPr>
      <w:r w:rsidRPr="004C4164">
        <w:rPr>
          <w:sz w:val="28"/>
          <w:lang w:val="hr-HR"/>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povećanja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 smanjenja</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Potraživanja od prodaje nefinancijske imovine</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P030</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7.750,01</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5.497,81</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70,9</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Do povećanja u obujmu financijske imovine, odnosno potraživanja od prodaje nefinancijske imovine tijekom izvještajne godine dolazi temeljem ponovnog uknjiženja potraživanja zbog naplate iz stečajne mase. Do smanjenja obujma potraživanja od prodaje nefinancijske imovine dolazi dolazi zbog provedenih otpisa potraživanja i obračunatih popusta na jednokratna plaćanja prilikom prodaje stanova.</w:t>
      </w:r>
    </w:p>
    <w:p w:rsidR="00CD695B" w:rsidRPr="004C4164" w:rsidRDefault="0098474D">
      <w:pPr>
        <w:rPr>
          <w:lang w:val="hr-HR"/>
        </w:rPr>
      </w:pPr>
      <w:r w:rsidRPr="004C4164">
        <w:rPr>
          <w:lang w:val="hr-HR"/>
        </w:rPr>
        <w:t> </w:t>
      </w:r>
    </w:p>
    <w:p w:rsidR="00CD695B" w:rsidRPr="004C4164" w:rsidRDefault="00CD695B">
      <w:pPr>
        <w:rPr>
          <w:lang w:val="hr-HR"/>
        </w:rPr>
      </w:pPr>
    </w:p>
    <w:p w:rsidR="00CD695B" w:rsidRDefault="0098474D">
      <w:pPr>
        <w:keepNext/>
        <w:spacing w:line="240" w:lineRule="auto"/>
        <w:jc w:val="center"/>
        <w:rPr>
          <w:b/>
          <w:sz w:val="28"/>
          <w:lang w:val="hr-HR"/>
        </w:rPr>
      </w:pPr>
      <w:r w:rsidRPr="004C4164">
        <w:rPr>
          <w:b/>
          <w:sz w:val="28"/>
          <w:lang w:val="hr-HR"/>
        </w:rPr>
        <w:t>Izvještaj o obvezama</w:t>
      </w:r>
    </w:p>
    <w:p w:rsidR="00D1303E" w:rsidRPr="004C4164" w:rsidRDefault="00D1303E">
      <w:pPr>
        <w:keepNext/>
        <w:spacing w:line="240" w:lineRule="auto"/>
        <w:jc w:val="center"/>
        <w:rPr>
          <w:lang w:val="hr-HR"/>
        </w:rPr>
      </w:pPr>
    </w:p>
    <w:p w:rsidR="00CD695B" w:rsidRPr="004C4164" w:rsidRDefault="0098474D">
      <w:pPr>
        <w:keepNext/>
        <w:spacing w:line="240" w:lineRule="auto"/>
        <w:jc w:val="center"/>
        <w:rPr>
          <w:lang w:val="hr-HR"/>
        </w:rPr>
      </w:pPr>
      <w:r w:rsidRPr="004C4164">
        <w:rPr>
          <w:sz w:val="28"/>
          <w:lang w:val="hr-HR"/>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Stanje obveza na kraju izvještajnog razdoblja (šifre V001+V002-V004) i (šifre V007+V009)</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V006</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54.660.340,72</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Ukupno stanje obveza na dan 31. prosinca 2025. godine iznosi 54.660.340,72 eura od čega dospjele obveze iznose 4.362.963,28 eura ili 8%, a nedospjele obveze 50.297.377,44 eura ili 92%. Ukupne obveze bilježe smanjenje od 2.743.654,01 eura ili 4,78% u odnosu na stanje prethodne godine.</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Stanje dospjelih obveza na kraju izvještajnog razdoblja (šifre V008+D23+D24 + 'D dio 25,26' + D27)</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V007</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4.362.963,28</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Stanje dospjelih obveza na kraju izvještajnog razdoblja iznosi 4.362.963,28 eura i veće je za 322.430,58 eura, odnosno 7,39 % u odnosu na stanje prethodne godine.</w:t>
      </w:r>
    </w:p>
    <w:p w:rsidR="00CD695B" w:rsidRPr="004C4164" w:rsidRDefault="0098474D">
      <w:pPr>
        <w:jc w:val="both"/>
        <w:rPr>
          <w:lang w:val="hr-HR"/>
        </w:rPr>
      </w:pPr>
      <w:r w:rsidRPr="004C4164">
        <w:rPr>
          <w:lang w:val="hr-HR"/>
        </w:rPr>
        <w:t>U strukturi dospjelih obveza, unutar 60 dana dospjelo je na plaćanje 774.734,02 eura, unutar narednih 61-180 dana dospjelo je 9.137,27 eura, od 181-360 dana dospjelo je 5.007,22 eura, a preko 360 dana dospjelo je 3.574.084,77 eura. Kod obveza s prekoračenjem dospijeća plaćanja od 1-180 dana (783.871,29 eura), u najvećem dijelu radi se o obvezama za materijalne rashode (usluge tekućeg održavanja, komunalne usluge, energija) i obvezama za nefinancijsku imovinu. Ove obveze evidentirane su temeljem računa dobavljača za izvršenu isporuku roba i usluga do 31. prosinca 2025. koji su zaprimljeni nakon izvještajnog datuma. Do dana sastavljanja ovih Bilješki navedene obveze su podmirene.</w:t>
      </w:r>
    </w:p>
    <w:p w:rsidR="00CD695B" w:rsidRPr="004C4164" w:rsidRDefault="0098474D">
      <w:pPr>
        <w:jc w:val="both"/>
        <w:rPr>
          <w:lang w:val="hr-HR"/>
        </w:rPr>
      </w:pPr>
      <w:r w:rsidRPr="004C4164">
        <w:rPr>
          <w:lang w:val="hr-HR"/>
        </w:rPr>
        <w:t>Najveći udjel u obvezama s dospijećem preko 360 dana čine obveze prema Državnom proračunu za 55% naplaćenih prihoda od prodaje stanova sa stanarskim pravom u visini od 3.329.342,60 eura. Radi se o dugovanju koje se planira podmiriti ustupanjem nekretnina u vlasništvu Grada Rijeke Republici Hrvatskoj. U cilju podmirenja preostalog dospjelog dugovanja, Grad se od 2019. godine u više navrata obraća nadležnom Ministarstvu prostornog uređenja, graditeljstva i državne imovine, održani su i sastanci na tu temu no do danas nije postignut dogovor. Grad Rijeka očekuje nastavak pregovora radi postizanja konačnog dogovora o načinu podmirenja preostalog dugovanja prema Republici Hrvatskoj.</w:t>
      </w:r>
    </w:p>
    <w:p w:rsidR="00CD695B" w:rsidRPr="004C4164" w:rsidRDefault="0098474D">
      <w:pPr>
        <w:jc w:val="both"/>
        <w:rPr>
          <w:lang w:val="hr-HR"/>
        </w:rPr>
      </w:pPr>
      <w:r w:rsidRPr="004C4164">
        <w:rPr>
          <w:lang w:val="hr-HR"/>
        </w:rPr>
        <w:t>Grad Rijeka od 2018. godine redovno i u dospijeću podmiruje tekuće obveze za 55% naplaćenih prihoda od prodaje stanova sa stanarskim pravom na račun Državnog proračuna te je u razdoblju od 2018. do 31. prosinca 2025. godine ukupno podmireno 4.386.843,84 eura.</w:t>
      </w:r>
    </w:p>
    <w:p w:rsidR="00CD695B" w:rsidRPr="004C4164" w:rsidRDefault="00CD695B">
      <w:pPr>
        <w:rPr>
          <w:lang w:val="hr-HR"/>
        </w:rPr>
      </w:pPr>
    </w:p>
    <w:p w:rsidR="00CD695B" w:rsidRPr="004C4164" w:rsidRDefault="0098474D">
      <w:pPr>
        <w:keepNext/>
        <w:spacing w:line="240" w:lineRule="auto"/>
        <w:jc w:val="center"/>
        <w:rPr>
          <w:lang w:val="hr-HR"/>
        </w:rPr>
      </w:pPr>
      <w:r w:rsidRPr="004C4164">
        <w:rPr>
          <w:sz w:val="28"/>
          <w:lang w:val="hr-HR"/>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D695B" w:rsidRPr="004C4164">
        <w:trPr>
          <w:cantSplit/>
        </w:trPr>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 xml:space="preserve">Račun iz </w:t>
            </w:r>
            <w:proofErr w:type="spellStart"/>
            <w:r w:rsidRPr="004C4164">
              <w:rPr>
                <w:b/>
                <w:sz w:val="18"/>
                <w:lang w:val="hr-HR"/>
              </w:rPr>
              <w:t>rač</w:t>
            </w:r>
            <w:proofErr w:type="spellEnd"/>
            <w:r w:rsidRPr="004C4164">
              <w:rPr>
                <w:b/>
                <w:sz w:val="18"/>
                <w:lang w:val="hr-HR"/>
              </w:rPr>
              <w:t>. plana</w:t>
            </w:r>
          </w:p>
        </w:tc>
        <w:tc>
          <w:tcPr>
            <w:tcW w:w="318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Opis stavke</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Šifra</w:t>
            </w:r>
          </w:p>
        </w:tc>
        <w:tc>
          <w:tcPr>
            <w:tcW w:w="186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Iznos</w:t>
            </w:r>
          </w:p>
        </w:tc>
        <w:tc>
          <w:tcPr>
            <w:tcW w:w="700" w:type="dxa"/>
            <w:shd w:val="clear" w:color="auto" w:fill="E7F0F9"/>
            <w:tcMar>
              <w:top w:w="0" w:type="dxa"/>
              <w:bottom w:w="0" w:type="dxa"/>
            </w:tcMar>
            <w:vAlign w:val="center"/>
          </w:tcPr>
          <w:p w:rsidR="00CD695B" w:rsidRPr="004C4164" w:rsidRDefault="0098474D">
            <w:pPr>
              <w:keepNext/>
              <w:keepLines/>
              <w:spacing w:after="0" w:line="240" w:lineRule="auto"/>
              <w:jc w:val="center"/>
              <w:rPr>
                <w:lang w:val="hr-HR"/>
              </w:rPr>
            </w:pPr>
            <w:r w:rsidRPr="004C4164">
              <w:rPr>
                <w:b/>
                <w:sz w:val="18"/>
                <w:lang w:val="hr-HR"/>
              </w:rPr>
              <w:t>Indeks (%)</w:t>
            </w:r>
          </w:p>
        </w:tc>
      </w:tr>
      <w:tr w:rsidR="00CD695B" w:rsidRPr="004C4164">
        <w:trPr>
          <w:cantSplit/>
          <w:trHeight w:val="560"/>
        </w:trPr>
        <w:tc>
          <w:tcPr>
            <w:tcW w:w="700" w:type="dxa"/>
            <w:tcMar>
              <w:top w:w="0" w:type="dxa"/>
              <w:bottom w:w="0" w:type="dxa"/>
            </w:tcMar>
            <w:vAlign w:val="center"/>
          </w:tcPr>
          <w:p w:rsidR="00CD695B" w:rsidRPr="004C4164" w:rsidRDefault="00CD695B">
            <w:pPr>
              <w:keepNext/>
              <w:keepLines/>
              <w:spacing w:after="0" w:line="240" w:lineRule="auto"/>
              <w:rPr>
                <w:lang w:val="hr-HR"/>
              </w:rPr>
            </w:pPr>
          </w:p>
        </w:tc>
        <w:tc>
          <w:tcPr>
            <w:tcW w:w="318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Stanje nedospjelih obveza na kraju izvještajnog razdoblja (šifre V010 + ND23 + ND24 + 'ND dio 25,26' + ND27)</w:t>
            </w:r>
          </w:p>
        </w:tc>
        <w:tc>
          <w:tcPr>
            <w:tcW w:w="700" w:type="dxa"/>
            <w:tcMar>
              <w:top w:w="0" w:type="dxa"/>
              <w:bottom w:w="0" w:type="dxa"/>
            </w:tcMar>
            <w:vAlign w:val="center"/>
          </w:tcPr>
          <w:p w:rsidR="00CD695B" w:rsidRPr="004C4164" w:rsidRDefault="0098474D">
            <w:pPr>
              <w:keepNext/>
              <w:keepLines/>
              <w:spacing w:after="0" w:line="240" w:lineRule="auto"/>
              <w:rPr>
                <w:lang w:val="hr-HR"/>
              </w:rPr>
            </w:pPr>
            <w:r w:rsidRPr="004C4164">
              <w:rPr>
                <w:sz w:val="18"/>
                <w:lang w:val="hr-HR"/>
              </w:rPr>
              <w:t>V009</w:t>
            </w:r>
          </w:p>
        </w:tc>
        <w:tc>
          <w:tcPr>
            <w:tcW w:w="186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50.297.377,44</w:t>
            </w:r>
          </w:p>
        </w:tc>
        <w:tc>
          <w:tcPr>
            <w:tcW w:w="700" w:type="dxa"/>
            <w:tcMar>
              <w:top w:w="0" w:type="dxa"/>
              <w:bottom w:w="0" w:type="dxa"/>
            </w:tcMar>
            <w:vAlign w:val="center"/>
          </w:tcPr>
          <w:p w:rsidR="00CD695B" w:rsidRPr="004C4164" w:rsidRDefault="0098474D">
            <w:pPr>
              <w:keepNext/>
              <w:keepLines/>
              <w:spacing w:after="0" w:line="240" w:lineRule="auto"/>
              <w:jc w:val="right"/>
              <w:rPr>
                <w:lang w:val="hr-HR"/>
              </w:rPr>
            </w:pPr>
            <w:r w:rsidRPr="004C4164">
              <w:rPr>
                <w:sz w:val="18"/>
                <w:lang w:val="hr-HR"/>
              </w:rPr>
              <w:t>-</w:t>
            </w:r>
          </w:p>
        </w:tc>
      </w:tr>
    </w:tbl>
    <w:p w:rsidR="00CD695B" w:rsidRPr="004C4164" w:rsidRDefault="00CD695B">
      <w:pPr>
        <w:spacing w:after="0"/>
        <w:rPr>
          <w:lang w:val="hr-HR"/>
        </w:rPr>
      </w:pPr>
    </w:p>
    <w:p w:rsidR="00CD695B" w:rsidRPr="004C4164" w:rsidRDefault="0098474D">
      <w:pPr>
        <w:jc w:val="both"/>
        <w:rPr>
          <w:lang w:val="hr-HR"/>
        </w:rPr>
      </w:pPr>
      <w:r w:rsidRPr="004C4164">
        <w:rPr>
          <w:lang w:val="hr-HR"/>
        </w:rPr>
        <w:t>Stanje nedospjelih obveza na kraju izvještajnog razdoblja iznosi 50.297.377,44 eura, a odnosi se na sljedeće obveze: obveze za financijsku imovinu 30.776.356,03 eura (obveze za tuzemne kredite i zajmove prema kreditnim institucijama, bez zajmova prema Državnom proračunu i proračunskom korisniku), obveze za rashode poslovanja 8.754.915,84 eura (obveze za zaposlene, materijalne i financijske rashode, obveze za naknade građanima i kućanstvima, PDV i ostale obveze), nedospjele obveze za nabavu nefinancijske imovine u iznosu od 1.758.419,07 eura te na nedospjele međusobne obveze subjekata općeg proračuna 6.284.244,05 eura (od čega obveze za zajmove prema Državnom proračunu i proračunskom korisniku u iznosu od 1.829.804,64 eura). </w:t>
      </w:r>
    </w:p>
    <w:p w:rsidR="00CD695B" w:rsidRPr="004C4164" w:rsidRDefault="0098474D">
      <w:pPr>
        <w:jc w:val="both"/>
        <w:rPr>
          <w:lang w:val="hr-HR"/>
        </w:rPr>
      </w:pPr>
      <w:r w:rsidRPr="004C4164">
        <w:rPr>
          <w:lang w:val="hr-HR"/>
        </w:rPr>
        <w:t>Nedospjele obveze za rashode poslovanja i obveze za nabavu nefinancijske imovine odnose se na plaće zaposlenika za prosinac 2025. isplaćene u siječnju 2026. i na obveze po zaprimljenim računima dobavljača za izvršene isporuke u prosincu koje se podmiruju unutar dospijeća iza 31. prosinca 2025. godine.     </w:t>
      </w:r>
    </w:p>
    <w:p w:rsidR="00CD695B" w:rsidRDefault="00CD695B">
      <w:pPr>
        <w:rPr>
          <w:lang w:val="hr-HR"/>
        </w:rPr>
      </w:pPr>
    </w:p>
    <w:p w:rsidR="00D1303E" w:rsidRDefault="00D1303E">
      <w:pPr>
        <w:rPr>
          <w:lang w:val="hr-HR"/>
        </w:rPr>
      </w:pPr>
    </w:p>
    <w:p w:rsidR="00D1303E" w:rsidRPr="004C4164" w:rsidRDefault="00D1303E">
      <w:pPr>
        <w:rPr>
          <w:lang w:val="hr-HR"/>
        </w:rPr>
      </w:pPr>
    </w:p>
    <w:p w:rsidR="00472483" w:rsidRDefault="00472483" w:rsidP="00472483">
      <w:pPr>
        <w:spacing w:line="240" w:lineRule="auto"/>
        <w:jc w:val="center"/>
        <w:rPr>
          <w:b/>
          <w:lang w:val="hr-HR"/>
        </w:rPr>
      </w:pPr>
    </w:p>
    <w:p w:rsidR="00472483" w:rsidRDefault="00472483" w:rsidP="00472483">
      <w:pPr>
        <w:spacing w:line="240" w:lineRule="auto"/>
        <w:jc w:val="center"/>
        <w:rPr>
          <w:b/>
          <w:lang w:val="hr-HR"/>
        </w:rPr>
      </w:pPr>
    </w:p>
    <w:p w:rsidR="00472483" w:rsidRDefault="00472483" w:rsidP="00472483">
      <w:pPr>
        <w:spacing w:line="240" w:lineRule="auto"/>
        <w:jc w:val="center"/>
        <w:rPr>
          <w:b/>
          <w:lang w:val="hr-HR"/>
        </w:rPr>
      </w:pPr>
      <w:r w:rsidRPr="004C4164">
        <w:rPr>
          <w:b/>
          <w:lang w:val="hr-HR"/>
        </w:rPr>
        <w:t>EU izvještaj</w:t>
      </w:r>
    </w:p>
    <w:p w:rsidR="00472483" w:rsidRDefault="00472483">
      <w:pPr>
        <w:keepNext/>
        <w:spacing w:line="240" w:lineRule="auto"/>
        <w:jc w:val="center"/>
        <w:rPr>
          <w:sz w:val="28"/>
          <w:lang w:val="hr-HR"/>
        </w:rPr>
      </w:pPr>
    </w:p>
    <w:p w:rsidR="00D1303E" w:rsidRPr="004C4164" w:rsidRDefault="0098474D" w:rsidP="00472483">
      <w:pPr>
        <w:keepNext/>
        <w:spacing w:line="240" w:lineRule="auto"/>
        <w:jc w:val="center"/>
        <w:rPr>
          <w:lang w:val="hr-HR"/>
        </w:rPr>
      </w:pPr>
      <w:r w:rsidRPr="004C4164">
        <w:rPr>
          <w:sz w:val="28"/>
          <w:lang w:val="hr-HR"/>
        </w:rPr>
        <w:t>Bilješka 58.</w:t>
      </w:r>
    </w:p>
    <w:p w:rsidR="00CD695B" w:rsidRPr="004C4164" w:rsidRDefault="0098474D">
      <w:pPr>
        <w:jc w:val="both"/>
        <w:rPr>
          <w:lang w:val="hr-HR"/>
        </w:rPr>
      </w:pPr>
      <w:r w:rsidRPr="004C4164">
        <w:rPr>
          <w:lang w:val="hr-HR"/>
        </w:rPr>
        <w:t>U financijskom izvještaju o EU sredstvima po izvorima financiranja u izvještajnom razdoblju I-XII 2025. godine ostvareni su prihodi od pomoći od međunarodnih organizacija te institucija i tijela EU u iznosu od 71.775,01 eura te prihodi od pomoći temeljem prijenosa EU sredstava u iznosu od 1.247.935,41 eura.</w:t>
      </w:r>
    </w:p>
    <w:p w:rsidR="00CD695B" w:rsidRPr="004C4164" w:rsidRDefault="0098474D">
      <w:pPr>
        <w:jc w:val="both"/>
        <w:rPr>
          <w:lang w:val="hr-HR"/>
        </w:rPr>
      </w:pPr>
      <w:r w:rsidRPr="004C4164">
        <w:rPr>
          <w:lang w:val="hr-HR"/>
        </w:rPr>
        <w:t>Rashodi poslovanja u izvještajnom razdoblju izvršeni su u iznosu od 548.645,20 eura, dok su rashodi za nabavu nefinancijske imovine u iznosu od 1.075.989,01 eura.</w:t>
      </w:r>
    </w:p>
    <w:p w:rsidR="00CD695B" w:rsidRPr="004C4164" w:rsidRDefault="0098474D">
      <w:pPr>
        <w:jc w:val="both"/>
        <w:rPr>
          <w:lang w:val="hr-HR"/>
        </w:rPr>
      </w:pPr>
      <w:r w:rsidRPr="004C4164">
        <w:rPr>
          <w:lang w:val="hr-HR"/>
        </w:rPr>
        <w:t xml:space="preserve">Potraživanja po ugovorima o dodijeljenim bespovratnim sredstvima iz EU fondova - </w:t>
      </w:r>
      <w:proofErr w:type="spellStart"/>
      <w:r w:rsidRPr="004C4164">
        <w:rPr>
          <w:lang w:val="hr-HR"/>
        </w:rPr>
        <w:t>izvanbilančni</w:t>
      </w:r>
      <w:proofErr w:type="spellEnd"/>
      <w:r w:rsidRPr="004C4164">
        <w:rPr>
          <w:lang w:val="hr-HR"/>
        </w:rPr>
        <w:t xml:space="preserve"> zapisi (99171/99653) evidentirana su u iznosu od 4.670.251,26 eura.</w:t>
      </w:r>
    </w:p>
    <w:p w:rsidR="00CD695B" w:rsidRPr="004C4164" w:rsidRDefault="0098474D">
      <w:pPr>
        <w:jc w:val="both"/>
        <w:rPr>
          <w:lang w:val="hr-HR"/>
        </w:rPr>
      </w:pPr>
      <w:r w:rsidRPr="004C4164">
        <w:rPr>
          <w:lang w:val="hr-HR"/>
        </w:rPr>
        <w:t>Potraživanja za kapitalne pomoći iz državnog proračuna temeljem prijenosa EU sredstava iznose ukupno 567.571,74 eura u skladu s visinom potraživanih bespovratnih sredstava po podnesenim Zahtjevima za nadoknadu sredstava (ZNS).</w:t>
      </w:r>
    </w:p>
    <w:p w:rsidR="00CD695B" w:rsidRPr="004C4164" w:rsidRDefault="0098474D">
      <w:pPr>
        <w:jc w:val="both"/>
        <w:rPr>
          <w:lang w:val="hr-HR"/>
        </w:rPr>
      </w:pPr>
      <w:r w:rsidRPr="004C4164">
        <w:rPr>
          <w:lang w:val="hr-HR"/>
        </w:rPr>
        <w:t>Obveze za EU predujmove iznose 104.515,82 eura i odnose se na projekte za koje još nije podneseno završno izvješće koje se podnosi po završetku projekta.</w:t>
      </w:r>
    </w:p>
    <w:p w:rsidR="00CD695B" w:rsidRPr="004C4164" w:rsidRDefault="0098474D">
      <w:pPr>
        <w:jc w:val="both"/>
        <w:rPr>
          <w:lang w:val="hr-HR"/>
        </w:rPr>
      </w:pPr>
      <w:r w:rsidRPr="004C4164">
        <w:rPr>
          <w:lang w:val="hr-HR"/>
        </w:rPr>
        <w:t>U nastavku slijedi EU izvještaj prema jedinstvenim oznakama izvora financiranja za EU sredstava.</w:t>
      </w:r>
    </w:p>
    <w:p w:rsidR="00D1303E" w:rsidRDefault="00D1303E">
      <w:pPr>
        <w:jc w:val="both"/>
        <w:rPr>
          <w:b/>
          <w:lang w:val="hr-HR"/>
        </w:rPr>
      </w:pPr>
    </w:p>
    <w:p w:rsidR="00CD695B" w:rsidRPr="004C4164" w:rsidRDefault="0098474D" w:rsidP="00472483">
      <w:pPr>
        <w:jc w:val="both"/>
        <w:rPr>
          <w:lang w:val="hr-HR"/>
        </w:rPr>
      </w:pPr>
      <w:r w:rsidRPr="004C4164">
        <w:rPr>
          <w:b/>
          <w:lang w:val="hr-HR"/>
        </w:rPr>
        <w:t>EU IZVJEŠTAJ PO IZVORIMA FINANCIRANJA – NACIONALNO SUFINANCIRANJE</w:t>
      </w:r>
    </w:p>
    <w:p w:rsidR="00CD695B" w:rsidRPr="004C4164" w:rsidRDefault="0098474D">
      <w:pPr>
        <w:jc w:val="both"/>
        <w:rPr>
          <w:lang w:val="hr-HR"/>
        </w:rPr>
      </w:pPr>
      <w:r w:rsidRPr="004C4164">
        <w:rPr>
          <w:lang w:val="hr-HR"/>
        </w:rPr>
        <w:t>U okviru EU izvještaja po izvorima financiranja – nacionalno sufinanciranje evidentiran je rashod (367- izvor 5200 - prijenos proračunskim korisnicima - 25 osnovnih škola) u iznosu od 63.281,48 eura koji se odnosi na projekt Rinkluzija8 - Riječki model podrške učenicima s teškoćama. </w:t>
      </w:r>
    </w:p>
    <w:p w:rsidR="00CD695B" w:rsidRPr="004C4164" w:rsidRDefault="0098474D">
      <w:pPr>
        <w:jc w:val="both"/>
        <w:rPr>
          <w:lang w:val="hr-HR"/>
        </w:rPr>
      </w:pPr>
      <w:r w:rsidRPr="004C4164">
        <w:rPr>
          <w:lang w:val="hr-HR"/>
        </w:rPr>
        <w:t xml:space="preserve">Na </w:t>
      </w:r>
      <w:proofErr w:type="spellStart"/>
      <w:r w:rsidRPr="004C4164">
        <w:rPr>
          <w:lang w:val="hr-HR"/>
        </w:rPr>
        <w:t>izvanbilančnim</w:t>
      </w:r>
      <w:proofErr w:type="spellEnd"/>
      <w:r w:rsidRPr="004C4164">
        <w:rPr>
          <w:lang w:val="hr-HR"/>
        </w:rPr>
        <w:t xml:space="preserve"> zapisima, računima 99171/99653 – Potraživanja po ugovorima o dodijeljenim bespovratnim sredstvima – evidentirani su iznosi sufinanciranja za gore navedeni projekt Rinkluzija8 u ukupnom iznosu od 1.073.279,95 eura. Grad Rijeka je potpisao ugovore o sufinanciranju provedbe projekta s Ministarstvom regionalnog razvoja i fondova EU u iznosu od 748.080,00 eura i s Ministarstvom znanosti, obrazovanja i mladih u iznosu od 325.199,95 eura (preostali dio Ugovora, budući da je potpisan u 2024. godini).</w:t>
      </w:r>
    </w:p>
    <w:p w:rsidR="00CD695B" w:rsidRPr="004C4164" w:rsidRDefault="0098474D">
      <w:pPr>
        <w:jc w:val="both"/>
        <w:rPr>
          <w:lang w:val="hr-HR"/>
        </w:rPr>
      </w:pPr>
      <w:r w:rsidRPr="004C4164">
        <w:rPr>
          <w:lang w:val="hr-HR"/>
        </w:rPr>
        <w:t xml:space="preserve">Za projekt </w:t>
      </w:r>
      <w:proofErr w:type="spellStart"/>
      <w:r w:rsidRPr="004C4164">
        <w:rPr>
          <w:lang w:val="hr-HR"/>
        </w:rPr>
        <w:t>Greenpact</w:t>
      </w:r>
      <w:proofErr w:type="spellEnd"/>
      <w:r w:rsidRPr="004C4164">
        <w:rPr>
          <w:lang w:val="hr-HR"/>
        </w:rPr>
        <w:t xml:space="preserve"> - poduzetnici budućnosti i MSP za održivu Središnju Europu - EU čiji je cilj jačanje vještina malih i srednjih poduzetnika iz uslužnog sektora te njihova promjena načina razmišljanja i osposobljavanje za primjenu kružne ekonomije. Ministarstvo regionalnog razvoja i fondova EU potpisao je s Grad Rijeka Ugovor o sufinanciranju provedbe projekta u iznosu od 15.232,00 eura. </w:t>
      </w:r>
    </w:p>
    <w:p w:rsidR="00CD695B" w:rsidRPr="004C4164" w:rsidRDefault="0098474D">
      <w:pPr>
        <w:jc w:val="both"/>
        <w:rPr>
          <w:lang w:val="hr-HR"/>
        </w:rPr>
      </w:pPr>
      <w:r w:rsidRPr="004C4164">
        <w:rPr>
          <w:lang w:val="hr-HR"/>
        </w:rPr>
        <w:t>Ukupno evidentiran iznos na računima 99171/99653 za ova 3 ugovora iznosi 1.088.511,95 eura.</w:t>
      </w:r>
    </w:p>
    <w:p w:rsidR="00472483" w:rsidRDefault="00472483">
      <w:pPr>
        <w:jc w:val="both"/>
        <w:rPr>
          <w:b/>
          <w:lang w:val="hr-HR"/>
        </w:rPr>
      </w:pPr>
    </w:p>
    <w:p w:rsidR="00CD695B" w:rsidRPr="004C4164" w:rsidRDefault="0098474D">
      <w:pPr>
        <w:jc w:val="both"/>
        <w:rPr>
          <w:lang w:val="hr-HR"/>
        </w:rPr>
      </w:pPr>
      <w:r w:rsidRPr="004C4164">
        <w:rPr>
          <w:b/>
          <w:lang w:val="hr-HR"/>
        </w:rPr>
        <w:t>EU IZVJEŠTAJ PO IZVORIMA FINANCIRANJA - 510 PROGRAMI UNIJE</w:t>
      </w:r>
    </w:p>
    <w:p w:rsidR="00CD695B" w:rsidRPr="004C4164" w:rsidRDefault="0098474D">
      <w:pPr>
        <w:jc w:val="both"/>
        <w:rPr>
          <w:lang w:val="hr-HR"/>
        </w:rPr>
      </w:pPr>
      <w:r w:rsidRPr="004C4164">
        <w:rPr>
          <w:lang w:val="hr-HR"/>
        </w:rPr>
        <w:t xml:space="preserve">U 2025. godini, po izvoru financiranja 510 - PROGRAMI UNIJE evidentirani su rashodi, prihodi, zbrojevi prometa obračunatih prihoda poslovanja - promet računa 96, obveze za predujmove EU projekta i potraživanja po ugovorima - </w:t>
      </w:r>
      <w:proofErr w:type="spellStart"/>
      <w:r w:rsidRPr="004C4164">
        <w:rPr>
          <w:lang w:val="hr-HR"/>
        </w:rPr>
        <w:t>izvanbilančna</w:t>
      </w:r>
      <w:proofErr w:type="spellEnd"/>
      <w:r w:rsidRPr="004C4164">
        <w:rPr>
          <w:lang w:val="hr-HR"/>
        </w:rPr>
        <w:t xml:space="preserve"> evidencija, a odnose se na sljedeće projekte:</w:t>
      </w:r>
    </w:p>
    <w:p w:rsidR="00CD695B" w:rsidRPr="004C4164" w:rsidRDefault="0098474D">
      <w:pPr>
        <w:jc w:val="both"/>
        <w:rPr>
          <w:lang w:val="hr-HR"/>
        </w:rPr>
      </w:pPr>
      <w:r w:rsidRPr="004C4164">
        <w:rPr>
          <w:lang w:val="hr-HR"/>
        </w:rPr>
        <w:t>1. CAMPUS - unapređenje digitalnih politika</w:t>
      </w:r>
    </w:p>
    <w:p w:rsidR="00CD695B" w:rsidRPr="004C4164" w:rsidRDefault="0098474D">
      <w:pPr>
        <w:jc w:val="both"/>
        <w:rPr>
          <w:lang w:val="hr-HR"/>
        </w:rPr>
      </w:pPr>
      <w:r w:rsidRPr="004C4164">
        <w:rPr>
          <w:lang w:val="hr-HR"/>
        </w:rPr>
        <w:t>2. GOCCIA - zelene prilike za čišćenje zagađivača</w:t>
      </w:r>
    </w:p>
    <w:p w:rsidR="00CD695B" w:rsidRPr="004C4164" w:rsidRDefault="0098474D">
      <w:pPr>
        <w:jc w:val="both"/>
        <w:rPr>
          <w:lang w:val="hr-HR"/>
        </w:rPr>
      </w:pPr>
      <w:r w:rsidRPr="004C4164">
        <w:rPr>
          <w:lang w:val="hr-HR"/>
        </w:rPr>
        <w:t>3. GREENPACT - poduzetnici budućnosti i MSP za održivu Središnju Europu</w:t>
      </w:r>
    </w:p>
    <w:p w:rsidR="00CD695B" w:rsidRPr="004C4164" w:rsidRDefault="0098474D">
      <w:pPr>
        <w:jc w:val="both"/>
        <w:rPr>
          <w:lang w:val="hr-HR"/>
        </w:rPr>
      </w:pPr>
      <w:r w:rsidRPr="004C4164">
        <w:rPr>
          <w:lang w:val="hr-HR"/>
        </w:rPr>
        <w:t>4. GRAD PO MJERI MLADIH 1 i 2 - jačanje dijaloga mladih i donositelja odluka na razini Grada</w:t>
      </w:r>
    </w:p>
    <w:p w:rsidR="00CD695B" w:rsidRPr="004C4164" w:rsidRDefault="0098474D">
      <w:pPr>
        <w:jc w:val="both"/>
        <w:rPr>
          <w:lang w:val="hr-HR"/>
        </w:rPr>
      </w:pPr>
      <w:r w:rsidRPr="004C4164">
        <w:rPr>
          <w:lang w:val="hr-HR"/>
        </w:rPr>
        <w:t xml:space="preserve">5. SEPORA - sektorizacija područja Rijeka - </w:t>
      </w:r>
      <w:proofErr w:type="spellStart"/>
      <w:r w:rsidRPr="004C4164">
        <w:rPr>
          <w:lang w:val="hr-HR"/>
        </w:rPr>
        <w:t>Postojna</w:t>
      </w:r>
      <w:proofErr w:type="spellEnd"/>
      <w:r w:rsidRPr="004C4164">
        <w:rPr>
          <w:lang w:val="hr-HR"/>
        </w:rPr>
        <w:t xml:space="preserve"> - urbano traganje i spašavanje</w:t>
      </w:r>
    </w:p>
    <w:p w:rsidR="00CD695B" w:rsidRPr="004C4164" w:rsidRDefault="0098474D">
      <w:pPr>
        <w:jc w:val="both"/>
        <w:rPr>
          <w:lang w:val="hr-HR"/>
        </w:rPr>
      </w:pPr>
      <w:r w:rsidRPr="004C4164">
        <w:rPr>
          <w:lang w:val="hr-HR"/>
        </w:rPr>
        <w:t>6. ERASMUS+ – FREELAND - poticanje suradnje lokalnih uprava, partnerskih škola, komunalnih poduzeća i ustanova u kreiranju planova i projekata za urbanu regeneraciju</w:t>
      </w:r>
    </w:p>
    <w:p w:rsidR="00CD695B" w:rsidRPr="004C4164" w:rsidRDefault="0098474D">
      <w:pPr>
        <w:jc w:val="both"/>
        <w:rPr>
          <w:lang w:val="hr-HR"/>
        </w:rPr>
      </w:pPr>
      <w:r w:rsidRPr="004C4164">
        <w:rPr>
          <w:lang w:val="hr-HR"/>
        </w:rPr>
        <w:t>7. ERASMUS+ – ECOSTEAM - poticanje suradnje između gradova, komunalnih društava i srednjih škola s ciljem ekološke održivosti i borbe protiv klimatskih promjena</w:t>
      </w:r>
    </w:p>
    <w:p w:rsidR="00D1303E" w:rsidRDefault="00D1303E">
      <w:pPr>
        <w:jc w:val="both"/>
        <w:rPr>
          <w:b/>
          <w:lang w:val="hr-HR"/>
        </w:rPr>
      </w:pPr>
    </w:p>
    <w:p w:rsidR="00CD695B" w:rsidRPr="004C4164" w:rsidRDefault="0098474D">
      <w:pPr>
        <w:jc w:val="both"/>
        <w:rPr>
          <w:lang w:val="hr-HR"/>
        </w:rPr>
      </w:pPr>
      <w:r w:rsidRPr="004C4164">
        <w:rPr>
          <w:b/>
          <w:lang w:val="hr-HR"/>
        </w:rPr>
        <w:t>EU IZVJEŠTAJ PO IZVORIMA FINANCIRANJA - 561 EUROPSKI SOCIJALNI FOND PLUS</w:t>
      </w:r>
    </w:p>
    <w:p w:rsidR="00CD695B" w:rsidRPr="004C4164" w:rsidRDefault="0098474D">
      <w:pPr>
        <w:jc w:val="both"/>
        <w:rPr>
          <w:lang w:val="hr-HR"/>
        </w:rPr>
      </w:pPr>
      <w:r w:rsidRPr="004C4164">
        <w:rPr>
          <w:lang w:val="hr-HR"/>
        </w:rPr>
        <w:t xml:space="preserve">U 2025. godini po izvoru financiranja 561 - EUROPSKI SOCIJALNI FOND PLUS evidentirani su rashodi, prihodi, zbrojevi prometa obračunatih prihoda poslovanja - promet računa 96 i potraživanja po ugovorima - </w:t>
      </w:r>
      <w:proofErr w:type="spellStart"/>
      <w:r w:rsidRPr="004C4164">
        <w:rPr>
          <w:lang w:val="hr-HR"/>
        </w:rPr>
        <w:t>izvabilančna</w:t>
      </w:r>
      <w:proofErr w:type="spellEnd"/>
      <w:r w:rsidRPr="004C4164">
        <w:rPr>
          <w:lang w:val="hr-HR"/>
        </w:rPr>
        <w:t xml:space="preserve"> evidencija, a odnose se na slijedeće projekt:</w:t>
      </w:r>
    </w:p>
    <w:p w:rsidR="00CD695B" w:rsidRPr="004C4164" w:rsidRDefault="0098474D">
      <w:pPr>
        <w:jc w:val="both"/>
        <w:rPr>
          <w:lang w:val="hr-HR"/>
        </w:rPr>
      </w:pPr>
      <w:r w:rsidRPr="004C4164">
        <w:rPr>
          <w:lang w:val="hr-HR"/>
        </w:rPr>
        <w:t>1. Rinkluzija8 - Riječki model podrške učenicima s teškoćama</w:t>
      </w:r>
    </w:p>
    <w:p w:rsidR="00CD695B" w:rsidRPr="004C4164" w:rsidRDefault="0098474D">
      <w:pPr>
        <w:jc w:val="both"/>
        <w:rPr>
          <w:lang w:val="hr-HR"/>
        </w:rPr>
      </w:pPr>
      <w:r w:rsidRPr="004C4164">
        <w:rPr>
          <w:lang w:val="hr-HR"/>
        </w:rPr>
        <w:t xml:space="preserve">2. Zaželi - povećanje socijalne </w:t>
      </w:r>
      <w:proofErr w:type="spellStart"/>
      <w:r w:rsidRPr="004C4164">
        <w:rPr>
          <w:lang w:val="hr-HR"/>
        </w:rPr>
        <w:t>uključivosti</w:t>
      </w:r>
      <w:proofErr w:type="spellEnd"/>
      <w:r w:rsidRPr="004C4164">
        <w:rPr>
          <w:lang w:val="hr-HR"/>
        </w:rPr>
        <w:t xml:space="preserve"> i prevencija institucionalizacije ranjivih skupina kroz pružanje usluga potpore i podrške u svakodnevnom životu starijih osoba i osoba s invaliditetom na području Grada Rijeke. </w:t>
      </w:r>
    </w:p>
    <w:p w:rsidR="00D1303E" w:rsidRDefault="00D1303E">
      <w:pPr>
        <w:jc w:val="both"/>
        <w:rPr>
          <w:b/>
          <w:lang w:val="hr-HR"/>
        </w:rPr>
      </w:pPr>
    </w:p>
    <w:p w:rsidR="00CD695B" w:rsidRPr="004C4164" w:rsidRDefault="0098474D">
      <w:pPr>
        <w:jc w:val="both"/>
        <w:rPr>
          <w:lang w:val="hr-HR"/>
        </w:rPr>
      </w:pPr>
      <w:r w:rsidRPr="004C4164">
        <w:rPr>
          <w:b/>
          <w:lang w:val="hr-HR"/>
        </w:rPr>
        <w:t>EU IZVJEŠTAJ PO IZVORIMA FINANCIRANJA - 563 EUROPSKI FOND ZA REGIONALNI RAZVOJ</w:t>
      </w:r>
    </w:p>
    <w:p w:rsidR="00CD695B" w:rsidRPr="004C4164" w:rsidRDefault="0098474D">
      <w:pPr>
        <w:jc w:val="both"/>
        <w:rPr>
          <w:lang w:val="hr-HR"/>
        </w:rPr>
      </w:pPr>
      <w:r w:rsidRPr="004C4164">
        <w:rPr>
          <w:lang w:val="hr-HR"/>
        </w:rPr>
        <w:t>U 2025. godini, po izvoru financiranja 563 - EUROPSKI FOND ZA REGIONALNI RAZVOJ evidentirani su rashodi, prihodi, zbrojevi prometa obračunatih prihoda poslovanja - promet računa 96 koji se odnose se na projekt ITU - integrirana teritorijalna ulaganja na području Urbane aglomeracije Rijeka.</w:t>
      </w:r>
    </w:p>
    <w:p w:rsidR="00D1303E" w:rsidRDefault="00D1303E">
      <w:pPr>
        <w:jc w:val="both"/>
        <w:rPr>
          <w:b/>
          <w:lang w:val="hr-HR"/>
        </w:rPr>
      </w:pPr>
    </w:p>
    <w:p w:rsidR="00773098" w:rsidRDefault="00773098">
      <w:pPr>
        <w:jc w:val="both"/>
        <w:rPr>
          <w:b/>
          <w:lang w:val="hr-HR"/>
        </w:rPr>
      </w:pPr>
    </w:p>
    <w:p w:rsidR="00CD695B" w:rsidRPr="004C4164" w:rsidRDefault="0098474D">
      <w:pPr>
        <w:jc w:val="both"/>
        <w:rPr>
          <w:lang w:val="hr-HR"/>
        </w:rPr>
      </w:pPr>
      <w:r w:rsidRPr="004C4164">
        <w:rPr>
          <w:b/>
          <w:lang w:val="hr-HR"/>
        </w:rPr>
        <w:t>EU IZVJEŠTAJ PO IZVORIMA FINANCIRANJA - 581 MEHANIZAM ZA OPORAVAK I OTPORNOST-BESPOVRATNA SREDSTVA</w:t>
      </w:r>
    </w:p>
    <w:p w:rsidR="00CD695B" w:rsidRPr="004C4164" w:rsidRDefault="0098474D">
      <w:pPr>
        <w:jc w:val="both"/>
        <w:rPr>
          <w:lang w:val="hr-HR"/>
        </w:rPr>
      </w:pPr>
      <w:r w:rsidRPr="004C4164">
        <w:rPr>
          <w:lang w:val="hr-HR"/>
        </w:rPr>
        <w:t xml:space="preserve">U 2025. godini, po izvoru financiranja 581 - MEHANIZAM ZA OPORAVAK I OTPORNOST - BESPOVRATNA SREDSTVA evidentirani su rashodi, prihodi, zbrojevi prometa obračunatih prihoda poslovanja - promet računa 96, potraživanja za kapitalne pomoći iz državnog proračuna temeljem prijenosa EU sredstava i potraživanja po ugovorima o dodijeljenim bespovratnim sredstvima iz EU fondova - </w:t>
      </w:r>
      <w:proofErr w:type="spellStart"/>
      <w:r w:rsidRPr="004C4164">
        <w:rPr>
          <w:lang w:val="hr-HR"/>
        </w:rPr>
        <w:t>izvanbilančna</w:t>
      </w:r>
      <w:proofErr w:type="spellEnd"/>
      <w:r w:rsidRPr="004C4164">
        <w:rPr>
          <w:lang w:val="hr-HR"/>
        </w:rPr>
        <w:t xml:space="preserve"> evidencija, a odnose se na slijedeće projekte:</w:t>
      </w:r>
    </w:p>
    <w:p w:rsidR="00CD695B" w:rsidRPr="004C4164" w:rsidRDefault="0098474D">
      <w:pPr>
        <w:jc w:val="both"/>
        <w:rPr>
          <w:lang w:val="hr-HR"/>
        </w:rPr>
      </w:pPr>
      <w:r w:rsidRPr="004C4164">
        <w:rPr>
          <w:lang w:val="hr-HR"/>
        </w:rPr>
        <w:t>1. Energetska obnova osnovne škole Turnić</w:t>
      </w:r>
    </w:p>
    <w:p w:rsidR="00CD695B" w:rsidRPr="004C4164" w:rsidRDefault="0098474D">
      <w:pPr>
        <w:jc w:val="both"/>
        <w:rPr>
          <w:lang w:val="hr-HR"/>
        </w:rPr>
      </w:pPr>
      <w:r w:rsidRPr="004C4164">
        <w:rPr>
          <w:lang w:val="hr-HR"/>
        </w:rPr>
        <w:t>2. Povećanje postojećih kapaciteta predškolske ustanove PPO Galeb</w:t>
      </w:r>
    </w:p>
    <w:p w:rsidR="00CD695B" w:rsidRPr="004C4164" w:rsidRDefault="0098474D">
      <w:pPr>
        <w:jc w:val="both"/>
        <w:rPr>
          <w:lang w:val="hr-HR"/>
        </w:rPr>
      </w:pPr>
      <w:r w:rsidRPr="004C4164">
        <w:rPr>
          <w:lang w:val="hr-HR"/>
        </w:rPr>
        <w:t xml:space="preserve">3. Izgradnja novog objekta Dječji vrtić </w:t>
      </w:r>
      <w:proofErr w:type="spellStart"/>
      <w:r w:rsidRPr="004C4164">
        <w:rPr>
          <w:lang w:val="hr-HR"/>
        </w:rPr>
        <w:t>Fiume</w:t>
      </w:r>
      <w:proofErr w:type="spellEnd"/>
      <w:r w:rsidRPr="004C4164">
        <w:rPr>
          <w:lang w:val="hr-HR"/>
        </w:rPr>
        <w:t xml:space="preserve"> – </w:t>
      </w:r>
      <w:proofErr w:type="spellStart"/>
      <w:r w:rsidRPr="004C4164">
        <w:rPr>
          <w:lang w:val="hr-HR"/>
        </w:rPr>
        <w:t>Krnjevo</w:t>
      </w:r>
      <w:proofErr w:type="spellEnd"/>
    </w:p>
    <w:p w:rsidR="00CD695B" w:rsidRPr="004C4164" w:rsidRDefault="0098474D">
      <w:pPr>
        <w:jc w:val="both"/>
        <w:rPr>
          <w:lang w:val="hr-HR"/>
        </w:rPr>
      </w:pPr>
      <w:r w:rsidRPr="004C4164">
        <w:rPr>
          <w:lang w:val="hr-HR"/>
        </w:rPr>
        <w:t xml:space="preserve">4. Energetska obnova PPO </w:t>
      </w:r>
      <w:proofErr w:type="spellStart"/>
      <w:r w:rsidRPr="004C4164">
        <w:rPr>
          <w:lang w:val="hr-HR"/>
        </w:rPr>
        <w:t>Vežica</w:t>
      </w:r>
      <w:proofErr w:type="spellEnd"/>
    </w:p>
    <w:p w:rsidR="00CD695B" w:rsidRPr="004C4164" w:rsidRDefault="0098474D">
      <w:pPr>
        <w:jc w:val="both"/>
        <w:rPr>
          <w:lang w:val="hr-HR"/>
        </w:rPr>
      </w:pPr>
      <w:r w:rsidRPr="004C4164">
        <w:rPr>
          <w:lang w:val="hr-HR"/>
        </w:rPr>
        <w:t>5. Energetska obnova PPO Radost - evidencija samo na računima 99171/99653.</w:t>
      </w:r>
    </w:p>
    <w:p w:rsidR="00CD695B" w:rsidRDefault="0098474D" w:rsidP="00003337">
      <w:pPr>
        <w:jc w:val="both"/>
        <w:rPr>
          <w:lang w:val="hr-HR"/>
        </w:rPr>
      </w:pPr>
      <w:r w:rsidRPr="004C4164">
        <w:rPr>
          <w:lang w:val="hr-HR"/>
        </w:rPr>
        <w:t> </w:t>
      </w:r>
    </w:p>
    <w:p w:rsidR="00003337" w:rsidRPr="00861188" w:rsidRDefault="00003337" w:rsidP="00003337">
      <w:pPr>
        <w:spacing w:line="240" w:lineRule="auto"/>
        <w:jc w:val="both"/>
        <w:rPr>
          <w:lang w:val="hr-HR"/>
        </w:rPr>
      </w:pPr>
    </w:p>
    <w:p w:rsidR="004623D7" w:rsidRDefault="004623D7" w:rsidP="00003337">
      <w:pPr>
        <w:spacing w:after="0" w:line="240" w:lineRule="auto"/>
        <w:rPr>
          <w:noProof/>
          <w:szCs w:val="24"/>
          <w:lang w:val="hr-HR" w:eastAsia="hr-HR"/>
        </w:rPr>
      </w:pPr>
    </w:p>
    <w:p w:rsidR="00003337" w:rsidRPr="00861188" w:rsidRDefault="00003337" w:rsidP="00003337">
      <w:pPr>
        <w:spacing w:after="0" w:line="240" w:lineRule="auto"/>
        <w:rPr>
          <w:noProof/>
          <w:szCs w:val="24"/>
          <w:lang w:val="hr-HR" w:eastAsia="hr-HR"/>
        </w:rPr>
      </w:pPr>
      <w:r>
        <w:rPr>
          <w:noProof/>
          <w:szCs w:val="24"/>
          <w:lang w:val="hr-HR" w:eastAsia="hr-HR"/>
        </w:rPr>
        <w:t>U Rijeci, 16. veljače 2026</w:t>
      </w:r>
      <w:r w:rsidRPr="00861188">
        <w:rPr>
          <w:noProof/>
          <w:szCs w:val="24"/>
          <w:lang w:val="hr-HR" w:eastAsia="hr-HR"/>
        </w:rPr>
        <w:t>.</w:t>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t xml:space="preserve">           </w:t>
      </w:r>
    </w:p>
    <w:p w:rsidR="00003337" w:rsidRPr="00861188" w:rsidRDefault="00003337" w:rsidP="00003337">
      <w:pPr>
        <w:spacing w:after="0" w:line="240" w:lineRule="auto"/>
        <w:rPr>
          <w:noProof/>
          <w:szCs w:val="24"/>
          <w:lang w:val="hr-HR" w:eastAsia="hr-HR"/>
        </w:rPr>
      </w:pP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p>
    <w:p w:rsidR="00773098" w:rsidRDefault="00773098" w:rsidP="00003337">
      <w:pPr>
        <w:spacing w:after="0" w:line="240" w:lineRule="auto"/>
        <w:rPr>
          <w:noProof/>
          <w:sz w:val="22"/>
          <w:szCs w:val="22"/>
          <w:lang w:val="hr-HR" w:eastAsia="hr-HR"/>
        </w:rPr>
      </w:pPr>
    </w:p>
    <w:p w:rsidR="00003337" w:rsidRPr="00861188" w:rsidRDefault="00003337" w:rsidP="00003337">
      <w:pPr>
        <w:spacing w:after="0" w:line="240" w:lineRule="auto"/>
        <w:rPr>
          <w:b/>
          <w:noProof/>
          <w:szCs w:val="24"/>
          <w:lang w:val="hr-HR" w:eastAsia="hr-HR"/>
        </w:rPr>
      </w:pPr>
      <w:r w:rsidRPr="00773098">
        <w:rPr>
          <w:noProof/>
          <w:sz w:val="22"/>
          <w:szCs w:val="22"/>
          <w:lang w:val="hr-HR" w:eastAsia="hr-HR"/>
        </w:rPr>
        <w:t>Bilješke sastavile:</w:t>
      </w:r>
      <w:r w:rsidRPr="00861188">
        <w:rPr>
          <w:noProof/>
          <w:szCs w:val="24"/>
          <w:lang w:val="hr-HR" w:eastAsia="hr-HR"/>
        </w:rPr>
        <w:tab/>
      </w:r>
      <w:r w:rsidRPr="00861188">
        <w:rPr>
          <w:noProof/>
          <w:szCs w:val="24"/>
          <w:lang w:val="hr-HR" w:eastAsia="hr-HR"/>
        </w:rPr>
        <w:tab/>
      </w:r>
      <w:r w:rsidRPr="00861188">
        <w:rPr>
          <w:b/>
          <w:noProof/>
          <w:szCs w:val="24"/>
          <w:lang w:val="hr-HR" w:eastAsia="hr-HR"/>
        </w:rPr>
        <w:t xml:space="preserve"> </w:t>
      </w:r>
      <w:r w:rsidRPr="00861188">
        <w:rPr>
          <w:b/>
          <w:noProof/>
          <w:szCs w:val="24"/>
          <w:lang w:val="hr-HR" w:eastAsia="hr-HR"/>
        </w:rPr>
        <w:tab/>
      </w:r>
      <w:r w:rsidRPr="00861188">
        <w:rPr>
          <w:b/>
          <w:noProof/>
          <w:szCs w:val="24"/>
          <w:lang w:val="hr-HR" w:eastAsia="hr-HR"/>
        </w:rPr>
        <w:tab/>
      </w:r>
      <w:r w:rsidRPr="00861188">
        <w:rPr>
          <w:b/>
          <w:noProof/>
          <w:szCs w:val="24"/>
          <w:lang w:val="hr-HR" w:eastAsia="hr-HR"/>
        </w:rPr>
        <w:tab/>
      </w:r>
      <w:r w:rsidRPr="00861188">
        <w:rPr>
          <w:b/>
          <w:noProof/>
          <w:szCs w:val="24"/>
          <w:lang w:val="hr-HR" w:eastAsia="hr-HR"/>
        </w:rPr>
        <w:tab/>
      </w:r>
      <w:r w:rsidRPr="00861188">
        <w:rPr>
          <w:b/>
          <w:noProof/>
          <w:szCs w:val="24"/>
          <w:lang w:val="hr-HR" w:eastAsia="hr-HR"/>
        </w:rPr>
        <w:tab/>
      </w:r>
      <w:r w:rsidRPr="00861188">
        <w:rPr>
          <w:b/>
          <w:noProof/>
          <w:szCs w:val="24"/>
          <w:lang w:val="hr-HR" w:eastAsia="hr-HR"/>
        </w:rPr>
        <w:tab/>
        <w:t xml:space="preserve">Gradonačelnica </w:t>
      </w:r>
      <w:r w:rsidRPr="00861188">
        <w:rPr>
          <w:b/>
          <w:noProof/>
          <w:szCs w:val="24"/>
          <w:lang w:val="hr-HR" w:eastAsia="hr-HR"/>
        </w:rPr>
        <w:tab/>
      </w:r>
    </w:p>
    <w:p w:rsidR="00003337" w:rsidRPr="00861188" w:rsidRDefault="00003337" w:rsidP="00003337">
      <w:pPr>
        <w:spacing w:after="0" w:line="240" w:lineRule="auto"/>
        <w:rPr>
          <w:noProof/>
          <w:szCs w:val="24"/>
          <w:lang w:val="hr-HR" w:eastAsia="hr-HR"/>
        </w:rPr>
      </w:pPr>
    </w:p>
    <w:p w:rsidR="00003337" w:rsidRPr="00861188" w:rsidRDefault="00003337" w:rsidP="00003337">
      <w:pPr>
        <w:spacing w:after="0" w:line="240" w:lineRule="auto"/>
        <w:rPr>
          <w:b/>
          <w:noProof/>
          <w:szCs w:val="24"/>
          <w:lang w:val="hr-HR" w:eastAsia="hr-HR"/>
        </w:rPr>
      </w:pPr>
      <w:r w:rsidRPr="00773098">
        <w:rPr>
          <w:noProof/>
          <w:sz w:val="22"/>
          <w:szCs w:val="22"/>
          <w:lang w:val="hr-HR" w:eastAsia="hr-HR"/>
        </w:rPr>
        <w:t>Vanda Sesar i</w:t>
      </w:r>
      <w:r w:rsidRPr="00773098">
        <w:rPr>
          <w:noProof/>
          <w:sz w:val="22"/>
          <w:szCs w:val="22"/>
          <w:lang w:val="hr-HR" w:eastAsia="hr-HR"/>
        </w:rPr>
        <w:tab/>
      </w:r>
      <w:r w:rsidRPr="00861188">
        <w:rPr>
          <w:noProof/>
          <w:szCs w:val="24"/>
          <w:lang w:val="hr-HR" w:eastAsia="hr-HR"/>
        </w:rPr>
        <w:tab/>
      </w:r>
      <w:r w:rsidRPr="00861188">
        <w:rPr>
          <w:b/>
          <w:noProof/>
          <w:szCs w:val="24"/>
          <w:lang w:val="hr-HR" w:eastAsia="hr-HR"/>
        </w:rPr>
        <w:tab/>
      </w:r>
      <w:r w:rsidRPr="00861188">
        <w:rPr>
          <w:b/>
          <w:noProof/>
          <w:szCs w:val="24"/>
          <w:lang w:val="hr-HR" w:eastAsia="hr-HR"/>
        </w:rPr>
        <w:tab/>
      </w:r>
      <w:r w:rsidRPr="00861188">
        <w:rPr>
          <w:b/>
          <w:noProof/>
          <w:szCs w:val="24"/>
          <w:lang w:val="hr-HR" w:eastAsia="hr-HR"/>
        </w:rPr>
        <w:tab/>
        <w:t>M.P.</w:t>
      </w:r>
    </w:p>
    <w:p w:rsidR="00003337" w:rsidRPr="00861188" w:rsidRDefault="00003337" w:rsidP="00003337">
      <w:pPr>
        <w:spacing w:after="0" w:line="240" w:lineRule="auto"/>
        <w:rPr>
          <w:noProof/>
          <w:szCs w:val="24"/>
          <w:lang w:val="hr-HR" w:eastAsia="hr-HR"/>
        </w:rPr>
      </w:pPr>
      <w:r w:rsidRPr="00773098">
        <w:rPr>
          <w:noProof/>
          <w:sz w:val="22"/>
          <w:szCs w:val="22"/>
          <w:lang w:val="hr-HR" w:eastAsia="hr-HR"/>
        </w:rPr>
        <w:t>Ljiljana Kukuljan</w:t>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r>
      <w:r w:rsidRPr="00861188">
        <w:rPr>
          <w:noProof/>
          <w:szCs w:val="24"/>
          <w:lang w:val="hr-HR" w:eastAsia="hr-HR"/>
        </w:rPr>
        <w:tab/>
        <w:t xml:space="preserve">    </w:t>
      </w:r>
      <w:r w:rsidRPr="00861188">
        <w:rPr>
          <w:b/>
          <w:noProof/>
          <w:szCs w:val="24"/>
          <w:lang w:val="hr-HR" w:eastAsia="hr-HR"/>
        </w:rPr>
        <w:t>Iva Rinčić</w:t>
      </w:r>
    </w:p>
    <w:p w:rsidR="00003337" w:rsidRDefault="00003337" w:rsidP="00003337">
      <w:pPr>
        <w:spacing w:line="240" w:lineRule="auto"/>
        <w:jc w:val="both"/>
      </w:pPr>
    </w:p>
    <w:p w:rsidR="00003337" w:rsidRPr="004C4164" w:rsidRDefault="00003337" w:rsidP="00003337">
      <w:pPr>
        <w:jc w:val="both"/>
        <w:rPr>
          <w:lang w:val="hr-HR"/>
        </w:rPr>
      </w:pPr>
    </w:p>
    <w:sectPr w:rsidR="00003337" w:rsidRPr="004C416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5B"/>
    <w:rsid w:val="00003337"/>
    <w:rsid w:val="004623D7"/>
    <w:rsid w:val="00472483"/>
    <w:rsid w:val="004C4164"/>
    <w:rsid w:val="004D5AA7"/>
    <w:rsid w:val="00773098"/>
    <w:rsid w:val="0098474D"/>
    <w:rsid w:val="00AD5E82"/>
    <w:rsid w:val="00CD695B"/>
    <w:rsid w:val="00D1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65AFE-8296-4F68-A164-1727EFF6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11724</Words>
  <Characters>66831</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Kukuljan Ljiljana</dc:creator>
  <cp:lastModifiedBy>Sesar Vanda</cp:lastModifiedBy>
  <cp:revision>5</cp:revision>
  <dcterms:created xsi:type="dcterms:W3CDTF">2026-02-16T07:51:00Z</dcterms:created>
  <dcterms:modified xsi:type="dcterms:W3CDTF">2026-02-16T08:15:00Z</dcterms:modified>
</cp:coreProperties>
</file>