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000" w:firstRow="0" w:lastRow="0" w:firstColumn="0" w:lastColumn="0" w:noHBand="0" w:noVBand="0"/>
      </w:tblPr>
      <w:tblGrid>
        <w:gridCol w:w="2254"/>
        <w:gridCol w:w="6746"/>
      </w:tblGrid>
      <w:tr w:rsidR="00FF43F7" w:rsidRPr="001B572C">
        <w:trPr>
          <w:tblCellSpacing w:w="60" w:type="dxa"/>
        </w:trPr>
        <w:tc>
          <w:tcPr>
            <w:tcW w:w="1200" w:type="pct"/>
            <w:shd w:val="clear" w:color="auto" w:fill="E7F0F9"/>
          </w:tcPr>
          <w:p w:rsidR="00FF43F7" w:rsidRPr="001B572C" w:rsidRDefault="00117A29">
            <w:pPr>
              <w:spacing w:after="0" w:line="240" w:lineRule="auto"/>
              <w:rPr>
                <w:noProof/>
                <w:lang w:val="hr-HR"/>
              </w:rPr>
            </w:pPr>
            <w:r w:rsidRPr="001B572C">
              <w:rPr>
                <w:b/>
                <w:noProof/>
                <w:lang w:val="hr-HR"/>
              </w:rPr>
              <w:t>RKP broj</w:t>
            </w:r>
          </w:p>
        </w:tc>
        <w:tc>
          <w:tcPr>
            <w:tcW w:w="0" w:type="auto"/>
            <w:shd w:val="clear" w:color="auto" w:fill="E7F0F9"/>
          </w:tcPr>
          <w:p w:rsidR="00FF43F7" w:rsidRPr="001B572C" w:rsidRDefault="00117A29">
            <w:pPr>
              <w:spacing w:after="0" w:line="240" w:lineRule="auto"/>
              <w:rPr>
                <w:noProof/>
                <w:lang w:val="hr-HR"/>
              </w:rPr>
            </w:pPr>
            <w:r w:rsidRPr="001B572C">
              <w:rPr>
                <w:noProof/>
                <w:lang w:val="hr-HR"/>
              </w:rPr>
              <w:t>31059</w:t>
            </w:r>
          </w:p>
        </w:tc>
      </w:tr>
      <w:tr w:rsidR="00FF43F7" w:rsidRPr="001B572C">
        <w:trPr>
          <w:tblCellSpacing w:w="60" w:type="dxa"/>
        </w:trPr>
        <w:tc>
          <w:tcPr>
            <w:tcW w:w="1200" w:type="pct"/>
            <w:shd w:val="clear" w:color="auto" w:fill="E7F0F9"/>
          </w:tcPr>
          <w:p w:rsidR="00FF43F7" w:rsidRPr="001B572C" w:rsidRDefault="00117A29">
            <w:pPr>
              <w:spacing w:after="0" w:line="240" w:lineRule="auto"/>
              <w:rPr>
                <w:noProof/>
                <w:lang w:val="hr-HR"/>
              </w:rPr>
            </w:pPr>
            <w:r w:rsidRPr="001B572C">
              <w:rPr>
                <w:b/>
                <w:noProof/>
                <w:lang w:val="hr-HR"/>
              </w:rPr>
              <w:t>Naziv obveznika</w:t>
            </w:r>
          </w:p>
        </w:tc>
        <w:tc>
          <w:tcPr>
            <w:tcW w:w="0" w:type="auto"/>
            <w:shd w:val="clear" w:color="auto" w:fill="E7F0F9"/>
          </w:tcPr>
          <w:p w:rsidR="00FF43F7" w:rsidRPr="001B572C" w:rsidRDefault="00117A29">
            <w:pPr>
              <w:spacing w:after="0" w:line="240" w:lineRule="auto"/>
              <w:rPr>
                <w:noProof/>
                <w:lang w:val="hr-HR"/>
              </w:rPr>
            </w:pPr>
            <w:r w:rsidRPr="001B572C">
              <w:rPr>
                <w:noProof/>
                <w:lang w:val="hr-HR"/>
              </w:rPr>
              <w:t>GRAD RIJEKA</w:t>
            </w:r>
          </w:p>
        </w:tc>
      </w:tr>
      <w:tr w:rsidR="00FF43F7" w:rsidRPr="001B572C">
        <w:trPr>
          <w:tblCellSpacing w:w="60" w:type="dxa"/>
        </w:trPr>
        <w:tc>
          <w:tcPr>
            <w:tcW w:w="1200" w:type="pct"/>
            <w:shd w:val="clear" w:color="auto" w:fill="E7F0F9"/>
          </w:tcPr>
          <w:p w:rsidR="00FF43F7" w:rsidRPr="001B572C" w:rsidRDefault="00117A29">
            <w:pPr>
              <w:spacing w:after="0" w:line="240" w:lineRule="auto"/>
              <w:rPr>
                <w:noProof/>
                <w:lang w:val="hr-HR"/>
              </w:rPr>
            </w:pPr>
            <w:r w:rsidRPr="001B572C">
              <w:rPr>
                <w:b/>
                <w:noProof/>
                <w:lang w:val="hr-HR"/>
              </w:rPr>
              <w:t>Razina</w:t>
            </w:r>
          </w:p>
        </w:tc>
        <w:tc>
          <w:tcPr>
            <w:tcW w:w="0" w:type="auto"/>
            <w:shd w:val="clear" w:color="auto" w:fill="E7F0F9"/>
          </w:tcPr>
          <w:p w:rsidR="00FF43F7" w:rsidRPr="001B572C" w:rsidRDefault="00117A29">
            <w:pPr>
              <w:spacing w:after="0" w:line="240" w:lineRule="auto"/>
              <w:rPr>
                <w:noProof/>
                <w:lang w:val="hr-HR"/>
              </w:rPr>
            </w:pPr>
            <w:r w:rsidRPr="001B572C">
              <w:rPr>
                <w:noProof/>
                <w:lang w:val="hr-HR"/>
              </w:rPr>
              <w:t>23</w:t>
            </w:r>
          </w:p>
        </w:tc>
      </w:tr>
    </w:tbl>
    <w:p w:rsidR="00FF43F7" w:rsidRDefault="00117A29">
      <w:pPr>
        <w:rPr>
          <w:noProof/>
          <w:lang w:val="hr-HR"/>
        </w:rPr>
      </w:pPr>
      <w:bookmarkStart w:id="0" w:name="_GoBack"/>
      <w:bookmarkEnd w:id="0"/>
      <w:r w:rsidRPr="001B572C">
        <w:rPr>
          <w:noProof/>
          <w:lang w:val="hr-HR"/>
        </w:rPr>
        <w:br/>
      </w:r>
    </w:p>
    <w:p w:rsidR="001914E5" w:rsidRDefault="001914E5">
      <w:pPr>
        <w:rPr>
          <w:noProof/>
          <w:lang w:val="hr-HR"/>
        </w:rPr>
      </w:pPr>
    </w:p>
    <w:p w:rsidR="00A407C0" w:rsidRPr="001B572C" w:rsidRDefault="00A407C0">
      <w:pPr>
        <w:rPr>
          <w:noProof/>
          <w:lang w:val="hr-HR"/>
        </w:rPr>
      </w:pPr>
    </w:p>
    <w:p w:rsidR="00FF43F7" w:rsidRPr="001B572C" w:rsidRDefault="00117A29">
      <w:pPr>
        <w:spacing w:line="240" w:lineRule="auto"/>
        <w:jc w:val="center"/>
        <w:rPr>
          <w:noProof/>
          <w:lang w:val="hr-HR"/>
        </w:rPr>
      </w:pPr>
      <w:r w:rsidRPr="001B572C">
        <w:rPr>
          <w:b/>
          <w:noProof/>
          <w:sz w:val="28"/>
          <w:lang w:val="hr-HR"/>
        </w:rPr>
        <w:t>BILJEŠKE UZ FINANCIJSKE IZVJEŠTAJE</w:t>
      </w:r>
    </w:p>
    <w:p w:rsidR="00FF43F7" w:rsidRPr="001B572C" w:rsidRDefault="00117A29">
      <w:pPr>
        <w:spacing w:line="240" w:lineRule="auto"/>
        <w:jc w:val="center"/>
        <w:rPr>
          <w:noProof/>
          <w:lang w:val="hr-HR"/>
        </w:rPr>
      </w:pPr>
      <w:r w:rsidRPr="001B572C">
        <w:rPr>
          <w:b/>
          <w:noProof/>
          <w:sz w:val="28"/>
          <w:lang w:val="hr-HR"/>
        </w:rPr>
        <w:t>ZA RAZDOBLJE</w:t>
      </w:r>
    </w:p>
    <w:p w:rsidR="00FF43F7" w:rsidRPr="001B572C" w:rsidRDefault="00117A29">
      <w:pPr>
        <w:spacing w:line="240" w:lineRule="auto"/>
        <w:jc w:val="center"/>
        <w:rPr>
          <w:noProof/>
          <w:lang w:val="hr-HR"/>
        </w:rPr>
      </w:pPr>
      <w:r w:rsidRPr="001B572C">
        <w:rPr>
          <w:b/>
          <w:noProof/>
          <w:sz w:val="28"/>
          <w:lang w:val="hr-HR"/>
        </w:rPr>
        <w:t>I - XII 2025.</w:t>
      </w:r>
    </w:p>
    <w:p w:rsidR="00A407C0" w:rsidRPr="001B572C" w:rsidRDefault="00A407C0">
      <w:pPr>
        <w:rPr>
          <w:noProof/>
          <w:lang w:val="hr-HR"/>
        </w:rPr>
      </w:pPr>
    </w:p>
    <w:p w:rsidR="00A407C0" w:rsidRPr="00A407C0" w:rsidRDefault="00117A29">
      <w:pPr>
        <w:keepNext/>
        <w:spacing w:line="240" w:lineRule="auto"/>
        <w:jc w:val="center"/>
        <w:rPr>
          <w:b/>
          <w:noProof/>
          <w:sz w:val="28"/>
          <w:lang w:val="hr-HR"/>
        </w:rPr>
      </w:pPr>
      <w:r w:rsidRPr="001B572C">
        <w:rPr>
          <w:b/>
          <w:noProof/>
          <w:sz w:val="28"/>
          <w:lang w:val="hr-HR"/>
        </w:rPr>
        <w:t>Izvještaj o prihodima i rashodima, primicima i izdacima</w:t>
      </w:r>
    </w:p>
    <w:p w:rsidR="00FF43F7" w:rsidRPr="001B572C" w:rsidRDefault="00117A29">
      <w:pPr>
        <w:keepNext/>
        <w:spacing w:line="240" w:lineRule="auto"/>
        <w:jc w:val="center"/>
        <w:rPr>
          <w:noProof/>
          <w:lang w:val="hr-HR"/>
        </w:rPr>
      </w:pPr>
      <w:r w:rsidRPr="001B572C">
        <w:rPr>
          <w:noProof/>
          <w:sz w:val="28"/>
          <w:lang w:val="hr-HR"/>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F43F7" w:rsidRPr="001B572C">
        <w:trPr>
          <w:cantSplit/>
        </w:trPr>
        <w:tc>
          <w:tcPr>
            <w:tcW w:w="70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Račun iz rač. plana</w:t>
            </w:r>
          </w:p>
        </w:tc>
        <w:tc>
          <w:tcPr>
            <w:tcW w:w="318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Opis stavke</w:t>
            </w:r>
          </w:p>
        </w:tc>
        <w:tc>
          <w:tcPr>
            <w:tcW w:w="70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Šifra</w:t>
            </w:r>
          </w:p>
        </w:tc>
        <w:tc>
          <w:tcPr>
            <w:tcW w:w="186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Ostvareno u izvještajnom razdoblju prethodne godine</w:t>
            </w:r>
          </w:p>
        </w:tc>
        <w:tc>
          <w:tcPr>
            <w:tcW w:w="186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Ostvareno u izvještajnom razdoblju tekuće godine</w:t>
            </w:r>
          </w:p>
        </w:tc>
        <w:tc>
          <w:tcPr>
            <w:tcW w:w="70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Indeks (%)</w:t>
            </w:r>
          </w:p>
        </w:tc>
      </w:tr>
      <w:tr w:rsidR="00FF43F7" w:rsidRPr="001B572C">
        <w:trPr>
          <w:cantSplit/>
          <w:trHeight w:val="560"/>
        </w:trPr>
        <w:tc>
          <w:tcPr>
            <w:tcW w:w="700" w:type="dxa"/>
            <w:tcMar>
              <w:top w:w="0" w:type="dxa"/>
              <w:bottom w:w="0" w:type="dxa"/>
            </w:tcMar>
            <w:vAlign w:val="center"/>
          </w:tcPr>
          <w:p w:rsidR="00FF43F7" w:rsidRPr="001B572C" w:rsidRDefault="00117A29">
            <w:pPr>
              <w:keepNext/>
              <w:keepLines/>
              <w:spacing w:after="0" w:line="240" w:lineRule="auto"/>
              <w:rPr>
                <w:noProof/>
                <w:lang w:val="hr-HR"/>
              </w:rPr>
            </w:pPr>
            <w:r w:rsidRPr="001B572C">
              <w:rPr>
                <w:noProof/>
                <w:sz w:val="18"/>
                <w:lang w:val="hr-HR"/>
              </w:rPr>
              <w:t>6</w:t>
            </w:r>
          </w:p>
        </w:tc>
        <w:tc>
          <w:tcPr>
            <w:tcW w:w="3180" w:type="dxa"/>
            <w:tcMar>
              <w:top w:w="0" w:type="dxa"/>
              <w:bottom w:w="0" w:type="dxa"/>
            </w:tcMar>
            <w:vAlign w:val="center"/>
          </w:tcPr>
          <w:p w:rsidR="00FF43F7" w:rsidRPr="001B572C" w:rsidRDefault="00117A29">
            <w:pPr>
              <w:keepNext/>
              <w:keepLines/>
              <w:spacing w:after="0" w:line="240" w:lineRule="auto"/>
              <w:rPr>
                <w:noProof/>
                <w:lang w:val="hr-HR"/>
              </w:rPr>
            </w:pPr>
            <w:r w:rsidRPr="001B572C">
              <w:rPr>
                <w:noProof/>
                <w:sz w:val="18"/>
                <w:lang w:val="hr-HR"/>
              </w:rPr>
              <w:t>PRIHODI POSLOVANJA (šifre 61+62+63+64+65+66+67+68)</w:t>
            </w:r>
          </w:p>
        </w:tc>
        <w:tc>
          <w:tcPr>
            <w:tcW w:w="700" w:type="dxa"/>
            <w:tcMar>
              <w:top w:w="0" w:type="dxa"/>
              <w:bottom w:w="0" w:type="dxa"/>
            </w:tcMar>
            <w:vAlign w:val="center"/>
          </w:tcPr>
          <w:p w:rsidR="00FF43F7" w:rsidRPr="001B572C" w:rsidRDefault="00117A29">
            <w:pPr>
              <w:keepNext/>
              <w:keepLines/>
              <w:spacing w:after="0" w:line="240" w:lineRule="auto"/>
              <w:rPr>
                <w:noProof/>
                <w:lang w:val="hr-HR"/>
              </w:rPr>
            </w:pPr>
            <w:r w:rsidRPr="001B572C">
              <w:rPr>
                <w:noProof/>
                <w:sz w:val="18"/>
                <w:lang w:val="hr-HR"/>
              </w:rPr>
              <w:t>6</w:t>
            </w:r>
          </w:p>
        </w:tc>
        <w:tc>
          <w:tcPr>
            <w:tcW w:w="1860" w:type="dxa"/>
            <w:tcMar>
              <w:top w:w="0" w:type="dxa"/>
              <w:bottom w:w="0" w:type="dxa"/>
            </w:tcMar>
            <w:vAlign w:val="center"/>
          </w:tcPr>
          <w:p w:rsidR="00FF43F7" w:rsidRPr="001B572C" w:rsidRDefault="00117A29">
            <w:pPr>
              <w:keepNext/>
              <w:keepLines/>
              <w:spacing w:after="0" w:line="240" w:lineRule="auto"/>
              <w:jc w:val="right"/>
              <w:rPr>
                <w:noProof/>
                <w:lang w:val="hr-HR"/>
              </w:rPr>
            </w:pPr>
            <w:r w:rsidRPr="001B572C">
              <w:rPr>
                <w:noProof/>
                <w:sz w:val="18"/>
                <w:lang w:val="hr-HR"/>
              </w:rPr>
              <w:t>185.984.881,02</w:t>
            </w:r>
          </w:p>
        </w:tc>
        <w:tc>
          <w:tcPr>
            <w:tcW w:w="1860" w:type="dxa"/>
            <w:tcMar>
              <w:top w:w="0" w:type="dxa"/>
              <w:bottom w:w="0" w:type="dxa"/>
            </w:tcMar>
            <w:vAlign w:val="center"/>
          </w:tcPr>
          <w:p w:rsidR="00FF43F7" w:rsidRPr="001B572C" w:rsidRDefault="00117A29">
            <w:pPr>
              <w:keepNext/>
              <w:keepLines/>
              <w:spacing w:after="0" w:line="240" w:lineRule="auto"/>
              <w:jc w:val="right"/>
              <w:rPr>
                <w:noProof/>
                <w:lang w:val="hr-HR"/>
              </w:rPr>
            </w:pPr>
            <w:r w:rsidRPr="001B572C">
              <w:rPr>
                <w:noProof/>
                <w:sz w:val="18"/>
                <w:lang w:val="hr-HR"/>
              </w:rPr>
              <w:t>199.730.306,06</w:t>
            </w:r>
          </w:p>
        </w:tc>
        <w:tc>
          <w:tcPr>
            <w:tcW w:w="700" w:type="dxa"/>
            <w:tcMar>
              <w:top w:w="0" w:type="dxa"/>
              <w:bottom w:w="0" w:type="dxa"/>
            </w:tcMar>
            <w:vAlign w:val="center"/>
          </w:tcPr>
          <w:p w:rsidR="00FF43F7" w:rsidRPr="001B572C" w:rsidRDefault="00117A29">
            <w:pPr>
              <w:keepNext/>
              <w:keepLines/>
              <w:spacing w:after="0" w:line="240" w:lineRule="auto"/>
              <w:jc w:val="right"/>
              <w:rPr>
                <w:noProof/>
                <w:lang w:val="hr-HR"/>
              </w:rPr>
            </w:pPr>
            <w:r w:rsidRPr="001B572C">
              <w:rPr>
                <w:noProof/>
                <w:sz w:val="18"/>
                <w:lang w:val="hr-HR"/>
              </w:rPr>
              <w:t>107,4</w:t>
            </w:r>
          </w:p>
        </w:tc>
      </w:tr>
      <w:tr w:rsidR="00FF43F7" w:rsidRPr="001B572C">
        <w:trPr>
          <w:cantSplit/>
          <w:trHeight w:val="560"/>
        </w:trPr>
        <w:tc>
          <w:tcPr>
            <w:tcW w:w="700" w:type="dxa"/>
            <w:tcMar>
              <w:top w:w="0" w:type="dxa"/>
              <w:bottom w:w="0" w:type="dxa"/>
            </w:tcMar>
            <w:vAlign w:val="center"/>
          </w:tcPr>
          <w:p w:rsidR="00FF43F7" w:rsidRPr="001B572C" w:rsidRDefault="00117A29">
            <w:pPr>
              <w:keepNext/>
              <w:keepLines/>
              <w:spacing w:after="0" w:line="240" w:lineRule="auto"/>
              <w:rPr>
                <w:noProof/>
                <w:lang w:val="hr-HR"/>
              </w:rPr>
            </w:pPr>
            <w:r w:rsidRPr="001B572C">
              <w:rPr>
                <w:noProof/>
                <w:sz w:val="18"/>
                <w:lang w:val="hr-HR"/>
              </w:rPr>
              <w:t>3</w:t>
            </w:r>
          </w:p>
        </w:tc>
        <w:tc>
          <w:tcPr>
            <w:tcW w:w="3180" w:type="dxa"/>
            <w:tcMar>
              <w:top w:w="0" w:type="dxa"/>
              <w:bottom w:w="0" w:type="dxa"/>
            </w:tcMar>
            <w:vAlign w:val="center"/>
          </w:tcPr>
          <w:p w:rsidR="00FF43F7" w:rsidRPr="001B572C" w:rsidRDefault="00117A29">
            <w:pPr>
              <w:keepNext/>
              <w:keepLines/>
              <w:spacing w:after="0" w:line="240" w:lineRule="auto"/>
              <w:rPr>
                <w:noProof/>
                <w:lang w:val="hr-HR"/>
              </w:rPr>
            </w:pPr>
            <w:r w:rsidRPr="001B572C">
              <w:rPr>
                <w:noProof/>
                <w:sz w:val="18"/>
                <w:lang w:val="hr-HR"/>
              </w:rPr>
              <w:t>RASHODI POSLOVANJA (šifre 31+32+34+35+36+37+38)</w:t>
            </w:r>
          </w:p>
        </w:tc>
        <w:tc>
          <w:tcPr>
            <w:tcW w:w="700" w:type="dxa"/>
            <w:tcMar>
              <w:top w:w="0" w:type="dxa"/>
              <w:bottom w:w="0" w:type="dxa"/>
            </w:tcMar>
            <w:vAlign w:val="center"/>
          </w:tcPr>
          <w:p w:rsidR="00FF43F7" w:rsidRPr="001B572C" w:rsidRDefault="00117A29">
            <w:pPr>
              <w:keepNext/>
              <w:keepLines/>
              <w:spacing w:after="0" w:line="240" w:lineRule="auto"/>
              <w:rPr>
                <w:noProof/>
                <w:lang w:val="hr-HR"/>
              </w:rPr>
            </w:pPr>
            <w:r w:rsidRPr="001B572C">
              <w:rPr>
                <w:noProof/>
                <w:sz w:val="18"/>
                <w:lang w:val="hr-HR"/>
              </w:rPr>
              <w:t>3</w:t>
            </w:r>
          </w:p>
        </w:tc>
        <w:tc>
          <w:tcPr>
            <w:tcW w:w="1860" w:type="dxa"/>
            <w:tcMar>
              <w:top w:w="0" w:type="dxa"/>
              <w:bottom w:w="0" w:type="dxa"/>
            </w:tcMar>
            <w:vAlign w:val="center"/>
          </w:tcPr>
          <w:p w:rsidR="00FF43F7" w:rsidRPr="001B572C" w:rsidRDefault="00117A29">
            <w:pPr>
              <w:keepNext/>
              <w:keepLines/>
              <w:spacing w:after="0" w:line="240" w:lineRule="auto"/>
              <w:jc w:val="right"/>
              <w:rPr>
                <w:noProof/>
                <w:lang w:val="hr-HR"/>
              </w:rPr>
            </w:pPr>
            <w:r w:rsidRPr="001B572C">
              <w:rPr>
                <w:noProof/>
                <w:sz w:val="18"/>
                <w:lang w:val="hr-HR"/>
              </w:rPr>
              <w:t>163.669.394,55</w:t>
            </w:r>
          </w:p>
        </w:tc>
        <w:tc>
          <w:tcPr>
            <w:tcW w:w="1860" w:type="dxa"/>
            <w:tcMar>
              <w:top w:w="0" w:type="dxa"/>
              <w:bottom w:w="0" w:type="dxa"/>
            </w:tcMar>
            <w:vAlign w:val="center"/>
          </w:tcPr>
          <w:p w:rsidR="00FF43F7" w:rsidRPr="001B572C" w:rsidRDefault="00117A29">
            <w:pPr>
              <w:keepNext/>
              <w:keepLines/>
              <w:spacing w:after="0" w:line="240" w:lineRule="auto"/>
              <w:jc w:val="right"/>
              <w:rPr>
                <w:noProof/>
                <w:lang w:val="hr-HR"/>
              </w:rPr>
            </w:pPr>
            <w:r w:rsidRPr="001B572C">
              <w:rPr>
                <w:noProof/>
                <w:sz w:val="18"/>
                <w:lang w:val="hr-HR"/>
              </w:rPr>
              <w:t>188.812.702,78</w:t>
            </w:r>
          </w:p>
        </w:tc>
        <w:tc>
          <w:tcPr>
            <w:tcW w:w="700" w:type="dxa"/>
            <w:tcMar>
              <w:top w:w="0" w:type="dxa"/>
              <w:bottom w:w="0" w:type="dxa"/>
            </w:tcMar>
            <w:vAlign w:val="center"/>
          </w:tcPr>
          <w:p w:rsidR="00FF43F7" w:rsidRPr="001B572C" w:rsidRDefault="00117A29">
            <w:pPr>
              <w:keepNext/>
              <w:keepLines/>
              <w:spacing w:after="0" w:line="240" w:lineRule="auto"/>
              <w:jc w:val="right"/>
              <w:rPr>
                <w:noProof/>
                <w:lang w:val="hr-HR"/>
              </w:rPr>
            </w:pPr>
            <w:r w:rsidRPr="001B572C">
              <w:rPr>
                <w:noProof/>
                <w:sz w:val="18"/>
                <w:lang w:val="hr-HR"/>
              </w:rPr>
              <w:t>115,4</w:t>
            </w:r>
          </w:p>
        </w:tc>
      </w:tr>
      <w:tr w:rsidR="00FF43F7" w:rsidRPr="001B572C">
        <w:trPr>
          <w:cantSplit/>
          <w:trHeight w:val="560"/>
        </w:trPr>
        <w:tc>
          <w:tcPr>
            <w:tcW w:w="700" w:type="dxa"/>
            <w:tcMar>
              <w:top w:w="0" w:type="dxa"/>
              <w:bottom w:w="0" w:type="dxa"/>
            </w:tcMar>
            <w:vAlign w:val="center"/>
          </w:tcPr>
          <w:p w:rsidR="00FF43F7" w:rsidRPr="001B572C" w:rsidRDefault="00FF43F7">
            <w:pPr>
              <w:keepNext/>
              <w:keepLines/>
              <w:spacing w:after="0" w:line="240" w:lineRule="auto"/>
              <w:rPr>
                <w:noProof/>
                <w:lang w:val="hr-HR"/>
              </w:rPr>
            </w:pPr>
          </w:p>
        </w:tc>
        <w:tc>
          <w:tcPr>
            <w:tcW w:w="3180" w:type="dxa"/>
            <w:tcMar>
              <w:top w:w="0" w:type="dxa"/>
              <w:bottom w:w="0" w:type="dxa"/>
            </w:tcMar>
            <w:vAlign w:val="center"/>
          </w:tcPr>
          <w:p w:rsidR="00FF43F7" w:rsidRPr="001B572C" w:rsidRDefault="00117A29">
            <w:pPr>
              <w:keepNext/>
              <w:keepLines/>
              <w:spacing w:after="0" w:line="240" w:lineRule="auto"/>
              <w:rPr>
                <w:noProof/>
                <w:lang w:val="hr-HR"/>
              </w:rPr>
            </w:pPr>
            <w:r w:rsidRPr="001B572C">
              <w:rPr>
                <w:b/>
                <w:noProof/>
                <w:sz w:val="18"/>
                <w:lang w:val="hr-HR"/>
              </w:rPr>
              <w:t>VIŠAK PRIHODA POSLOVANJA (šifre 6-Z005)</w:t>
            </w:r>
          </w:p>
        </w:tc>
        <w:tc>
          <w:tcPr>
            <w:tcW w:w="700" w:type="dxa"/>
            <w:tcMar>
              <w:top w:w="0" w:type="dxa"/>
              <w:bottom w:w="0" w:type="dxa"/>
            </w:tcMar>
            <w:vAlign w:val="center"/>
          </w:tcPr>
          <w:p w:rsidR="00FF43F7" w:rsidRPr="001B572C" w:rsidRDefault="00117A29">
            <w:pPr>
              <w:keepNext/>
              <w:keepLines/>
              <w:spacing w:after="0" w:line="240" w:lineRule="auto"/>
              <w:rPr>
                <w:noProof/>
                <w:lang w:val="hr-HR"/>
              </w:rPr>
            </w:pPr>
            <w:r w:rsidRPr="001B572C">
              <w:rPr>
                <w:b/>
                <w:noProof/>
                <w:sz w:val="18"/>
                <w:lang w:val="hr-HR"/>
              </w:rPr>
              <w:t>X001</w:t>
            </w:r>
          </w:p>
        </w:tc>
        <w:tc>
          <w:tcPr>
            <w:tcW w:w="1860" w:type="dxa"/>
            <w:tcMar>
              <w:top w:w="0" w:type="dxa"/>
              <w:bottom w:w="0" w:type="dxa"/>
            </w:tcMar>
            <w:vAlign w:val="center"/>
          </w:tcPr>
          <w:p w:rsidR="00FF43F7" w:rsidRPr="001B572C" w:rsidRDefault="00117A29">
            <w:pPr>
              <w:keepNext/>
              <w:keepLines/>
              <w:spacing w:after="0" w:line="240" w:lineRule="auto"/>
              <w:jc w:val="right"/>
              <w:rPr>
                <w:noProof/>
                <w:lang w:val="hr-HR"/>
              </w:rPr>
            </w:pPr>
            <w:r w:rsidRPr="001B572C">
              <w:rPr>
                <w:b/>
                <w:noProof/>
                <w:sz w:val="18"/>
                <w:lang w:val="hr-HR"/>
              </w:rPr>
              <w:t>22.315.486,47</w:t>
            </w:r>
          </w:p>
        </w:tc>
        <w:tc>
          <w:tcPr>
            <w:tcW w:w="1860" w:type="dxa"/>
            <w:tcMar>
              <w:top w:w="0" w:type="dxa"/>
              <w:bottom w:w="0" w:type="dxa"/>
            </w:tcMar>
            <w:vAlign w:val="center"/>
          </w:tcPr>
          <w:p w:rsidR="00FF43F7" w:rsidRPr="001B572C" w:rsidRDefault="00117A29">
            <w:pPr>
              <w:keepNext/>
              <w:keepLines/>
              <w:spacing w:after="0" w:line="240" w:lineRule="auto"/>
              <w:jc w:val="right"/>
              <w:rPr>
                <w:noProof/>
                <w:lang w:val="hr-HR"/>
              </w:rPr>
            </w:pPr>
            <w:r w:rsidRPr="001B572C">
              <w:rPr>
                <w:b/>
                <w:noProof/>
                <w:sz w:val="18"/>
                <w:lang w:val="hr-HR"/>
              </w:rPr>
              <w:t>10.917.603,28</w:t>
            </w:r>
          </w:p>
        </w:tc>
        <w:tc>
          <w:tcPr>
            <w:tcW w:w="700" w:type="dxa"/>
            <w:tcMar>
              <w:top w:w="0" w:type="dxa"/>
              <w:bottom w:w="0" w:type="dxa"/>
            </w:tcMar>
            <w:vAlign w:val="center"/>
          </w:tcPr>
          <w:p w:rsidR="00FF43F7" w:rsidRPr="001B572C" w:rsidRDefault="00117A29">
            <w:pPr>
              <w:keepNext/>
              <w:keepLines/>
              <w:spacing w:after="0" w:line="240" w:lineRule="auto"/>
              <w:jc w:val="right"/>
              <w:rPr>
                <w:noProof/>
                <w:lang w:val="hr-HR"/>
              </w:rPr>
            </w:pPr>
            <w:r w:rsidRPr="001B572C">
              <w:rPr>
                <w:b/>
                <w:noProof/>
                <w:sz w:val="18"/>
                <w:lang w:val="hr-HR"/>
              </w:rPr>
              <w:t>48,9</w:t>
            </w:r>
          </w:p>
        </w:tc>
      </w:tr>
      <w:tr w:rsidR="00FF43F7" w:rsidRPr="001B572C">
        <w:trPr>
          <w:cantSplit/>
          <w:trHeight w:val="560"/>
        </w:trPr>
        <w:tc>
          <w:tcPr>
            <w:tcW w:w="700" w:type="dxa"/>
            <w:tcMar>
              <w:top w:w="0" w:type="dxa"/>
              <w:bottom w:w="0" w:type="dxa"/>
            </w:tcMar>
            <w:vAlign w:val="center"/>
          </w:tcPr>
          <w:p w:rsidR="00FF43F7" w:rsidRPr="001B572C" w:rsidRDefault="00117A29">
            <w:pPr>
              <w:keepNext/>
              <w:keepLines/>
              <w:spacing w:after="0" w:line="240" w:lineRule="auto"/>
              <w:rPr>
                <w:noProof/>
                <w:lang w:val="hr-HR"/>
              </w:rPr>
            </w:pPr>
            <w:r w:rsidRPr="001B572C">
              <w:rPr>
                <w:noProof/>
                <w:sz w:val="18"/>
                <w:lang w:val="hr-HR"/>
              </w:rPr>
              <w:t>7</w:t>
            </w:r>
          </w:p>
        </w:tc>
        <w:tc>
          <w:tcPr>
            <w:tcW w:w="3180" w:type="dxa"/>
            <w:tcMar>
              <w:top w:w="0" w:type="dxa"/>
              <w:bottom w:w="0" w:type="dxa"/>
            </w:tcMar>
            <w:vAlign w:val="center"/>
          </w:tcPr>
          <w:p w:rsidR="00FF43F7" w:rsidRPr="001B572C" w:rsidRDefault="00117A29">
            <w:pPr>
              <w:keepNext/>
              <w:keepLines/>
              <w:spacing w:after="0" w:line="240" w:lineRule="auto"/>
              <w:rPr>
                <w:noProof/>
                <w:lang w:val="hr-HR"/>
              </w:rPr>
            </w:pPr>
            <w:r w:rsidRPr="001B572C">
              <w:rPr>
                <w:noProof/>
                <w:sz w:val="18"/>
                <w:lang w:val="hr-HR"/>
              </w:rPr>
              <w:t>Prihodi od prodaje nefinancijske imovine (šifre 71+72+73+74)</w:t>
            </w:r>
          </w:p>
        </w:tc>
        <w:tc>
          <w:tcPr>
            <w:tcW w:w="700" w:type="dxa"/>
            <w:tcMar>
              <w:top w:w="0" w:type="dxa"/>
              <w:bottom w:w="0" w:type="dxa"/>
            </w:tcMar>
            <w:vAlign w:val="center"/>
          </w:tcPr>
          <w:p w:rsidR="00FF43F7" w:rsidRPr="001B572C" w:rsidRDefault="00117A29">
            <w:pPr>
              <w:keepNext/>
              <w:keepLines/>
              <w:spacing w:after="0" w:line="240" w:lineRule="auto"/>
              <w:rPr>
                <w:noProof/>
                <w:lang w:val="hr-HR"/>
              </w:rPr>
            </w:pPr>
            <w:r w:rsidRPr="001B572C">
              <w:rPr>
                <w:noProof/>
                <w:sz w:val="18"/>
                <w:lang w:val="hr-HR"/>
              </w:rPr>
              <w:t>7</w:t>
            </w:r>
          </w:p>
        </w:tc>
        <w:tc>
          <w:tcPr>
            <w:tcW w:w="1860" w:type="dxa"/>
            <w:tcMar>
              <w:top w:w="0" w:type="dxa"/>
              <w:bottom w:w="0" w:type="dxa"/>
            </w:tcMar>
            <w:vAlign w:val="center"/>
          </w:tcPr>
          <w:p w:rsidR="00FF43F7" w:rsidRPr="001B572C" w:rsidRDefault="00117A29">
            <w:pPr>
              <w:keepNext/>
              <w:keepLines/>
              <w:spacing w:after="0" w:line="240" w:lineRule="auto"/>
              <w:jc w:val="right"/>
              <w:rPr>
                <w:noProof/>
                <w:lang w:val="hr-HR"/>
              </w:rPr>
            </w:pPr>
            <w:r w:rsidRPr="001B572C">
              <w:rPr>
                <w:noProof/>
                <w:sz w:val="18"/>
                <w:lang w:val="hr-HR"/>
              </w:rPr>
              <w:t>5.505.460,65</w:t>
            </w:r>
          </w:p>
        </w:tc>
        <w:tc>
          <w:tcPr>
            <w:tcW w:w="1860" w:type="dxa"/>
            <w:tcMar>
              <w:top w:w="0" w:type="dxa"/>
              <w:bottom w:w="0" w:type="dxa"/>
            </w:tcMar>
            <w:vAlign w:val="center"/>
          </w:tcPr>
          <w:p w:rsidR="00FF43F7" w:rsidRPr="001B572C" w:rsidRDefault="00117A29">
            <w:pPr>
              <w:keepNext/>
              <w:keepLines/>
              <w:spacing w:after="0" w:line="240" w:lineRule="auto"/>
              <w:jc w:val="right"/>
              <w:rPr>
                <w:noProof/>
                <w:lang w:val="hr-HR"/>
              </w:rPr>
            </w:pPr>
            <w:r w:rsidRPr="001B572C">
              <w:rPr>
                <w:noProof/>
                <w:sz w:val="18"/>
                <w:lang w:val="hr-HR"/>
              </w:rPr>
              <w:t>1.287.433,39</w:t>
            </w:r>
          </w:p>
        </w:tc>
        <w:tc>
          <w:tcPr>
            <w:tcW w:w="700" w:type="dxa"/>
            <w:tcMar>
              <w:top w:w="0" w:type="dxa"/>
              <w:bottom w:w="0" w:type="dxa"/>
            </w:tcMar>
            <w:vAlign w:val="center"/>
          </w:tcPr>
          <w:p w:rsidR="00FF43F7" w:rsidRPr="001B572C" w:rsidRDefault="00117A29">
            <w:pPr>
              <w:keepNext/>
              <w:keepLines/>
              <w:spacing w:after="0" w:line="240" w:lineRule="auto"/>
              <w:jc w:val="right"/>
              <w:rPr>
                <w:noProof/>
                <w:lang w:val="hr-HR"/>
              </w:rPr>
            </w:pPr>
            <w:r w:rsidRPr="001B572C">
              <w:rPr>
                <w:noProof/>
                <w:sz w:val="18"/>
                <w:lang w:val="hr-HR"/>
              </w:rPr>
              <w:t>23,4</w:t>
            </w:r>
          </w:p>
        </w:tc>
      </w:tr>
      <w:tr w:rsidR="00FF43F7" w:rsidRPr="001B572C">
        <w:trPr>
          <w:cantSplit/>
          <w:trHeight w:val="560"/>
        </w:trPr>
        <w:tc>
          <w:tcPr>
            <w:tcW w:w="700" w:type="dxa"/>
            <w:tcMar>
              <w:top w:w="0" w:type="dxa"/>
              <w:bottom w:w="0" w:type="dxa"/>
            </w:tcMar>
            <w:vAlign w:val="center"/>
          </w:tcPr>
          <w:p w:rsidR="00FF43F7" w:rsidRPr="001B572C" w:rsidRDefault="00117A29">
            <w:pPr>
              <w:keepNext/>
              <w:keepLines/>
              <w:spacing w:after="0" w:line="240" w:lineRule="auto"/>
              <w:rPr>
                <w:noProof/>
                <w:lang w:val="hr-HR"/>
              </w:rPr>
            </w:pPr>
            <w:r w:rsidRPr="001B572C">
              <w:rPr>
                <w:noProof/>
                <w:sz w:val="18"/>
                <w:lang w:val="hr-HR"/>
              </w:rPr>
              <w:t>4</w:t>
            </w:r>
          </w:p>
        </w:tc>
        <w:tc>
          <w:tcPr>
            <w:tcW w:w="3180" w:type="dxa"/>
            <w:tcMar>
              <w:top w:w="0" w:type="dxa"/>
              <w:bottom w:w="0" w:type="dxa"/>
            </w:tcMar>
            <w:vAlign w:val="center"/>
          </w:tcPr>
          <w:p w:rsidR="00FF43F7" w:rsidRPr="001B572C" w:rsidRDefault="00117A29">
            <w:pPr>
              <w:keepNext/>
              <w:keepLines/>
              <w:spacing w:after="0" w:line="240" w:lineRule="auto"/>
              <w:rPr>
                <w:noProof/>
                <w:lang w:val="hr-HR"/>
              </w:rPr>
            </w:pPr>
            <w:r w:rsidRPr="001B572C">
              <w:rPr>
                <w:noProof/>
                <w:sz w:val="18"/>
                <w:lang w:val="hr-HR"/>
              </w:rPr>
              <w:t>Rashodi za nabavu nefinancijske imovine (šifre 41+42+43+44+45)</w:t>
            </w:r>
          </w:p>
        </w:tc>
        <w:tc>
          <w:tcPr>
            <w:tcW w:w="700" w:type="dxa"/>
            <w:tcMar>
              <w:top w:w="0" w:type="dxa"/>
              <w:bottom w:w="0" w:type="dxa"/>
            </w:tcMar>
            <w:vAlign w:val="center"/>
          </w:tcPr>
          <w:p w:rsidR="00FF43F7" w:rsidRPr="001B572C" w:rsidRDefault="00117A29">
            <w:pPr>
              <w:keepNext/>
              <w:keepLines/>
              <w:spacing w:after="0" w:line="240" w:lineRule="auto"/>
              <w:rPr>
                <w:noProof/>
                <w:lang w:val="hr-HR"/>
              </w:rPr>
            </w:pPr>
            <w:r w:rsidRPr="001B572C">
              <w:rPr>
                <w:noProof/>
                <w:sz w:val="18"/>
                <w:lang w:val="hr-HR"/>
              </w:rPr>
              <w:t>4</w:t>
            </w:r>
          </w:p>
        </w:tc>
        <w:tc>
          <w:tcPr>
            <w:tcW w:w="1860" w:type="dxa"/>
            <w:tcMar>
              <w:top w:w="0" w:type="dxa"/>
              <w:bottom w:w="0" w:type="dxa"/>
            </w:tcMar>
            <w:vAlign w:val="center"/>
          </w:tcPr>
          <w:p w:rsidR="00FF43F7" w:rsidRPr="001B572C" w:rsidRDefault="00117A29">
            <w:pPr>
              <w:keepNext/>
              <w:keepLines/>
              <w:spacing w:after="0" w:line="240" w:lineRule="auto"/>
              <w:jc w:val="right"/>
              <w:rPr>
                <w:noProof/>
                <w:lang w:val="hr-HR"/>
              </w:rPr>
            </w:pPr>
            <w:r w:rsidRPr="001B572C">
              <w:rPr>
                <w:noProof/>
                <w:sz w:val="18"/>
                <w:lang w:val="hr-HR"/>
              </w:rPr>
              <w:t>15.846.452,73</w:t>
            </w:r>
          </w:p>
        </w:tc>
        <w:tc>
          <w:tcPr>
            <w:tcW w:w="1860" w:type="dxa"/>
            <w:tcMar>
              <w:top w:w="0" w:type="dxa"/>
              <w:bottom w:w="0" w:type="dxa"/>
            </w:tcMar>
            <w:vAlign w:val="center"/>
          </w:tcPr>
          <w:p w:rsidR="00FF43F7" w:rsidRPr="001B572C" w:rsidRDefault="00117A29">
            <w:pPr>
              <w:keepNext/>
              <w:keepLines/>
              <w:spacing w:after="0" w:line="240" w:lineRule="auto"/>
              <w:jc w:val="right"/>
              <w:rPr>
                <w:noProof/>
                <w:lang w:val="hr-HR"/>
              </w:rPr>
            </w:pPr>
            <w:r w:rsidRPr="001B572C">
              <w:rPr>
                <w:noProof/>
                <w:sz w:val="18"/>
                <w:lang w:val="hr-HR"/>
              </w:rPr>
              <w:t>16.448.216,71</w:t>
            </w:r>
          </w:p>
        </w:tc>
        <w:tc>
          <w:tcPr>
            <w:tcW w:w="700" w:type="dxa"/>
            <w:tcMar>
              <w:top w:w="0" w:type="dxa"/>
              <w:bottom w:w="0" w:type="dxa"/>
            </w:tcMar>
            <w:vAlign w:val="center"/>
          </w:tcPr>
          <w:p w:rsidR="00FF43F7" w:rsidRPr="001B572C" w:rsidRDefault="00117A29">
            <w:pPr>
              <w:keepNext/>
              <w:keepLines/>
              <w:spacing w:after="0" w:line="240" w:lineRule="auto"/>
              <w:jc w:val="right"/>
              <w:rPr>
                <w:noProof/>
                <w:lang w:val="hr-HR"/>
              </w:rPr>
            </w:pPr>
            <w:r w:rsidRPr="001B572C">
              <w:rPr>
                <w:noProof/>
                <w:sz w:val="18"/>
                <w:lang w:val="hr-HR"/>
              </w:rPr>
              <w:t>103,8</w:t>
            </w:r>
          </w:p>
        </w:tc>
      </w:tr>
      <w:tr w:rsidR="00FF43F7" w:rsidRPr="001B572C">
        <w:trPr>
          <w:cantSplit/>
          <w:trHeight w:val="560"/>
        </w:trPr>
        <w:tc>
          <w:tcPr>
            <w:tcW w:w="700" w:type="dxa"/>
            <w:tcMar>
              <w:top w:w="0" w:type="dxa"/>
              <w:bottom w:w="0" w:type="dxa"/>
            </w:tcMar>
            <w:vAlign w:val="center"/>
          </w:tcPr>
          <w:p w:rsidR="00FF43F7" w:rsidRPr="001B572C" w:rsidRDefault="00FF43F7">
            <w:pPr>
              <w:keepNext/>
              <w:keepLines/>
              <w:spacing w:after="0" w:line="240" w:lineRule="auto"/>
              <w:rPr>
                <w:noProof/>
                <w:lang w:val="hr-HR"/>
              </w:rPr>
            </w:pPr>
          </w:p>
        </w:tc>
        <w:tc>
          <w:tcPr>
            <w:tcW w:w="3180" w:type="dxa"/>
            <w:tcMar>
              <w:top w:w="0" w:type="dxa"/>
              <w:bottom w:w="0" w:type="dxa"/>
            </w:tcMar>
            <w:vAlign w:val="center"/>
          </w:tcPr>
          <w:p w:rsidR="00FF43F7" w:rsidRPr="001B572C" w:rsidRDefault="00117A29">
            <w:pPr>
              <w:keepNext/>
              <w:keepLines/>
              <w:spacing w:after="0" w:line="240" w:lineRule="auto"/>
              <w:rPr>
                <w:noProof/>
                <w:lang w:val="hr-HR"/>
              </w:rPr>
            </w:pPr>
            <w:r w:rsidRPr="001B572C">
              <w:rPr>
                <w:b/>
                <w:noProof/>
                <w:sz w:val="18"/>
                <w:lang w:val="hr-HR"/>
              </w:rPr>
              <w:t>MANJAK PRIHODA OD NEFINANCIJSKE IMOVINE (šifre 4-7)</w:t>
            </w:r>
          </w:p>
        </w:tc>
        <w:tc>
          <w:tcPr>
            <w:tcW w:w="700" w:type="dxa"/>
            <w:tcMar>
              <w:top w:w="0" w:type="dxa"/>
              <w:bottom w:w="0" w:type="dxa"/>
            </w:tcMar>
            <w:vAlign w:val="center"/>
          </w:tcPr>
          <w:p w:rsidR="00FF43F7" w:rsidRPr="001B572C" w:rsidRDefault="00117A29">
            <w:pPr>
              <w:keepNext/>
              <w:keepLines/>
              <w:spacing w:after="0" w:line="240" w:lineRule="auto"/>
              <w:rPr>
                <w:noProof/>
                <w:lang w:val="hr-HR"/>
              </w:rPr>
            </w:pPr>
            <w:r w:rsidRPr="001B572C">
              <w:rPr>
                <w:b/>
                <w:noProof/>
                <w:sz w:val="18"/>
                <w:lang w:val="hr-HR"/>
              </w:rPr>
              <w:t>Y002</w:t>
            </w:r>
          </w:p>
        </w:tc>
        <w:tc>
          <w:tcPr>
            <w:tcW w:w="1860" w:type="dxa"/>
            <w:tcMar>
              <w:top w:w="0" w:type="dxa"/>
              <w:bottom w:w="0" w:type="dxa"/>
            </w:tcMar>
            <w:vAlign w:val="center"/>
          </w:tcPr>
          <w:p w:rsidR="00FF43F7" w:rsidRPr="001B572C" w:rsidRDefault="00117A29">
            <w:pPr>
              <w:keepNext/>
              <w:keepLines/>
              <w:spacing w:after="0" w:line="240" w:lineRule="auto"/>
              <w:jc w:val="right"/>
              <w:rPr>
                <w:noProof/>
                <w:lang w:val="hr-HR"/>
              </w:rPr>
            </w:pPr>
            <w:r w:rsidRPr="001B572C">
              <w:rPr>
                <w:b/>
                <w:noProof/>
                <w:sz w:val="18"/>
                <w:lang w:val="hr-HR"/>
              </w:rPr>
              <w:t>10.340.992,08</w:t>
            </w:r>
          </w:p>
        </w:tc>
        <w:tc>
          <w:tcPr>
            <w:tcW w:w="1860" w:type="dxa"/>
            <w:tcMar>
              <w:top w:w="0" w:type="dxa"/>
              <w:bottom w:w="0" w:type="dxa"/>
            </w:tcMar>
            <w:vAlign w:val="center"/>
          </w:tcPr>
          <w:p w:rsidR="00FF43F7" w:rsidRPr="001B572C" w:rsidRDefault="00117A29">
            <w:pPr>
              <w:keepNext/>
              <w:keepLines/>
              <w:spacing w:after="0" w:line="240" w:lineRule="auto"/>
              <w:jc w:val="right"/>
              <w:rPr>
                <w:noProof/>
                <w:lang w:val="hr-HR"/>
              </w:rPr>
            </w:pPr>
            <w:r w:rsidRPr="001B572C">
              <w:rPr>
                <w:b/>
                <w:noProof/>
                <w:sz w:val="18"/>
                <w:lang w:val="hr-HR"/>
              </w:rPr>
              <w:t>15.160.783,32</w:t>
            </w:r>
          </w:p>
        </w:tc>
        <w:tc>
          <w:tcPr>
            <w:tcW w:w="700" w:type="dxa"/>
            <w:tcMar>
              <w:top w:w="0" w:type="dxa"/>
              <w:bottom w:w="0" w:type="dxa"/>
            </w:tcMar>
            <w:vAlign w:val="center"/>
          </w:tcPr>
          <w:p w:rsidR="00FF43F7" w:rsidRPr="001B572C" w:rsidRDefault="00117A29">
            <w:pPr>
              <w:keepNext/>
              <w:keepLines/>
              <w:spacing w:after="0" w:line="240" w:lineRule="auto"/>
              <w:jc w:val="right"/>
              <w:rPr>
                <w:noProof/>
                <w:lang w:val="hr-HR"/>
              </w:rPr>
            </w:pPr>
            <w:r w:rsidRPr="001B572C">
              <w:rPr>
                <w:b/>
                <w:noProof/>
                <w:sz w:val="18"/>
                <w:lang w:val="hr-HR"/>
              </w:rPr>
              <w:t>146,6</w:t>
            </w:r>
          </w:p>
        </w:tc>
      </w:tr>
      <w:tr w:rsidR="00FF43F7" w:rsidRPr="001B572C">
        <w:trPr>
          <w:cantSplit/>
          <w:trHeight w:val="560"/>
        </w:trPr>
        <w:tc>
          <w:tcPr>
            <w:tcW w:w="700" w:type="dxa"/>
            <w:tcMar>
              <w:top w:w="0" w:type="dxa"/>
              <w:bottom w:w="0" w:type="dxa"/>
            </w:tcMar>
            <w:vAlign w:val="center"/>
          </w:tcPr>
          <w:p w:rsidR="00FF43F7" w:rsidRPr="001B572C" w:rsidRDefault="00117A29">
            <w:pPr>
              <w:keepNext/>
              <w:keepLines/>
              <w:spacing w:after="0" w:line="240" w:lineRule="auto"/>
              <w:rPr>
                <w:noProof/>
                <w:lang w:val="hr-HR"/>
              </w:rPr>
            </w:pPr>
            <w:r w:rsidRPr="001B572C">
              <w:rPr>
                <w:noProof/>
                <w:sz w:val="18"/>
                <w:lang w:val="hr-HR"/>
              </w:rPr>
              <w:t>8</w:t>
            </w:r>
          </w:p>
        </w:tc>
        <w:tc>
          <w:tcPr>
            <w:tcW w:w="3180" w:type="dxa"/>
            <w:tcMar>
              <w:top w:w="0" w:type="dxa"/>
              <w:bottom w:w="0" w:type="dxa"/>
            </w:tcMar>
            <w:vAlign w:val="center"/>
          </w:tcPr>
          <w:p w:rsidR="00FF43F7" w:rsidRPr="001B572C" w:rsidRDefault="00117A29">
            <w:pPr>
              <w:keepNext/>
              <w:keepLines/>
              <w:spacing w:after="0" w:line="240" w:lineRule="auto"/>
              <w:rPr>
                <w:noProof/>
                <w:lang w:val="hr-HR"/>
              </w:rPr>
            </w:pPr>
            <w:r w:rsidRPr="001B572C">
              <w:rPr>
                <w:noProof/>
                <w:sz w:val="18"/>
                <w:lang w:val="hr-HR"/>
              </w:rPr>
              <w:t>Primici od financijske imovine i zaduživanja (šifre 81+82+83+84+85)</w:t>
            </w:r>
          </w:p>
        </w:tc>
        <w:tc>
          <w:tcPr>
            <w:tcW w:w="700" w:type="dxa"/>
            <w:tcMar>
              <w:top w:w="0" w:type="dxa"/>
              <w:bottom w:w="0" w:type="dxa"/>
            </w:tcMar>
            <w:vAlign w:val="center"/>
          </w:tcPr>
          <w:p w:rsidR="00FF43F7" w:rsidRPr="001B572C" w:rsidRDefault="00117A29">
            <w:pPr>
              <w:keepNext/>
              <w:keepLines/>
              <w:spacing w:after="0" w:line="240" w:lineRule="auto"/>
              <w:rPr>
                <w:noProof/>
                <w:lang w:val="hr-HR"/>
              </w:rPr>
            </w:pPr>
            <w:r w:rsidRPr="001B572C">
              <w:rPr>
                <w:noProof/>
                <w:sz w:val="18"/>
                <w:lang w:val="hr-HR"/>
              </w:rPr>
              <w:t>8</w:t>
            </w:r>
          </w:p>
        </w:tc>
        <w:tc>
          <w:tcPr>
            <w:tcW w:w="1860" w:type="dxa"/>
            <w:tcMar>
              <w:top w:w="0" w:type="dxa"/>
              <w:bottom w:w="0" w:type="dxa"/>
            </w:tcMar>
            <w:vAlign w:val="center"/>
          </w:tcPr>
          <w:p w:rsidR="00FF43F7" w:rsidRPr="001B572C" w:rsidRDefault="00117A29">
            <w:pPr>
              <w:keepNext/>
              <w:keepLines/>
              <w:spacing w:after="0" w:line="240" w:lineRule="auto"/>
              <w:jc w:val="right"/>
              <w:rPr>
                <w:noProof/>
                <w:lang w:val="hr-HR"/>
              </w:rPr>
            </w:pPr>
            <w:r w:rsidRPr="001B572C">
              <w:rPr>
                <w:noProof/>
                <w:sz w:val="18"/>
                <w:lang w:val="hr-HR"/>
              </w:rPr>
              <w:t>842.634,98</w:t>
            </w:r>
          </w:p>
        </w:tc>
        <w:tc>
          <w:tcPr>
            <w:tcW w:w="1860" w:type="dxa"/>
            <w:tcMar>
              <w:top w:w="0" w:type="dxa"/>
              <w:bottom w:w="0" w:type="dxa"/>
            </w:tcMar>
            <w:vAlign w:val="center"/>
          </w:tcPr>
          <w:p w:rsidR="00FF43F7" w:rsidRPr="001B572C" w:rsidRDefault="00117A29">
            <w:pPr>
              <w:keepNext/>
              <w:keepLines/>
              <w:spacing w:after="0" w:line="240" w:lineRule="auto"/>
              <w:jc w:val="right"/>
              <w:rPr>
                <w:noProof/>
                <w:lang w:val="hr-HR"/>
              </w:rPr>
            </w:pPr>
            <w:r w:rsidRPr="001B572C">
              <w:rPr>
                <w:noProof/>
                <w:sz w:val="18"/>
                <w:lang w:val="hr-HR"/>
              </w:rPr>
              <w:t>700.180,93</w:t>
            </w:r>
          </w:p>
        </w:tc>
        <w:tc>
          <w:tcPr>
            <w:tcW w:w="700" w:type="dxa"/>
            <w:tcMar>
              <w:top w:w="0" w:type="dxa"/>
              <w:bottom w:w="0" w:type="dxa"/>
            </w:tcMar>
            <w:vAlign w:val="center"/>
          </w:tcPr>
          <w:p w:rsidR="00FF43F7" w:rsidRPr="001B572C" w:rsidRDefault="00117A29">
            <w:pPr>
              <w:keepNext/>
              <w:keepLines/>
              <w:spacing w:after="0" w:line="240" w:lineRule="auto"/>
              <w:jc w:val="right"/>
              <w:rPr>
                <w:noProof/>
                <w:lang w:val="hr-HR"/>
              </w:rPr>
            </w:pPr>
            <w:r w:rsidRPr="001B572C">
              <w:rPr>
                <w:noProof/>
                <w:sz w:val="18"/>
                <w:lang w:val="hr-HR"/>
              </w:rPr>
              <w:t>83,1</w:t>
            </w:r>
          </w:p>
        </w:tc>
      </w:tr>
      <w:tr w:rsidR="00FF43F7" w:rsidRPr="001B572C">
        <w:trPr>
          <w:cantSplit/>
          <w:trHeight w:val="560"/>
        </w:trPr>
        <w:tc>
          <w:tcPr>
            <w:tcW w:w="700" w:type="dxa"/>
            <w:tcMar>
              <w:top w:w="0" w:type="dxa"/>
              <w:bottom w:w="0" w:type="dxa"/>
            </w:tcMar>
            <w:vAlign w:val="center"/>
          </w:tcPr>
          <w:p w:rsidR="00FF43F7" w:rsidRPr="001B572C" w:rsidRDefault="00117A29">
            <w:pPr>
              <w:keepNext/>
              <w:keepLines/>
              <w:spacing w:after="0" w:line="240" w:lineRule="auto"/>
              <w:rPr>
                <w:noProof/>
                <w:lang w:val="hr-HR"/>
              </w:rPr>
            </w:pPr>
            <w:r w:rsidRPr="001B572C">
              <w:rPr>
                <w:noProof/>
                <w:sz w:val="18"/>
                <w:lang w:val="hr-HR"/>
              </w:rPr>
              <w:t>5</w:t>
            </w:r>
          </w:p>
        </w:tc>
        <w:tc>
          <w:tcPr>
            <w:tcW w:w="3180" w:type="dxa"/>
            <w:tcMar>
              <w:top w:w="0" w:type="dxa"/>
              <w:bottom w:w="0" w:type="dxa"/>
            </w:tcMar>
            <w:vAlign w:val="center"/>
          </w:tcPr>
          <w:p w:rsidR="00FF43F7" w:rsidRPr="001B572C" w:rsidRDefault="00117A29">
            <w:pPr>
              <w:keepNext/>
              <w:keepLines/>
              <w:spacing w:after="0" w:line="240" w:lineRule="auto"/>
              <w:rPr>
                <w:noProof/>
                <w:lang w:val="hr-HR"/>
              </w:rPr>
            </w:pPr>
            <w:r w:rsidRPr="001B572C">
              <w:rPr>
                <w:noProof/>
                <w:sz w:val="18"/>
                <w:lang w:val="hr-HR"/>
              </w:rPr>
              <w:t>Izdaci za financijsku imovinu i otplate zajmova (šifre 51+52+53+54+55)</w:t>
            </w:r>
          </w:p>
        </w:tc>
        <w:tc>
          <w:tcPr>
            <w:tcW w:w="700" w:type="dxa"/>
            <w:tcMar>
              <w:top w:w="0" w:type="dxa"/>
              <w:bottom w:w="0" w:type="dxa"/>
            </w:tcMar>
            <w:vAlign w:val="center"/>
          </w:tcPr>
          <w:p w:rsidR="00FF43F7" w:rsidRPr="001B572C" w:rsidRDefault="00117A29">
            <w:pPr>
              <w:keepNext/>
              <w:keepLines/>
              <w:spacing w:after="0" w:line="240" w:lineRule="auto"/>
              <w:rPr>
                <w:noProof/>
                <w:lang w:val="hr-HR"/>
              </w:rPr>
            </w:pPr>
            <w:r w:rsidRPr="001B572C">
              <w:rPr>
                <w:noProof/>
                <w:sz w:val="18"/>
                <w:lang w:val="hr-HR"/>
              </w:rPr>
              <w:t>5</w:t>
            </w:r>
          </w:p>
        </w:tc>
        <w:tc>
          <w:tcPr>
            <w:tcW w:w="1860" w:type="dxa"/>
            <w:tcMar>
              <w:top w:w="0" w:type="dxa"/>
              <w:bottom w:w="0" w:type="dxa"/>
            </w:tcMar>
            <w:vAlign w:val="center"/>
          </w:tcPr>
          <w:p w:rsidR="00FF43F7" w:rsidRPr="001B572C" w:rsidRDefault="00117A29">
            <w:pPr>
              <w:keepNext/>
              <w:keepLines/>
              <w:spacing w:after="0" w:line="240" w:lineRule="auto"/>
              <w:jc w:val="right"/>
              <w:rPr>
                <w:noProof/>
                <w:lang w:val="hr-HR"/>
              </w:rPr>
            </w:pPr>
            <w:r w:rsidRPr="001B572C">
              <w:rPr>
                <w:noProof/>
                <w:sz w:val="18"/>
                <w:lang w:val="hr-HR"/>
              </w:rPr>
              <w:t>4.983.828,95</w:t>
            </w:r>
          </w:p>
        </w:tc>
        <w:tc>
          <w:tcPr>
            <w:tcW w:w="1860" w:type="dxa"/>
            <w:tcMar>
              <w:top w:w="0" w:type="dxa"/>
              <w:bottom w:w="0" w:type="dxa"/>
            </w:tcMar>
            <w:vAlign w:val="center"/>
          </w:tcPr>
          <w:p w:rsidR="00FF43F7" w:rsidRPr="001B572C" w:rsidRDefault="00117A29">
            <w:pPr>
              <w:keepNext/>
              <w:keepLines/>
              <w:spacing w:after="0" w:line="240" w:lineRule="auto"/>
              <w:jc w:val="right"/>
              <w:rPr>
                <w:noProof/>
                <w:lang w:val="hr-HR"/>
              </w:rPr>
            </w:pPr>
            <w:r w:rsidRPr="001B572C">
              <w:rPr>
                <w:noProof/>
                <w:sz w:val="18"/>
                <w:lang w:val="hr-HR"/>
              </w:rPr>
              <w:t>5.243.430,53</w:t>
            </w:r>
          </w:p>
        </w:tc>
        <w:tc>
          <w:tcPr>
            <w:tcW w:w="700" w:type="dxa"/>
            <w:tcMar>
              <w:top w:w="0" w:type="dxa"/>
              <w:bottom w:w="0" w:type="dxa"/>
            </w:tcMar>
            <w:vAlign w:val="center"/>
          </w:tcPr>
          <w:p w:rsidR="00FF43F7" w:rsidRPr="001B572C" w:rsidRDefault="00117A29">
            <w:pPr>
              <w:keepNext/>
              <w:keepLines/>
              <w:spacing w:after="0" w:line="240" w:lineRule="auto"/>
              <w:jc w:val="right"/>
              <w:rPr>
                <w:noProof/>
                <w:lang w:val="hr-HR"/>
              </w:rPr>
            </w:pPr>
            <w:r w:rsidRPr="001B572C">
              <w:rPr>
                <w:noProof/>
                <w:sz w:val="18"/>
                <w:lang w:val="hr-HR"/>
              </w:rPr>
              <w:t>105,2</w:t>
            </w:r>
          </w:p>
        </w:tc>
      </w:tr>
      <w:tr w:rsidR="00FF43F7" w:rsidRPr="001B572C">
        <w:trPr>
          <w:cantSplit/>
          <w:trHeight w:val="560"/>
        </w:trPr>
        <w:tc>
          <w:tcPr>
            <w:tcW w:w="700" w:type="dxa"/>
            <w:tcMar>
              <w:top w:w="0" w:type="dxa"/>
              <w:bottom w:w="0" w:type="dxa"/>
            </w:tcMar>
            <w:vAlign w:val="center"/>
          </w:tcPr>
          <w:p w:rsidR="00FF43F7" w:rsidRPr="001B572C" w:rsidRDefault="00FF43F7">
            <w:pPr>
              <w:keepNext/>
              <w:keepLines/>
              <w:spacing w:after="0" w:line="240" w:lineRule="auto"/>
              <w:rPr>
                <w:noProof/>
                <w:lang w:val="hr-HR"/>
              </w:rPr>
            </w:pPr>
          </w:p>
        </w:tc>
        <w:tc>
          <w:tcPr>
            <w:tcW w:w="3180" w:type="dxa"/>
            <w:tcMar>
              <w:top w:w="0" w:type="dxa"/>
              <w:bottom w:w="0" w:type="dxa"/>
            </w:tcMar>
            <w:vAlign w:val="center"/>
          </w:tcPr>
          <w:p w:rsidR="00FF43F7" w:rsidRPr="001B572C" w:rsidRDefault="00117A29">
            <w:pPr>
              <w:keepNext/>
              <w:keepLines/>
              <w:spacing w:after="0" w:line="240" w:lineRule="auto"/>
              <w:rPr>
                <w:noProof/>
                <w:lang w:val="hr-HR"/>
              </w:rPr>
            </w:pPr>
            <w:r w:rsidRPr="001B572C">
              <w:rPr>
                <w:b/>
                <w:noProof/>
                <w:sz w:val="18"/>
                <w:lang w:val="hr-HR"/>
              </w:rPr>
              <w:t>MANJAK PRIMITAKA OD FINANCIJSKE IMOVINE I ZADUŽIVANJA (šifre 5-8)</w:t>
            </w:r>
          </w:p>
        </w:tc>
        <w:tc>
          <w:tcPr>
            <w:tcW w:w="700" w:type="dxa"/>
            <w:tcMar>
              <w:top w:w="0" w:type="dxa"/>
              <w:bottom w:w="0" w:type="dxa"/>
            </w:tcMar>
            <w:vAlign w:val="center"/>
          </w:tcPr>
          <w:p w:rsidR="00FF43F7" w:rsidRPr="001B572C" w:rsidRDefault="00117A29">
            <w:pPr>
              <w:keepNext/>
              <w:keepLines/>
              <w:spacing w:after="0" w:line="240" w:lineRule="auto"/>
              <w:rPr>
                <w:noProof/>
                <w:lang w:val="hr-HR"/>
              </w:rPr>
            </w:pPr>
            <w:r w:rsidRPr="001B572C">
              <w:rPr>
                <w:b/>
                <w:noProof/>
                <w:sz w:val="18"/>
                <w:lang w:val="hr-HR"/>
              </w:rPr>
              <w:t>Y003</w:t>
            </w:r>
          </w:p>
        </w:tc>
        <w:tc>
          <w:tcPr>
            <w:tcW w:w="1860" w:type="dxa"/>
            <w:tcMar>
              <w:top w:w="0" w:type="dxa"/>
              <w:bottom w:w="0" w:type="dxa"/>
            </w:tcMar>
            <w:vAlign w:val="center"/>
          </w:tcPr>
          <w:p w:rsidR="00FF43F7" w:rsidRPr="001B572C" w:rsidRDefault="00117A29">
            <w:pPr>
              <w:keepNext/>
              <w:keepLines/>
              <w:spacing w:after="0" w:line="240" w:lineRule="auto"/>
              <w:jc w:val="right"/>
              <w:rPr>
                <w:noProof/>
                <w:lang w:val="hr-HR"/>
              </w:rPr>
            </w:pPr>
            <w:r w:rsidRPr="001B572C">
              <w:rPr>
                <w:b/>
                <w:noProof/>
                <w:sz w:val="18"/>
                <w:lang w:val="hr-HR"/>
              </w:rPr>
              <w:t>4.141.193,97</w:t>
            </w:r>
          </w:p>
        </w:tc>
        <w:tc>
          <w:tcPr>
            <w:tcW w:w="1860" w:type="dxa"/>
            <w:tcMar>
              <w:top w:w="0" w:type="dxa"/>
              <w:bottom w:w="0" w:type="dxa"/>
            </w:tcMar>
            <w:vAlign w:val="center"/>
          </w:tcPr>
          <w:p w:rsidR="00FF43F7" w:rsidRPr="001B572C" w:rsidRDefault="00117A29">
            <w:pPr>
              <w:keepNext/>
              <w:keepLines/>
              <w:spacing w:after="0" w:line="240" w:lineRule="auto"/>
              <w:jc w:val="right"/>
              <w:rPr>
                <w:noProof/>
                <w:lang w:val="hr-HR"/>
              </w:rPr>
            </w:pPr>
            <w:r w:rsidRPr="001B572C">
              <w:rPr>
                <w:b/>
                <w:noProof/>
                <w:sz w:val="18"/>
                <w:lang w:val="hr-HR"/>
              </w:rPr>
              <w:t>4.543.249,60</w:t>
            </w:r>
          </w:p>
        </w:tc>
        <w:tc>
          <w:tcPr>
            <w:tcW w:w="700" w:type="dxa"/>
            <w:tcMar>
              <w:top w:w="0" w:type="dxa"/>
              <w:bottom w:w="0" w:type="dxa"/>
            </w:tcMar>
            <w:vAlign w:val="center"/>
          </w:tcPr>
          <w:p w:rsidR="00FF43F7" w:rsidRPr="001B572C" w:rsidRDefault="00117A29">
            <w:pPr>
              <w:keepNext/>
              <w:keepLines/>
              <w:spacing w:after="0" w:line="240" w:lineRule="auto"/>
              <w:jc w:val="right"/>
              <w:rPr>
                <w:noProof/>
                <w:lang w:val="hr-HR"/>
              </w:rPr>
            </w:pPr>
            <w:r w:rsidRPr="001B572C">
              <w:rPr>
                <w:b/>
                <w:noProof/>
                <w:sz w:val="18"/>
                <w:lang w:val="hr-HR"/>
              </w:rPr>
              <w:t>109,7</w:t>
            </w:r>
          </w:p>
        </w:tc>
      </w:tr>
      <w:tr w:rsidR="00FF43F7" w:rsidRPr="001B572C">
        <w:trPr>
          <w:cantSplit/>
          <w:trHeight w:val="560"/>
        </w:trPr>
        <w:tc>
          <w:tcPr>
            <w:tcW w:w="700" w:type="dxa"/>
            <w:tcMar>
              <w:top w:w="0" w:type="dxa"/>
              <w:bottom w:w="0" w:type="dxa"/>
            </w:tcMar>
            <w:vAlign w:val="center"/>
          </w:tcPr>
          <w:p w:rsidR="00FF43F7" w:rsidRPr="001B572C" w:rsidRDefault="00FF43F7">
            <w:pPr>
              <w:keepNext/>
              <w:keepLines/>
              <w:spacing w:after="0" w:line="240" w:lineRule="auto"/>
              <w:rPr>
                <w:noProof/>
                <w:lang w:val="hr-HR"/>
              </w:rPr>
            </w:pPr>
          </w:p>
        </w:tc>
        <w:tc>
          <w:tcPr>
            <w:tcW w:w="3180" w:type="dxa"/>
            <w:tcMar>
              <w:top w:w="0" w:type="dxa"/>
              <w:bottom w:w="0" w:type="dxa"/>
            </w:tcMar>
            <w:vAlign w:val="center"/>
          </w:tcPr>
          <w:p w:rsidR="00FF43F7" w:rsidRPr="001B572C" w:rsidRDefault="00117A29">
            <w:pPr>
              <w:keepNext/>
              <w:keepLines/>
              <w:spacing w:after="0" w:line="240" w:lineRule="auto"/>
              <w:rPr>
                <w:noProof/>
                <w:lang w:val="hr-HR"/>
              </w:rPr>
            </w:pPr>
            <w:r w:rsidRPr="001B572C">
              <w:rPr>
                <w:b/>
                <w:noProof/>
                <w:sz w:val="18"/>
                <w:lang w:val="hr-HR"/>
              </w:rPr>
              <w:t>MANJAK PRIHODA I PRIMITAKA (šifre Y345-X678)</w:t>
            </w:r>
          </w:p>
        </w:tc>
        <w:tc>
          <w:tcPr>
            <w:tcW w:w="700" w:type="dxa"/>
            <w:tcMar>
              <w:top w:w="0" w:type="dxa"/>
              <w:bottom w:w="0" w:type="dxa"/>
            </w:tcMar>
            <w:vAlign w:val="center"/>
          </w:tcPr>
          <w:p w:rsidR="00FF43F7" w:rsidRPr="001B572C" w:rsidRDefault="00117A29">
            <w:pPr>
              <w:keepNext/>
              <w:keepLines/>
              <w:spacing w:after="0" w:line="240" w:lineRule="auto"/>
              <w:rPr>
                <w:noProof/>
                <w:lang w:val="hr-HR"/>
              </w:rPr>
            </w:pPr>
            <w:r w:rsidRPr="001B572C">
              <w:rPr>
                <w:b/>
                <w:noProof/>
                <w:sz w:val="18"/>
                <w:lang w:val="hr-HR"/>
              </w:rPr>
              <w:t>Y005</w:t>
            </w:r>
          </w:p>
        </w:tc>
        <w:tc>
          <w:tcPr>
            <w:tcW w:w="1860" w:type="dxa"/>
            <w:tcMar>
              <w:top w:w="0" w:type="dxa"/>
              <w:bottom w:w="0" w:type="dxa"/>
            </w:tcMar>
            <w:vAlign w:val="center"/>
          </w:tcPr>
          <w:p w:rsidR="00FF43F7" w:rsidRPr="001B572C" w:rsidRDefault="00117A29">
            <w:pPr>
              <w:keepNext/>
              <w:keepLines/>
              <w:spacing w:after="0" w:line="240" w:lineRule="auto"/>
              <w:jc w:val="right"/>
              <w:rPr>
                <w:noProof/>
                <w:lang w:val="hr-HR"/>
              </w:rPr>
            </w:pPr>
            <w:r w:rsidRPr="001B572C">
              <w:rPr>
                <w:b/>
                <w:noProof/>
                <w:sz w:val="18"/>
                <w:lang w:val="hr-HR"/>
              </w:rPr>
              <w:t>0,00</w:t>
            </w:r>
          </w:p>
        </w:tc>
        <w:tc>
          <w:tcPr>
            <w:tcW w:w="1860" w:type="dxa"/>
            <w:tcMar>
              <w:top w:w="0" w:type="dxa"/>
              <w:bottom w:w="0" w:type="dxa"/>
            </w:tcMar>
            <w:vAlign w:val="center"/>
          </w:tcPr>
          <w:p w:rsidR="00FF43F7" w:rsidRPr="001B572C" w:rsidRDefault="00117A29">
            <w:pPr>
              <w:keepNext/>
              <w:keepLines/>
              <w:spacing w:after="0" w:line="240" w:lineRule="auto"/>
              <w:jc w:val="right"/>
              <w:rPr>
                <w:noProof/>
                <w:lang w:val="hr-HR"/>
              </w:rPr>
            </w:pPr>
            <w:r w:rsidRPr="001B572C">
              <w:rPr>
                <w:b/>
                <w:noProof/>
                <w:sz w:val="18"/>
                <w:lang w:val="hr-HR"/>
              </w:rPr>
              <w:t>8.786.429,64</w:t>
            </w:r>
          </w:p>
        </w:tc>
        <w:tc>
          <w:tcPr>
            <w:tcW w:w="700" w:type="dxa"/>
            <w:tcMar>
              <w:top w:w="0" w:type="dxa"/>
              <w:bottom w:w="0" w:type="dxa"/>
            </w:tcMar>
            <w:vAlign w:val="center"/>
          </w:tcPr>
          <w:p w:rsidR="00FF43F7" w:rsidRPr="001B572C" w:rsidRDefault="00117A29">
            <w:pPr>
              <w:keepNext/>
              <w:keepLines/>
              <w:spacing w:after="0" w:line="240" w:lineRule="auto"/>
              <w:jc w:val="right"/>
              <w:rPr>
                <w:noProof/>
                <w:lang w:val="hr-HR"/>
              </w:rPr>
            </w:pPr>
            <w:r w:rsidRPr="001B572C">
              <w:rPr>
                <w:b/>
                <w:noProof/>
                <w:sz w:val="18"/>
                <w:lang w:val="hr-HR"/>
              </w:rPr>
              <w:t>-</w:t>
            </w:r>
          </w:p>
        </w:tc>
      </w:tr>
    </w:tbl>
    <w:p w:rsidR="001914E5" w:rsidRDefault="00117A29" w:rsidP="001914E5">
      <w:pPr>
        <w:rPr>
          <w:noProof/>
          <w:lang w:val="hr-HR"/>
        </w:rPr>
      </w:pPr>
      <w:r w:rsidRPr="001B572C">
        <w:rPr>
          <w:noProof/>
          <w:lang w:val="hr-HR"/>
        </w:rPr>
        <w:t> </w:t>
      </w:r>
    </w:p>
    <w:p w:rsidR="00FF43F7" w:rsidRPr="001B572C" w:rsidRDefault="00117A29" w:rsidP="001914E5">
      <w:pPr>
        <w:jc w:val="both"/>
        <w:rPr>
          <w:noProof/>
          <w:lang w:val="hr-HR"/>
        </w:rPr>
      </w:pPr>
      <w:r w:rsidRPr="001B572C">
        <w:rPr>
          <w:noProof/>
          <w:lang w:val="hr-HR"/>
        </w:rPr>
        <w:lastRenderedPageBreak/>
        <w:t xml:space="preserve">Konsolidirani financijski izvještaj Grada Rijeke obuhvaća </w:t>
      </w:r>
      <w:r w:rsidR="00603B69" w:rsidRPr="001B572C">
        <w:rPr>
          <w:noProof/>
          <w:lang w:val="hr-HR"/>
        </w:rPr>
        <w:t xml:space="preserve">financijske </w:t>
      </w:r>
      <w:r w:rsidRPr="001B572C">
        <w:rPr>
          <w:noProof/>
          <w:lang w:val="hr-HR"/>
        </w:rPr>
        <w:t>podatke</w:t>
      </w:r>
      <w:r w:rsidR="00603B69" w:rsidRPr="001B572C">
        <w:rPr>
          <w:noProof/>
          <w:lang w:val="hr-HR"/>
        </w:rPr>
        <w:t xml:space="preserve"> </w:t>
      </w:r>
      <w:r w:rsidRPr="001B572C">
        <w:rPr>
          <w:noProof/>
          <w:lang w:val="hr-HR"/>
        </w:rPr>
        <w:t>Grada Rijeke (dalje u tekstu: Grad) i 83 proračunska korisnika koji su prema organizacijskoj klasifikaciji u nadležnosti Grada.</w:t>
      </w:r>
    </w:p>
    <w:p w:rsidR="00603B69" w:rsidRPr="001B572C" w:rsidRDefault="00117A29" w:rsidP="001B572C">
      <w:pPr>
        <w:jc w:val="both"/>
        <w:rPr>
          <w:noProof/>
          <w:lang w:val="hr-HR"/>
        </w:rPr>
      </w:pPr>
      <w:r w:rsidRPr="001B572C">
        <w:rPr>
          <w:noProof/>
          <w:lang w:val="hr-HR"/>
        </w:rPr>
        <w:t>Iz djelatnosti odgoja, obrazovanja i mladih u konsolidirani izvještaj obuhvaćene su 24 osnovne škole (OŠ SE Belvedere, OŠ Brajda, OŠ Centar, OŠ-SE Dolac, OŠ Eugen Kumičić, OŠ Fran Franković, OŠ-SE Gelsi, OŠ Gornja Vežica, OŠ Ivana Zajca, OŠ Kantrida, OŠ Kozala, OŠ Nikola Tesla, OŠ Pećine, OŠ Pehlin, OŠ Podmurvice, OŠ-SE San Nicolo, OŠ Srdoči, OŠ Škurinje, OŠ Trsat, OŠ Turnić, OŠ Vežica, OŠ Vladimir Gortan, OŠ Zamet, Centar za odgoj i obrazovanje), Centar za autizam, 3 ustanove odgoja (Dječji vrtić Rijeka, Dječji vrtić More i Dječji vrtić Sušak) i Dom mladih. </w:t>
      </w:r>
    </w:p>
    <w:p w:rsidR="00FF43F7" w:rsidRPr="001B572C" w:rsidRDefault="00117A29" w:rsidP="001B572C">
      <w:pPr>
        <w:jc w:val="both"/>
        <w:rPr>
          <w:noProof/>
          <w:lang w:val="hr-HR"/>
        </w:rPr>
      </w:pPr>
      <w:r w:rsidRPr="001B572C">
        <w:rPr>
          <w:noProof/>
          <w:lang w:val="hr-HR"/>
        </w:rPr>
        <w:t xml:space="preserve">Iz djelatnosti kulture obuhvaćeno je 7 ustanova kulture (HNK </w:t>
      </w:r>
      <w:r w:rsidR="00D359F1">
        <w:rPr>
          <w:noProof/>
          <w:lang w:val="hr-HR"/>
        </w:rPr>
        <w:t>„</w:t>
      </w:r>
      <w:r w:rsidRPr="001B572C">
        <w:rPr>
          <w:noProof/>
          <w:lang w:val="hr-HR"/>
        </w:rPr>
        <w:t>Ivana pl. Zajca</w:t>
      </w:r>
      <w:r w:rsidR="00D359F1">
        <w:rPr>
          <w:noProof/>
          <w:lang w:val="hr-HR"/>
        </w:rPr>
        <w:t xml:space="preserve"> Rijeka“</w:t>
      </w:r>
      <w:r w:rsidRPr="001B572C">
        <w:rPr>
          <w:noProof/>
          <w:lang w:val="hr-HR"/>
        </w:rPr>
        <w:t>, Gradska knjižnica Rijeka, Gradsko kazalište lutaka, Muzej grada Rijeke, Muzej moderne i suvremene umjetnosti, Art-kino i Hrvatski kulturni dom na Sušaku). </w:t>
      </w:r>
    </w:p>
    <w:p w:rsidR="00FF43F7" w:rsidRDefault="00117A29" w:rsidP="001B572C">
      <w:pPr>
        <w:jc w:val="both"/>
        <w:rPr>
          <w:noProof/>
          <w:lang w:val="hr-HR"/>
        </w:rPr>
      </w:pPr>
      <w:r w:rsidRPr="001B572C">
        <w:rPr>
          <w:noProof/>
          <w:lang w:val="hr-HR"/>
        </w:rPr>
        <w:t>Nadalje, u konsolidaciju su obuhvaćeni: Javna vatrogasna postrojba Grada Rijeke (dalje u tekstu: JVP), 8 Vijeća nacionalnih manjina Grada Rijeke (Vijeće albanske nacionalne manjine Grada Rijeke, Vijeće bošnjačke nacionalne manjine Grada Rijeke, Vijeće crnogorske nacionalne manjine Grada Rijeke, Vijeće makedonske nacionalne manjine Grada Rijeke, Vijeće romske nacionalne manjine Grada Rijeke, Vijeće slovenske nacionalne manjine Grada Rijeke, Vijeće srpske nacionalne manjine Grada Rijeke i Vijeće talijanske nacionalne manjine Grada Rijeke) i 1 predstavnica mađarske nacionalne manjine Grada Rijeke,  34 mjesna odbora (MO Brajda-Dolac, MO Banderovo, MO Belveder, MO Bulevard, MO Brašćine-Pulac, MO Centar-Sušak, MO Draga, MO Drenova, MO Gornja Vežica, MO Grbci, MO Gornji Zamet, MO Grad Trsat, MO Kantrida, MO Kozala, MO Krimeja, MO Luka, MO Mlaka, MO Orehovica, MO Pašac, MO Pećine, MO Pehlin, MO Potok, MO Podmurvice, MO Podvežica, MO Srdoči, MO Sveti Kuzam, MO Sveti Nikola, MO Svilno, MO Školjić-Stari Grad, MO Škurinje, MO Škurinjska Draga, MO Turnić, MO Vojak i MO Zamet), Centar za pružanje usluga u zajednici Tić Rijeka, Psihijatrijska bolnica Lopača i Agencija za društveno poticanu stanogradnju Grada Rijeke (dalje u tekstu: APOS).</w:t>
      </w:r>
    </w:p>
    <w:p w:rsidR="00BD7A41" w:rsidRPr="001B572C" w:rsidRDefault="00BD7A41" w:rsidP="001B572C">
      <w:pPr>
        <w:jc w:val="both"/>
        <w:rPr>
          <w:noProof/>
          <w:lang w:val="hr-HR"/>
        </w:rPr>
      </w:pPr>
    </w:p>
    <w:p w:rsidR="00BD7A41" w:rsidRPr="00BD7A41" w:rsidRDefault="00BD7A41" w:rsidP="00B23CC4">
      <w:pPr>
        <w:jc w:val="center"/>
        <w:rPr>
          <w:i/>
          <w:noProof/>
          <w:lang w:val="hr-HR"/>
        </w:rPr>
      </w:pPr>
      <w:r w:rsidRPr="00BD7A41">
        <w:rPr>
          <w:i/>
          <w:noProof/>
          <w:lang w:val="hr-HR"/>
        </w:rPr>
        <w:t>F</w:t>
      </w:r>
      <w:r w:rsidR="00B23CC4" w:rsidRPr="00BD7A41">
        <w:rPr>
          <w:i/>
          <w:noProof/>
          <w:lang w:val="hr-HR"/>
        </w:rPr>
        <w:t>inancijski rezultat</w:t>
      </w:r>
      <w:r w:rsidRPr="00BD7A41">
        <w:rPr>
          <w:i/>
          <w:noProof/>
          <w:lang w:val="hr-HR"/>
        </w:rPr>
        <w:t xml:space="preserve"> izvještajnog razdoblja </w:t>
      </w:r>
    </w:p>
    <w:p w:rsidR="00FF43F7" w:rsidRPr="001B572C" w:rsidRDefault="00117A29" w:rsidP="001B572C">
      <w:pPr>
        <w:jc w:val="both"/>
        <w:rPr>
          <w:noProof/>
          <w:lang w:val="hr-HR"/>
        </w:rPr>
      </w:pPr>
      <w:r w:rsidRPr="001B572C">
        <w:rPr>
          <w:noProof/>
          <w:lang w:val="hr-HR"/>
        </w:rPr>
        <w:t>U ovom izvještajnom razdoblju ukupni prihodi i primici konsolidirane grupe ostvareni su u iznosu od 201.717.920,38 eura i veći su za 4,9%. Prihodi poslovanja imaju najveći udjel u ukupno ostvarenim prihodima i bilježe rast od 7,4%, prihodi od prodaje nefinancijske imovine bilježe pad ostvarenja od 76,6% te primici od financijske imovine i zaduživanja pad od 16,9%, u odnosu na isto razdoblje prethodne godine.</w:t>
      </w:r>
    </w:p>
    <w:p w:rsidR="00B23CC4" w:rsidRPr="00B23CC4" w:rsidRDefault="00117A29" w:rsidP="006C4834">
      <w:pPr>
        <w:jc w:val="both"/>
        <w:rPr>
          <w:noProof/>
          <w:lang w:val="hr-HR"/>
        </w:rPr>
      </w:pPr>
      <w:r w:rsidRPr="001B572C">
        <w:rPr>
          <w:noProof/>
          <w:lang w:val="hr-HR"/>
        </w:rPr>
        <w:t>Ukupni rashodi i izdaci konsolidirane grupe izvršeni su u iznosu od 210.504.350,02 eura, za 26.004.673,79 eura ili 14,1% više u odnosu na isto razdoblje prethodne godine. U strukturi ukupnih rashoda i izdataka porast izvršenja zabilježen je kod rashoda poslovanja za 15,4%, rashoda za nabavu nefinancijske imovine 3,8% te kod izdataka za financijsku imovinu i otplate zajmova 5,2%.</w:t>
      </w:r>
      <w:r w:rsidR="00B23CC4">
        <w:rPr>
          <w:noProof/>
          <w:lang w:val="hr-HR"/>
        </w:rPr>
        <w:t xml:space="preserve"> </w:t>
      </w:r>
    </w:p>
    <w:p w:rsidR="00BD7A41" w:rsidRDefault="00BD7A41" w:rsidP="006C4834">
      <w:pPr>
        <w:jc w:val="both"/>
        <w:rPr>
          <w:noProof/>
          <w:lang w:val="hr-HR"/>
        </w:rPr>
      </w:pPr>
      <w:r>
        <w:rPr>
          <w:b/>
          <w:noProof/>
          <w:lang w:val="hr-HR"/>
        </w:rPr>
        <w:lastRenderedPageBreak/>
        <w:t xml:space="preserve">Financijski rezultat </w:t>
      </w:r>
      <w:r w:rsidR="00117A29" w:rsidRPr="002D1FCB">
        <w:rPr>
          <w:b/>
          <w:noProof/>
          <w:lang w:val="hr-HR"/>
        </w:rPr>
        <w:t>izvještajno</w:t>
      </w:r>
      <w:r>
        <w:rPr>
          <w:b/>
          <w:noProof/>
          <w:lang w:val="hr-HR"/>
        </w:rPr>
        <w:t>g</w:t>
      </w:r>
      <w:r w:rsidR="00117A29" w:rsidRPr="002D1FCB">
        <w:rPr>
          <w:b/>
          <w:noProof/>
          <w:lang w:val="hr-HR"/>
        </w:rPr>
        <w:t xml:space="preserve"> razdoblj</w:t>
      </w:r>
      <w:r>
        <w:rPr>
          <w:b/>
          <w:noProof/>
          <w:lang w:val="hr-HR"/>
        </w:rPr>
        <w:t xml:space="preserve">a (tekući rezultat) konsolidirane grupe </w:t>
      </w:r>
      <w:r w:rsidR="00117A29" w:rsidRPr="002D1FCB">
        <w:rPr>
          <w:b/>
          <w:noProof/>
          <w:lang w:val="hr-HR"/>
        </w:rPr>
        <w:t>je manjak prihoda i primitaka u iznosu od 8.786.429,64 eura (šifra Y005).</w:t>
      </w:r>
      <w:r w:rsidR="00117A29" w:rsidRPr="001B572C">
        <w:rPr>
          <w:noProof/>
          <w:lang w:val="hr-HR"/>
        </w:rPr>
        <w:t xml:space="preserve"> </w:t>
      </w:r>
    </w:p>
    <w:p w:rsidR="006C4834" w:rsidRPr="001B572C" w:rsidRDefault="00117A29" w:rsidP="006C4834">
      <w:pPr>
        <w:jc w:val="both"/>
        <w:rPr>
          <w:noProof/>
          <w:lang w:val="hr-HR"/>
        </w:rPr>
      </w:pPr>
      <w:r w:rsidRPr="001B572C">
        <w:rPr>
          <w:noProof/>
          <w:lang w:val="hr-HR"/>
        </w:rPr>
        <w:t xml:space="preserve">Grad je ostvario manjak izvještajnog razdoblja u visini od 6.069.458,75 eura, dok su korisnici sveukupno (prebijeno viškovi/manjkovi) ostvarili 2.716.970,89 eura manjka </w:t>
      </w:r>
      <w:r w:rsidR="00D72098" w:rsidRPr="001B572C">
        <w:rPr>
          <w:noProof/>
          <w:lang w:val="hr-HR"/>
        </w:rPr>
        <w:t>prihoda i primitaka</w:t>
      </w:r>
      <w:r w:rsidRPr="001B572C">
        <w:rPr>
          <w:noProof/>
          <w:lang w:val="hr-HR"/>
        </w:rPr>
        <w:t>. </w:t>
      </w:r>
      <w:r w:rsidR="006C4834" w:rsidRPr="006C4834">
        <w:rPr>
          <w:noProof/>
          <w:lang w:val="hr-HR"/>
        </w:rPr>
        <w:t xml:space="preserve">Na ostvarenje tekućeg manjka prihoda Grada, između ostalog, utječe povrat poreza na dohodak po godišnjoj prijavi za 2024. </w:t>
      </w:r>
      <w:r w:rsidR="00BD7A41">
        <w:rPr>
          <w:noProof/>
          <w:lang w:val="hr-HR"/>
        </w:rPr>
        <w:t>g</w:t>
      </w:r>
      <w:r w:rsidR="006C4834" w:rsidRPr="006C4834">
        <w:rPr>
          <w:noProof/>
          <w:lang w:val="hr-HR"/>
        </w:rPr>
        <w:t>odinu (saldo povrata = 5.782.270,45 eura) što se posljedično odražava na manje ostvarenje prihoda od poreza na dohodak u ovom izvještajnom razdoblju.</w:t>
      </w:r>
      <w:r w:rsidR="006C4834">
        <w:rPr>
          <w:noProof/>
          <w:lang w:val="hr-HR"/>
        </w:rPr>
        <w:t xml:space="preserve"> </w:t>
      </w:r>
      <w:r w:rsidR="006C4834" w:rsidRPr="006C4834">
        <w:rPr>
          <w:noProof/>
          <w:lang w:val="hr-HR"/>
        </w:rPr>
        <w:t>Kod korisnika koji su iskazali manjak uglavnom se radi o tzv. metodološkom manjku s obzirom da za rashode (plaća za prosinac, režijski troškovi, najamnine i dr.), na prijelazu iz jednog u drugo izvještajno razdoblje, postoji raskorak u trenutku priznavanja  prihoda</w:t>
      </w:r>
      <w:r w:rsidR="006C4834">
        <w:rPr>
          <w:noProof/>
          <w:lang w:val="hr-HR"/>
        </w:rPr>
        <w:t xml:space="preserve"> i rashoda</w:t>
      </w:r>
      <w:r w:rsidR="006C4834" w:rsidRPr="006C4834">
        <w:rPr>
          <w:noProof/>
          <w:lang w:val="hr-HR"/>
        </w:rPr>
        <w:t>).</w:t>
      </w:r>
      <w:r w:rsidR="006C4834" w:rsidRPr="001B572C">
        <w:rPr>
          <w:noProof/>
          <w:lang w:val="hr-HR"/>
        </w:rPr>
        <w:t xml:space="preserve">  </w:t>
      </w:r>
    </w:p>
    <w:p w:rsidR="00DA7F65" w:rsidRPr="00DA7F65" w:rsidRDefault="00DA7F65" w:rsidP="00DA7F65">
      <w:pPr>
        <w:jc w:val="both"/>
        <w:rPr>
          <w:bCs/>
          <w:color w:val="000000"/>
          <w:lang w:eastAsia="hr-HR"/>
        </w:rPr>
      </w:pPr>
      <w:r w:rsidRPr="00DA7F65">
        <w:rPr>
          <w:lang w:val="hr-HR"/>
        </w:rPr>
        <w:t xml:space="preserve">U Proračunu </w:t>
      </w:r>
      <w:r w:rsidR="00A07DE7">
        <w:rPr>
          <w:lang w:val="hr-HR"/>
        </w:rPr>
        <w:t xml:space="preserve">Grada Rijeke </w:t>
      </w:r>
      <w:r w:rsidRPr="00DA7F65">
        <w:rPr>
          <w:lang w:val="hr-HR"/>
        </w:rPr>
        <w:t xml:space="preserve">za 2025. godinu planirani su veći rashodi od prihoda u iznosu od </w:t>
      </w:r>
      <w:r w:rsidRPr="00DA7F65">
        <w:rPr>
          <w:bCs/>
          <w:color w:val="000000"/>
          <w:lang w:eastAsia="hr-HR"/>
        </w:rPr>
        <w:t xml:space="preserve">18.010.701 </w:t>
      </w:r>
      <w:r w:rsidRPr="00DA7F65">
        <w:rPr>
          <w:lang w:val="hr-HR"/>
        </w:rPr>
        <w:t>eur</w:t>
      </w:r>
      <w:r w:rsidR="0004165E">
        <w:rPr>
          <w:lang w:val="hr-HR"/>
        </w:rPr>
        <w:t>o</w:t>
      </w:r>
      <w:r w:rsidRPr="00DA7F65">
        <w:rPr>
          <w:lang w:val="hr-HR"/>
        </w:rPr>
        <w:t xml:space="preserve"> koji se pokri</w:t>
      </w:r>
      <w:r w:rsidR="00AD498F">
        <w:rPr>
          <w:lang w:val="hr-HR"/>
        </w:rPr>
        <w:t>vaju</w:t>
      </w:r>
      <w:r w:rsidRPr="00DA7F65">
        <w:rPr>
          <w:lang w:val="hr-HR"/>
        </w:rPr>
        <w:t xml:space="preserve"> iz izvora Višak prihoda iz prethodnih godina.</w:t>
      </w:r>
    </w:p>
    <w:p w:rsidR="00FF43F7" w:rsidRPr="001B572C" w:rsidRDefault="00FF43F7" w:rsidP="001B572C">
      <w:pPr>
        <w:jc w:val="both"/>
        <w:rPr>
          <w:noProof/>
          <w:lang w:val="hr-HR"/>
        </w:rPr>
      </w:pPr>
    </w:p>
    <w:p w:rsidR="00FF43F7" w:rsidRPr="001B572C" w:rsidRDefault="00117A29">
      <w:pPr>
        <w:keepNext/>
        <w:spacing w:line="240" w:lineRule="auto"/>
        <w:jc w:val="center"/>
        <w:rPr>
          <w:noProof/>
          <w:lang w:val="hr-HR"/>
        </w:rPr>
      </w:pPr>
      <w:r w:rsidRPr="001B572C">
        <w:rPr>
          <w:noProof/>
          <w:sz w:val="28"/>
          <w:lang w:val="hr-HR"/>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F43F7" w:rsidRPr="001B572C">
        <w:trPr>
          <w:cantSplit/>
        </w:trPr>
        <w:tc>
          <w:tcPr>
            <w:tcW w:w="70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Račun iz rač. plana</w:t>
            </w:r>
          </w:p>
        </w:tc>
        <w:tc>
          <w:tcPr>
            <w:tcW w:w="318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Opis stavke</w:t>
            </w:r>
          </w:p>
        </w:tc>
        <w:tc>
          <w:tcPr>
            <w:tcW w:w="70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Šifra</w:t>
            </w:r>
          </w:p>
        </w:tc>
        <w:tc>
          <w:tcPr>
            <w:tcW w:w="186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Ostvareno u izvještajnom razdoblju prethodne godine</w:t>
            </w:r>
          </w:p>
        </w:tc>
        <w:tc>
          <w:tcPr>
            <w:tcW w:w="186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Ostvareno u izvještajnom razdoblju tekuće godine</w:t>
            </w:r>
          </w:p>
        </w:tc>
        <w:tc>
          <w:tcPr>
            <w:tcW w:w="70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Indeks (%)</w:t>
            </w:r>
          </w:p>
        </w:tc>
      </w:tr>
      <w:tr w:rsidR="00FF43F7" w:rsidRPr="001B572C">
        <w:trPr>
          <w:cantSplit/>
          <w:trHeight w:val="560"/>
        </w:trPr>
        <w:tc>
          <w:tcPr>
            <w:tcW w:w="700" w:type="dxa"/>
            <w:tcMar>
              <w:top w:w="0" w:type="dxa"/>
              <w:bottom w:w="0" w:type="dxa"/>
            </w:tcMar>
            <w:vAlign w:val="center"/>
          </w:tcPr>
          <w:p w:rsidR="00FF43F7" w:rsidRPr="001B572C" w:rsidRDefault="00117A29">
            <w:pPr>
              <w:keepNext/>
              <w:keepLines/>
              <w:spacing w:after="0" w:line="240" w:lineRule="auto"/>
              <w:rPr>
                <w:noProof/>
                <w:lang w:val="hr-HR"/>
              </w:rPr>
            </w:pPr>
            <w:r w:rsidRPr="001B572C">
              <w:rPr>
                <w:noProof/>
                <w:sz w:val="18"/>
                <w:lang w:val="hr-HR"/>
              </w:rPr>
              <w:t>611</w:t>
            </w:r>
          </w:p>
        </w:tc>
        <w:tc>
          <w:tcPr>
            <w:tcW w:w="3180" w:type="dxa"/>
            <w:tcMar>
              <w:top w:w="0" w:type="dxa"/>
              <w:bottom w:w="0" w:type="dxa"/>
            </w:tcMar>
            <w:vAlign w:val="center"/>
          </w:tcPr>
          <w:p w:rsidR="00FF43F7" w:rsidRPr="001B572C" w:rsidRDefault="00117A29">
            <w:pPr>
              <w:keepNext/>
              <w:keepLines/>
              <w:spacing w:after="0" w:line="240" w:lineRule="auto"/>
              <w:rPr>
                <w:noProof/>
                <w:lang w:val="hr-HR"/>
              </w:rPr>
            </w:pPr>
            <w:r w:rsidRPr="001B572C">
              <w:rPr>
                <w:noProof/>
                <w:sz w:val="18"/>
                <w:lang w:val="hr-HR"/>
              </w:rPr>
              <w:t>Porez na dohodak (šifre 6111 do 6116 - 6117 - 6119)</w:t>
            </w:r>
          </w:p>
        </w:tc>
        <w:tc>
          <w:tcPr>
            <w:tcW w:w="700" w:type="dxa"/>
            <w:tcMar>
              <w:top w:w="0" w:type="dxa"/>
              <w:bottom w:w="0" w:type="dxa"/>
            </w:tcMar>
            <w:vAlign w:val="center"/>
          </w:tcPr>
          <w:p w:rsidR="00FF43F7" w:rsidRPr="001B572C" w:rsidRDefault="00117A29">
            <w:pPr>
              <w:keepNext/>
              <w:keepLines/>
              <w:spacing w:after="0" w:line="240" w:lineRule="auto"/>
              <w:rPr>
                <w:noProof/>
                <w:lang w:val="hr-HR"/>
              </w:rPr>
            </w:pPr>
            <w:r w:rsidRPr="001B572C">
              <w:rPr>
                <w:noProof/>
                <w:sz w:val="18"/>
                <w:lang w:val="hr-HR"/>
              </w:rPr>
              <w:t>611</w:t>
            </w:r>
          </w:p>
        </w:tc>
        <w:tc>
          <w:tcPr>
            <w:tcW w:w="1860" w:type="dxa"/>
            <w:tcMar>
              <w:top w:w="0" w:type="dxa"/>
              <w:bottom w:w="0" w:type="dxa"/>
            </w:tcMar>
            <w:vAlign w:val="center"/>
          </w:tcPr>
          <w:p w:rsidR="00FF43F7" w:rsidRPr="001B572C" w:rsidRDefault="00117A29">
            <w:pPr>
              <w:keepNext/>
              <w:keepLines/>
              <w:spacing w:after="0" w:line="240" w:lineRule="auto"/>
              <w:jc w:val="right"/>
              <w:rPr>
                <w:noProof/>
                <w:lang w:val="hr-HR"/>
              </w:rPr>
            </w:pPr>
            <w:r w:rsidRPr="001B572C">
              <w:rPr>
                <w:noProof/>
                <w:sz w:val="18"/>
                <w:lang w:val="hr-HR"/>
              </w:rPr>
              <w:t>87.017.072,60</w:t>
            </w:r>
          </w:p>
        </w:tc>
        <w:tc>
          <w:tcPr>
            <w:tcW w:w="1860" w:type="dxa"/>
            <w:tcMar>
              <w:top w:w="0" w:type="dxa"/>
              <w:bottom w:w="0" w:type="dxa"/>
            </w:tcMar>
            <w:vAlign w:val="center"/>
          </w:tcPr>
          <w:p w:rsidR="00FF43F7" w:rsidRPr="001B572C" w:rsidRDefault="00117A29">
            <w:pPr>
              <w:keepNext/>
              <w:keepLines/>
              <w:spacing w:after="0" w:line="240" w:lineRule="auto"/>
              <w:jc w:val="right"/>
              <w:rPr>
                <w:noProof/>
                <w:lang w:val="hr-HR"/>
              </w:rPr>
            </w:pPr>
            <w:r w:rsidRPr="001B572C">
              <w:rPr>
                <w:noProof/>
                <w:sz w:val="18"/>
                <w:lang w:val="hr-HR"/>
              </w:rPr>
              <w:t>99.247.045,21</w:t>
            </w:r>
          </w:p>
        </w:tc>
        <w:tc>
          <w:tcPr>
            <w:tcW w:w="700" w:type="dxa"/>
            <w:tcMar>
              <w:top w:w="0" w:type="dxa"/>
              <w:bottom w:w="0" w:type="dxa"/>
            </w:tcMar>
            <w:vAlign w:val="center"/>
          </w:tcPr>
          <w:p w:rsidR="00FF43F7" w:rsidRPr="001B572C" w:rsidRDefault="00117A29">
            <w:pPr>
              <w:keepNext/>
              <w:keepLines/>
              <w:spacing w:after="0" w:line="240" w:lineRule="auto"/>
              <w:jc w:val="right"/>
              <w:rPr>
                <w:noProof/>
                <w:lang w:val="hr-HR"/>
              </w:rPr>
            </w:pPr>
            <w:r w:rsidRPr="001B572C">
              <w:rPr>
                <w:noProof/>
                <w:sz w:val="18"/>
                <w:lang w:val="hr-HR"/>
              </w:rPr>
              <w:t>114,1</w:t>
            </w:r>
          </w:p>
        </w:tc>
      </w:tr>
    </w:tbl>
    <w:p w:rsidR="00BD7A41" w:rsidRDefault="00117A29">
      <w:pPr>
        <w:rPr>
          <w:noProof/>
          <w:lang w:val="hr-HR"/>
        </w:rPr>
      </w:pPr>
      <w:r w:rsidRPr="001B572C">
        <w:rPr>
          <w:noProof/>
          <w:lang w:val="hr-HR"/>
        </w:rPr>
        <w:t> </w:t>
      </w:r>
    </w:p>
    <w:p w:rsidR="00FF43F7" w:rsidRPr="001B572C" w:rsidRDefault="00117A29" w:rsidP="00BD7A41">
      <w:pPr>
        <w:jc w:val="both"/>
        <w:rPr>
          <w:noProof/>
          <w:lang w:val="hr-HR"/>
        </w:rPr>
      </w:pPr>
      <w:r w:rsidRPr="001B572C">
        <w:rPr>
          <w:noProof/>
          <w:lang w:val="hr-HR"/>
        </w:rPr>
        <w:t xml:space="preserve">Porez na dohodak </w:t>
      </w:r>
      <w:r w:rsidR="00377A24" w:rsidRPr="001B572C">
        <w:rPr>
          <w:noProof/>
          <w:lang w:val="hr-HR"/>
        </w:rPr>
        <w:t xml:space="preserve">(prihod ostvaren u Gradu) </w:t>
      </w:r>
      <w:r w:rsidRPr="001B572C">
        <w:rPr>
          <w:noProof/>
          <w:lang w:val="hr-HR"/>
        </w:rPr>
        <w:t>bilježi rast za 12.229.972,61 eura ili 14,1% u odnosu na isto razdoblje prethodne godine. Veće ostvarenje poreza na dohodak posljedica je gospodarskog rasta i porasta plaća zaposlenih. </w:t>
      </w:r>
    </w:p>
    <w:p w:rsidR="00FF43F7" w:rsidRPr="001B572C" w:rsidRDefault="00FF43F7">
      <w:pPr>
        <w:rPr>
          <w:noProof/>
          <w:lang w:val="hr-HR"/>
        </w:rPr>
      </w:pPr>
    </w:p>
    <w:p w:rsidR="00FF43F7" w:rsidRPr="001B572C" w:rsidRDefault="00117A29">
      <w:pPr>
        <w:keepNext/>
        <w:spacing w:line="240" w:lineRule="auto"/>
        <w:jc w:val="center"/>
        <w:rPr>
          <w:noProof/>
          <w:lang w:val="hr-HR"/>
        </w:rPr>
      </w:pPr>
      <w:r w:rsidRPr="001B572C">
        <w:rPr>
          <w:noProof/>
          <w:sz w:val="28"/>
          <w:lang w:val="hr-HR"/>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F43F7" w:rsidRPr="001B572C">
        <w:trPr>
          <w:cantSplit/>
        </w:trPr>
        <w:tc>
          <w:tcPr>
            <w:tcW w:w="70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Račun iz rač. plana</w:t>
            </w:r>
          </w:p>
        </w:tc>
        <w:tc>
          <w:tcPr>
            <w:tcW w:w="318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Opis stavke</w:t>
            </w:r>
          </w:p>
        </w:tc>
        <w:tc>
          <w:tcPr>
            <w:tcW w:w="70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Šifra</w:t>
            </w:r>
          </w:p>
        </w:tc>
        <w:tc>
          <w:tcPr>
            <w:tcW w:w="186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Ostvareno u izvještajnom razdoblju prethodne godine</w:t>
            </w:r>
          </w:p>
        </w:tc>
        <w:tc>
          <w:tcPr>
            <w:tcW w:w="186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Ostvareno u izvještajnom razdoblju tekuće godine</w:t>
            </w:r>
          </w:p>
        </w:tc>
        <w:tc>
          <w:tcPr>
            <w:tcW w:w="70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Indeks (%)</w:t>
            </w:r>
          </w:p>
        </w:tc>
      </w:tr>
      <w:tr w:rsidR="00FF43F7" w:rsidRPr="001B572C">
        <w:trPr>
          <w:cantSplit/>
          <w:trHeight w:val="560"/>
        </w:trPr>
        <w:tc>
          <w:tcPr>
            <w:tcW w:w="700" w:type="dxa"/>
            <w:tcMar>
              <w:top w:w="0" w:type="dxa"/>
              <w:bottom w:w="0" w:type="dxa"/>
            </w:tcMar>
            <w:vAlign w:val="center"/>
          </w:tcPr>
          <w:p w:rsidR="00FF43F7" w:rsidRPr="001B572C" w:rsidRDefault="00117A29">
            <w:pPr>
              <w:keepNext/>
              <w:keepLines/>
              <w:spacing w:after="0" w:line="240" w:lineRule="auto"/>
              <w:rPr>
                <w:noProof/>
                <w:lang w:val="hr-HR"/>
              </w:rPr>
            </w:pPr>
            <w:r w:rsidRPr="001B572C">
              <w:rPr>
                <w:noProof/>
                <w:sz w:val="18"/>
                <w:lang w:val="hr-HR"/>
              </w:rPr>
              <w:t>6131</w:t>
            </w:r>
          </w:p>
        </w:tc>
        <w:tc>
          <w:tcPr>
            <w:tcW w:w="3180" w:type="dxa"/>
            <w:tcMar>
              <w:top w:w="0" w:type="dxa"/>
              <w:bottom w:w="0" w:type="dxa"/>
            </w:tcMar>
            <w:vAlign w:val="center"/>
          </w:tcPr>
          <w:p w:rsidR="00FF43F7" w:rsidRPr="001B572C" w:rsidRDefault="00117A29">
            <w:pPr>
              <w:keepNext/>
              <w:keepLines/>
              <w:spacing w:after="0" w:line="240" w:lineRule="auto"/>
              <w:rPr>
                <w:noProof/>
                <w:lang w:val="hr-HR"/>
              </w:rPr>
            </w:pPr>
            <w:r w:rsidRPr="001B572C">
              <w:rPr>
                <w:noProof/>
                <w:sz w:val="18"/>
                <w:lang w:val="hr-HR"/>
              </w:rPr>
              <w:t>Stalni porezi na nepokretnu imovinu (zemlju, zgrade, kuće i ostalo)</w:t>
            </w:r>
          </w:p>
        </w:tc>
        <w:tc>
          <w:tcPr>
            <w:tcW w:w="700" w:type="dxa"/>
            <w:tcMar>
              <w:top w:w="0" w:type="dxa"/>
              <w:bottom w:w="0" w:type="dxa"/>
            </w:tcMar>
            <w:vAlign w:val="center"/>
          </w:tcPr>
          <w:p w:rsidR="00FF43F7" w:rsidRPr="001B572C" w:rsidRDefault="00117A29">
            <w:pPr>
              <w:keepNext/>
              <w:keepLines/>
              <w:spacing w:after="0" w:line="240" w:lineRule="auto"/>
              <w:rPr>
                <w:noProof/>
                <w:lang w:val="hr-HR"/>
              </w:rPr>
            </w:pPr>
            <w:r w:rsidRPr="001B572C">
              <w:rPr>
                <w:noProof/>
                <w:sz w:val="18"/>
                <w:lang w:val="hr-HR"/>
              </w:rPr>
              <w:t>6131</w:t>
            </w:r>
          </w:p>
        </w:tc>
        <w:tc>
          <w:tcPr>
            <w:tcW w:w="1860" w:type="dxa"/>
            <w:tcMar>
              <w:top w:w="0" w:type="dxa"/>
              <w:bottom w:w="0" w:type="dxa"/>
            </w:tcMar>
            <w:vAlign w:val="center"/>
          </w:tcPr>
          <w:p w:rsidR="00FF43F7" w:rsidRPr="001B572C" w:rsidRDefault="00117A29">
            <w:pPr>
              <w:keepNext/>
              <w:keepLines/>
              <w:spacing w:after="0" w:line="240" w:lineRule="auto"/>
              <w:jc w:val="right"/>
              <w:rPr>
                <w:noProof/>
                <w:lang w:val="hr-HR"/>
              </w:rPr>
            </w:pPr>
            <w:r w:rsidRPr="001B572C">
              <w:rPr>
                <w:noProof/>
                <w:sz w:val="18"/>
                <w:lang w:val="hr-HR"/>
              </w:rPr>
              <w:t>179.220,44</w:t>
            </w:r>
          </w:p>
        </w:tc>
        <w:tc>
          <w:tcPr>
            <w:tcW w:w="1860" w:type="dxa"/>
            <w:tcMar>
              <w:top w:w="0" w:type="dxa"/>
              <w:bottom w:w="0" w:type="dxa"/>
            </w:tcMar>
            <w:vAlign w:val="center"/>
          </w:tcPr>
          <w:p w:rsidR="00FF43F7" w:rsidRPr="001B572C" w:rsidRDefault="00117A29">
            <w:pPr>
              <w:keepNext/>
              <w:keepLines/>
              <w:spacing w:after="0" w:line="240" w:lineRule="auto"/>
              <w:jc w:val="right"/>
              <w:rPr>
                <w:noProof/>
                <w:lang w:val="hr-HR"/>
              </w:rPr>
            </w:pPr>
            <w:r w:rsidRPr="001B572C">
              <w:rPr>
                <w:noProof/>
                <w:sz w:val="18"/>
                <w:lang w:val="hr-HR"/>
              </w:rPr>
              <w:t>769.493,24</w:t>
            </w:r>
          </w:p>
        </w:tc>
        <w:tc>
          <w:tcPr>
            <w:tcW w:w="700" w:type="dxa"/>
            <w:tcMar>
              <w:top w:w="0" w:type="dxa"/>
              <w:bottom w:w="0" w:type="dxa"/>
            </w:tcMar>
            <w:vAlign w:val="center"/>
          </w:tcPr>
          <w:p w:rsidR="00FF43F7" w:rsidRPr="001B572C" w:rsidRDefault="00117A29">
            <w:pPr>
              <w:keepNext/>
              <w:keepLines/>
              <w:spacing w:after="0" w:line="240" w:lineRule="auto"/>
              <w:jc w:val="right"/>
              <w:rPr>
                <w:noProof/>
                <w:lang w:val="hr-HR"/>
              </w:rPr>
            </w:pPr>
            <w:r w:rsidRPr="001B572C">
              <w:rPr>
                <w:noProof/>
                <w:sz w:val="18"/>
                <w:lang w:val="hr-HR"/>
              </w:rPr>
              <w:t>429,4</w:t>
            </w:r>
          </w:p>
        </w:tc>
      </w:tr>
    </w:tbl>
    <w:p w:rsidR="00FF43F7" w:rsidRPr="001B572C" w:rsidRDefault="00FF43F7">
      <w:pPr>
        <w:spacing w:after="0"/>
        <w:rPr>
          <w:noProof/>
          <w:lang w:val="hr-HR"/>
        </w:rPr>
      </w:pPr>
    </w:p>
    <w:p w:rsidR="00FF43F7" w:rsidRPr="001B572C" w:rsidRDefault="00651FE5" w:rsidP="00C90DC3">
      <w:pPr>
        <w:jc w:val="both"/>
        <w:rPr>
          <w:noProof/>
          <w:lang w:val="hr-HR"/>
        </w:rPr>
      </w:pPr>
      <w:r>
        <w:rPr>
          <w:noProof/>
          <w:lang w:val="hr-HR"/>
        </w:rPr>
        <w:t>Kod s</w:t>
      </w:r>
      <w:r w:rsidR="00117A29" w:rsidRPr="001B572C">
        <w:rPr>
          <w:noProof/>
          <w:lang w:val="hr-HR"/>
        </w:rPr>
        <w:t>talni</w:t>
      </w:r>
      <w:r>
        <w:rPr>
          <w:noProof/>
          <w:lang w:val="hr-HR"/>
        </w:rPr>
        <w:t>h</w:t>
      </w:r>
      <w:r w:rsidR="00117A29" w:rsidRPr="001B572C">
        <w:rPr>
          <w:noProof/>
          <w:lang w:val="hr-HR"/>
        </w:rPr>
        <w:t xml:space="preserve"> porez</w:t>
      </w:r>
      <w:r>
        <w:rPr>
          <w:noProof/>
          <w:lang w:val="hr-HR"/>
        </w:rPr>
        <w:t>a</w:t>
      </w:r>
      <w:r w:rsidR="00117A29" w:rsidRPr="001B572C">
        <w:rPr>
          <w:noProof/>
          <w:lang w:val="hr-HR"/>
        </w:rPr>
        <w:t xml:space="preserve"> na nepokretnu imovinu </w:t>
      </w:r>
      <w:r w:rsidR="001910D5">
        <w:rPr>
          <w:noProof/>
          <w:lang w:val="hr-HR"/>
        </w:rPr>
        <w:t>(</w:t>
      </w:r>
      <w:r w:rsidR="00C13E18" w:rsidRPr="001B572C">
        <w:rPr>
          <w:noProof/>
          <w:lang w:val="hr-HR"/>
        </w:rPr>
        <w:t>prihod</w:t>
      </w:r>
      <w:r w:rsidR="00C90DC3">
        <w:rPr>
          <w:noProof/>
          <w:lang w:val="hr-HR"/>
        </w:rPr>
        <w:t xml:space="preserve">i </w:t>
      </w:r>
      <w:r w:rsidR="00C13E18" w:rsidRPr="001B572C">
        <w:rPr>
          <w:noProof/>
          <w:lang w:val="hr-HR"/>
        </w:rPr>
        <w:t>Grad</w:t>
      </w:r>
      <w:r w:rsidR="00C90DC3">
        <w:rPr>
          <w:noProof/>
          <w:lang w:val="hr-HR"/>
        </w:rPr>
        <w:t>a</w:t>
      </w:r>
      <w:r w:rsidR="001910D5">
        <w:rPr>
          <w:noProof/>
          <w:lang w:val="hr-HR"/>
        </w:rPr>
        <w:t>)</w:t>
      </w:r>
      <w:r w:rsidR="00117A29" w:rsidRPr="001B572C">
        <w:rPr>
          <w:noProof/>
          <w:lang w:val="hr-HR"/>
        </w:rPr>
        <w:t xml:space="preserve"> </w:t>
      </w:r>
      <w:r>
        <w:rPr>
          <w:noProof/>
          <w:lang w:val="hr-HR"/>
        </w:rPr>
        <w:t>zabilježeno je povećanje ostvarenja od 329,4% u odnosu na prethodnu godinu.</w:t>
      </w:r>
      <w:r w:rsidR="00FE72F2" w:rsidRPr="001B572C">
        <w:rPr>
          <w:noProof/>
          <w:lang w:val="hr-HR"/>
        </w:rPr>
        <w:t xml:space="preserve"> </w:t>
      </w:r>
      <w:r w:rsidR="00117A29" w:rsidRPr="001B572C">
        <w:rPr>
          <w:noProof/>
          <w:lang w:val="hr-HR"/>
        </w:rPr>
        <w:t xml:space="preserve"> </w:t>
      </w:r>
      <w:r>
        <w:rPr>
          <w:noProof/>
          <w:lang w:val="hr-HR"/>
        </w:rPr>
        <w:t xml:space="preserve">Radi se </w:t>
      </w:r>
      <w:r w:rsidR="00117A29" w:rsidRPr="001B572C">
        <w:rPr>
          <w:noProof/>
          <w:lang w:val="hr-HR"/>
        </w:rPr>
        <w:t xml:space="preserve">uglavnom </w:t>
      </w:r>
      <w:r>
        <w:rPr>
          <w:noProof/>
          <w:lang w:val="hr-HR"/>
        </w:rPr>
        <w:t>o</w:t>
      </w:r>
      <w:r w:rsidR="00117A29" w:rsidRPr="001B572C">
        <w:rPr>
          <w:noProof/>
          <w:lang w:val="hr-HR"/>
        </w:rPr>
        <w:t xml:space="preserve"> porez</w:t>
      </w:r>
      <w:r>
        <w:rPr>
          <w:noProof/>
          <w:lang w:val="hr-HR"/>
        </w:rPr>
        <w:t>u</w:t>
      </w:r>
      <w:r w:rsidR="00117A29" w:rsidRPr="001B572C">
        <w:rPr>
          <w:noProof/>
          <w:lang w:val="hr-HR"/>
        </w:rPr>
        <w:t xml:space="preserve"> na nekretnine</w:t>
      </w:r>
      <w:r>
        <w:rPr>
          <w:noProof/>
          <w:lang w:val="hr-HR"/>
        </w:rPr>
        <w:t xml:space="preserve"> koji je uveden ove godine </w:t>
      </w:r>
      <w:r w:rsidR="00117A29" w:rsidRPr="001B572C">
        <w:rPr>
          <w:noProof/>
          <w:lang w:val="hr-HR"/>
        </w:rPr>
        <w:t xml:space="preserve">i u manjem dijelu </w:t>
      </w:r>
      <w:r>
        <w:rPr>
          <w:noProof/>
          <w:lang w:val="hr-HR"/>
        </w:rPr>
        <w:t>o naplati</w:t>
      </w:r>
      <w:r w:rsidR="00117A29" w:rsidRPr="001B572C">
        <w:rPr>
          <w:noProof/>
          <w:lang w:val="hr-HR"/>
        </w:rPr>
        <w:t xml:space="preserve"> poreza na kuće za odmor </w:t>
      </w:r>
      <w:r>
        <w:rPr>
          <w:noProof/>
          <w:lang w:val="hr-HR"/>
        </w:rPr>
        <w:t xml:space="preserve">koji je zadužen </w:t>
      </w:r>
      <w:r w:rsidR="00117A29" w:rsidRPr="001B572C">
        <w:rPr>
          <w:noProof/>
          <w:lang w:val="hr-HR"/>
        </w:rPr>
        <w:t xml:space="preserve"> </w:t>
      </w:r>
      <w:r>
        <w:rPr>
          <w:noProof/>
          <w:lang w:val="hr-HR"/>
        </w:rPr>
        <w:t>prethodnih</w:t>
      </w:r>
      <w:r w:rsidR="00117A29" w:rsidRPr="001B572C">
        <w:rPr>
          <w:noProof/>
          <w:lang w:val="hr-HR"/>
        </w:rPr>
        <w:t xml:space="preserve"> godina. Porez na nekretnine zamjenjuje porez na kuće za odmor i primjenjuje se na sve stambene nekretnine koje ne služe za stalno stanovanje ili dugoročni najam</w:t>
      </w:r>
      <w:r w:rsidR="00117A29" w:rsidRPr="00651FE5">
        <w:rPr>
          <w:noProof/>
          <w:lang w:val="hr-HR"/>
        </w:rPr>
        <w:t xml:space="preserve">. </w:t>
      </w:r>
    </w:p>
    <w:p w:rsidR="00FF43F7" w:rsidRPr="001B572C" w:rsidRDefault="00FF43F7">
      <w:pPr>
        <w:rPr>
          <w:noProof/>
          <w:lang w:val="hr-HR"/>
        </w:rPr>
      </w:pPr>
    </w:p>
    <w:p w:rsidR="00FF43F7" w:rsidRPr="001B572C" w:rsidRDefault="00117A29">
      <w:pPr>
        <w:keepNext/>
        <w:spacing w:line="240" w:lineRule="auto"/>
        <w:jc w:val="center"/>
        <w:rPr>
          <w:noProof/>
          <w:lang w:val="hr-HR"/>
        </w:rPr>
      </w:pPr>
      <w:r w:rsidRPr="001B572C">
        <w:rPr>
          <w:noProof/>
          <w:sz w:val="28"/>
          <w:lang w:val="hr-HR"/>
        </w:rPr>
        <w:lastRenderedPageBreak/>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F43F7" w:rsidRPr="001B572C">
        <w:trPr>
          <w:cantSplit/>
        </w:trPr>
        <w:tc>
          <w:tcPr>
            <w:tcW w:w="70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Račun iz rač. plana</w:t>
            </w:r>
          </w:p>
        </w:tc>
        <w:tc>
          <w:tcPr>
            <w:tcW w:w="318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Opis stavke</w:t>
            </w:r>
          </w:p>
        </w:tc>
        <w:tc>
          <w:tcPr>
            <w:tcW w:w="70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Šifra</w:t>
            </w:r>
          </w:p>
        </w:tc>
        <w:tc>
          <w:tcPr>
            <w:tcW w:w="186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Ostvareno u izvještajnom razdoblju prethodne godine</w:t>
            </w:r>
          </w:p>
        </w:tc>
        <w:tc>
          <w:tcPr>
            <w:tcW w:w="186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Ostvareno u izvještajnom razdoblju tekuće godine</w:t>
            </w:r>
          </w:p>
        </w:tc>
        <w:tc>
          <w:tcPr>
            <w:tcW w:w="70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Indeks (%)</w:t>
            </w:r>
          </w:p>
        </w:tc>
      </w:tr>
      <w:tr w:rsidR="00FF43F7" w:rsidRPr="001B572C">
        <w:trPr>
          <w:cantSplit/>
          <w:trHeight w:val="560"/>
        </w:trPr>
        <w:tc>
          <w:tcPr>
            <w:tcW w:w="700" w:type="dxa"/>
            <w:tcMar>
              <w:top w:w="0" w:type="dxa"/>
              <w:bottom w:w="0" w:type="dxa"/>
            </w:tcMar>
            <w:vAlign w:val="center"/>
          </w:tcPr>
          <w:p w:rsidR="00FF43F7" w:rsidRPr="001B572C" w:rsidRDefault="00117A29">
            <w:pPr>
              <w:keepNext/>
              <w:keepLines/>
              <w:spacing w:after="0" w:line="240" w:lineRule="auto"/>
              <w:rPr>
                <w:noProof/>
                <w:lang w:val="hr-HR"/>
              </w:rPr>
            </w:pPr>
            <w:r w:rsidRPr="001B572C">
              <w:rPr>
                <w:noProof/>
                <w:sz w:val="18"/>
                <w:lang w:val="hr-HR"/>
              </w:rPr>
              <w:t>63</w:t>
            </w:r>
          </w:p>
        </w:tc>
        <w:tc>
          <w:tcPr>
            <w:tcW w:w="3180" w:type="dxa"/>
            <w:tcMar>
              <w:top w:w="0" w:type="dxa"/>
              <w:bottom w:w="0" w:type="dxa"/>
            </w:tcMar>
            <w:vAlign w:val="center"/>
          </w:tcPr>
          <w:p w:rsidR="00FF43F7" w:rsidRPr="001B572C" w:rsidRDefault="00117A29">
            <w:pPr>
              <w:keepNext/>
              <w:keepLines/>
              <w:spacing w:after="0" w:line="240" w:lineRule="auto"/>
              <w:rPr>
                <w:noProof/>
                <w:lang w:val="hr-HR"/>
              </w:rPr>
            </w:pPr>
            <w:r w:rsidRPr="001B572C">
              <w:rPr>
                <w:noProof/>
                <w:sz w:val="18"/>
                <w:lang w:val="hr-HR"/>
              </w:rPr>
              <w:t>Pomoći iz inozemstva i od subjekata unutar općeg proračuna (šifre 631+632+633+634+635+636+637+638+639)</w:t>
            </w:r>
          </w:p>
        </w:tc>
        <w:tc>
          <w:tcPr>
            <w:tcW w:w="700" w:type="dxa"/>
            <w:tcMar>
              <w:top w:w="0" w:type="dxa"/>
              <w:bottom w:w="0" w:type="dxa"/>
            </w:tcMar>
            <w:vAlign w:val="center"/>
          </w:tcPr>
          <w:p w:rsidR="00FF43F7" w:rsidRPr="001B572C" w:rsidRDefault="00117A29">
            <w:pPr>
              <w:keepNext/>
              <w:keepLines/>
              <w:spacing w:after="0" w:line="240" w:lineRule="auto"/>
              <w:rPr>
                <w:noProof/>
                <w:lang w:val="hr-HR"/>
              </w:rPr>
            </w:pPr>
            <w:r w:rsidRPr="001B572C">
              <w:rPr>
                <w:noProof/>
                <w:sz w:val="18"/>
                <w:lang w:val="hr-HR"/>
              </w:rPr>
              <w:t>63</w:t>
            </w:r>
          </w:p>
        </w:tc>
        <w:tc>
          <w:tcPr>
            <w:tcW w:w="1860" w:type="dxa"/>
            <w:tcMar>
              <w:top w:w="0" w:type="dxa"/>
              <w:bottom w:w="0" w:type="dxa"/>
            </w:tcMar>
            <w:vAlign w:val="center"/>
          </w:tcPr>
          <w:p w:rsidR="00FF43F7" w:rsidRPr="001B572C" w:rsidRDefault="00117A29">
            <w:pPr>
              <w:keepNext/>
              <w:keepLines/>
              <w:spacing w:after="0" w:line="240" w:lineRule="auto"/>
              <w:jc w:val="right"/>
              <w:rPr>
                <w:noProof/>
                <w:lang w:val="hr-HR"/>
              </w:rPr>
            </w:pPr>
            <w:r w:rsidRPr="001B572C">
              <w:rPr>
                <w:noProof/>
                <w:sz w:val="18"/>
                <w:lang w:val="hr-HR"/>
              </w:rPr>
              <w:t>46.440.284,95</w:t>
            </w:r>
          </w:p>
        </w:tc>
        <w:tc>
          <w:tcPr>
            <w:tcW w:w="1860" w:type="dxa"/>
            <w:tcMar>
              <w:top w:w="0" w:type="dxa"/>
              <w:bottom w:w="0" w:type="dxa"/>
            </w:tcMar>
            <w:vAlign w:val="center"/>
          </w:tcPr>
          <w:p w:rsidR="00FF43F7" w:rsidRPr="001B572C" w:rsidRDefault="00117A29">
            <w:pPr>
              <w:keepNext/>
              <w:keepLines/>
              <w:spacing w:after="0" w:line="240" w:lineRule="auto"/>
              <w:jc w:val="right"/>
              <w:rPr>
                <w:noProof/>
                <w:lang w:val="hr-HR"/>
              </w:rPr>
            </w:pPr>
            <w:r w:rsidRPr="001B572C">
              <w:rPr>
                <w:noProof/>
                <w:sz w:val="18"/>
                <w:lang w:val="hr-HR"/>
              </w:rPr>
              <w:t>46.994.825,71</w:t>
            </w:r>
          </w:p>
        </w:tc>
        <w:tc>
          <w:tcPr>
            <w:tcW w:w="700" w:type="dxa"/>
            <w:tcMar>
              <w:top w:w="0" w:type="dxa"/>
              <w:bottom w:w="0" w:type="dxa"/>
            </w:tcMar>
            <w:vAlign w:val="center"/>
          </w:tcPr>
          <w:p w:rsidR="00FF43F7" w:rsidRPr="001B572C" w:rsidRDefault="00117A29">
            <w:pPr>
              <w:keepNext/>
              <w:keepLines/>
              <w:spacing w:after="0" w:line="240" w:lineRule="auto"/>
              <w:jc w:val="right"/>
              <w:rPr>
                <w:noProof/>
                <w:lang w:val="hr-HR"/>
              </w:rPr>
            </w:pPr>
            <w:r w:rsidRPr="001B572C">
              <w:rPr>
                <w:noProof/>
                <w:sz w:val="18"/>
                <w:lang w:val="hr-HR"/>
              </w:rPr>
              <w:t>101,2</w:t>
            </w:r>
          </w:p>
        </w:tc>
      </w:tr>
    </w:tbl>
    <w:p w:rsidR="00FF43F7" w:rsidRPr="001B572C" w:rsidRDefault="00FF43F7">
      <w:pPr>
        <w:spacing w:after="0"/>
        <w:rPr>
          <w:noProof/>
          <w:lang w:val="hr-HR"/>
        </w:rPr>
      </w:pPr>
    </w:p>
    <w:p w:rsidR="00FF43F7" w:rsidRPr="001B572C" w:rsidRDefault="00117A29" w:rsidP="00307242">
      <w:pPr>
        <w:jc w:val="both"/>
        <w:rPr>
          <w:noProof/>
          <w:lang w:val="hr-HR"/>
        </w:rPr>
      </w:pPr>
      <w:r w:rsidRPr="001B572C">
        <w:rPr>
          <w:noProof/>
          <w:lang w:val="hr-HR"/>
        </w:rPr>
        <w:t xml:space="preserve">Prihodi od pomoći (63) ostvareni su u ukupnom iznosu od 46.994.825,71 eura i bilježe rast za 554.540,76 eura u </w:t>
      </w:r>
      <w:r w:rsidR="00C13E18" w:rsidRPr="001B572C">
        <w:rPr>
          <w:noProof/>
          <w:lang w:val="hr-HR"/>
        </w:rPr>
        <w:t>odnosu na prethodnu godinu k</w:t>
      </w:r>
      <w:r w:rsidRPr="001B572C">
        <w:rPr>
          <w:noProof/>
          <w:lang w:val="hr-HR"/>
        </w:rPr>
        <w:t xml:space="preserve">ada su pomoći doznačene u iznosu od 46.440.284,95 eura. </w:t>
      </w:r>
      <w:r w:rsidRPr="000243B5">
        <w:rPr>
          <w:noProof/>
          <w:lang w:val="hr-HR"/>
        </w:rPr>
        <w:t xml:space="preserve">Značajan rast u ostvarenju ovih prihoda zabilježen je kod pomoći proračunskim korisnicima iz proračuna koji im nije nadležan (636) i to kod ustanova odgoja i obrazovanja (osnovnih škola) koje su ostvarile veće prihode iz Državnog proračuna za financiranje plaća </w:t>
      </w:r>
      <w:r w:rsidR="000243B5" w:rsidRPr="000243B5">
        <w:rPr>
          <w:noProof/>
          <w:lang w:val="hr-HR"/>
        </w:rPr>
        <w:t>i materijalnih prava</w:t>
      </w:r>
      <w:r w:rsidR="000243B5">
        <w:rPr>
          <w:noProof/>
          <w:lang w:val="hr-HR"/>
        </w:rPr>
        <w:t xml:space="preserve"> za zaposlene</w:t>
      </w:r>
      <w:r w:rsidRPr="000243B5">
        <w:rPr>
          <w:noProof/>
          <w:lang w:val="hr-HR"/>
        </w:rPr>
        <w:t>. Grad</w:t>
      </w:r>
      <w:r w:rsidRPr="001B572C">
        <w:rPr>
          <w:noProof/>
          <w:lang w:val="hr-HR"/>
        </w:rPr>
        <w:t xml:space="preserve"> je ostvario 5.295.890,24 eura prihoda od pomoći, od kojih su značajnije: doznaka kapitalne pomoći iz Državnog proračuna temeljem prijenosa EU sredstava za Dječji vrtić Fiume na Krnjevu  u iznosu od 672.158,09 eura i doznaka Ministarstva znanosti i obrazovanja u iznosu od  882.780,00 eura za unaprjeđenje ranog i predškolskog odgoja i obrazovanja u dječjim vrtićima. U okviru ovih prihoda evidentirane su i tekuće pomoći izravnanja za decentralizirane funkcije u visini od 1.144.056,43 eura, kao i tekuća pomoć izvanproračunskog korisnika Županijske uprave za ceste u visini od 884.747,95 eura i dr.</w:t>
      </w:r>
    </w:p>
    <w:p w:rsidR="00FF43F7" w:rsidRPr="001B572C" w:rsidRDefault="00117A29" w:rsidP="00307242">
      <w:pPr>
        <w:jc w:val="both"/>
        <w:rPr>
          <w:noProof/>
          <w:lang w:val="hr-HR"/>
        </w:rPr>
      </w:pPr>
      <w:r w:rsidRPr="000243B5">
        <w:rPr>
          <w:noProof/>
          <w:lang w:val="hr-HR"/>
        </w:rPr>
        <w:t xml:space="preserve">Proračunski korisnici su, </w:t>
      </w:r>
      <w:r w:rsidR="00B52639" w:rsidRPr="000243B5">
        <w:rPr>
          <w:noProof/>
          <w:lang w:val="hr-HR"/>
        </w:rPr>
        <w:t>sve</w:t>
      </w:r>
      <w:r w:rsidRPr="000243B5">
        <w:rPr>
          <w:noProof/>
          <w:lang w:val="hr-HR"/>
        </w:rPr>
        <w:t>ukupno iz inozemstva i od subjekata unutar općeg proračuna, ostvarili 41.698.935,47 eura prihoda od pomoći.</w:t>
      </w:r>
      <w:r w:rsidRPr="001B572C">
        <w:rPr>
          <w:noProof/>
          <w:lang w:val="hr-HR"/>
        </w:rPr>
        <w:t> </w:t>
      </w:r>
    </w:p>
    <w:p w:rsidR="00FF43F7" w:rsidRPr="001B572C" w:rsidRDefault="00FF43F7">
      <w:pPr>
        <w:rPr>
          <w:noProof/>
          <w:lang w:val="hr-HR"/>
        </w:rPr>
      </w:pPr>
    </w:p>
    <w:p w:rsidR="00FF43F7" w:rsidRPr="001B572C" w:rsidRDefault="00117A29">
      <w:pPr>
        <w:keepNext/>
        <w:spacing w:line="240" w:lineRule="auto"/>
        <w:jc w:val="center"/>
        <w:rPr>
          <w:noProof/>
          <w:lang w:val="hr-HR"/>
        </w:rPr>
      </w:pPr>
      <w:r w:rsidRPr="001B572C">
        <w:rPr>
          <w:noProof/>
          <w:sz w:val="28"/>
          <w:lang w:val="hr-HR"/>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F43F7" w:rsidRPr="001B572C">
        <w:trPr>
          <w:cantSplit/>
        </w:trPr>
        <w:tc>
          <w:tcPr>
            <w:tcW w:w="70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Račun iz rač. plana</w:t>
            </w:r>
          </w:p>
        </w:tc>
        <w:tc>
          <w:tcPr>
            <w:tcW w:w="318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Opis stavke</w:t>
            </w:r>
          </w:p>
        </w:tc>
        <w:tc>
          <w:tcPr>
            <w:tcW w:w="70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Šifra</w:t>
            </w:r>
          </w:p>
        </w:tc>
        <w:tc>
          <w:tcPr>
            <w:tcW w:w="186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Ostvareno u izvještajnom razdoblju prethodne godine</w:t>
            </w:r>
          </w:p>
        </w:tc>
        <w:tc>
          <w:tcPr>
            <w:tcW w:w="186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Ostvareno u izvještajnom razdoblju tekuće godine</w:t>
            </w:r>
          </w:p>
        </w:tc>
        <w:tc>
          <w:tcPr>
            <w:tcW w:w="70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Indeks (%)</w:t>
            </w:r>
          </w:p>
        </w:tc>
      </w:tr>
      <w:tr w:rsidR="00FF43F7" w:rsidRPr="001B572C">
        <w:trPr>
          <w:cantSplit/>
          <w:trHeight w:val="560"/>
        </w:trPr>
        <w:tc>
          <w:tcPr>
            <w:tcW w:w="700" w:type="dxa"/>
            <w:tcMar>
              <w:top w:w="0" w:type="dxa"/>
              <w:bottom w:w="0" w:type="dxa"/>
            </w:tcMar>
            <w:vAlign w:val="center"/>
          </w:tcPr>
          <w:p w:rsidR="00FF43F7" w:rsidRPr="001B572C" w:rsidRDefault="00117A29">
            <w:pPr>
              <w:keepNext/>
              <w:keepLines/>
              <w:spacing w:after="0" w:line="240" w:lineRule="auto"/>
              <w:rPr>
                <w:noProof/>
                <w:lang w:val="hr-HR"/>
              </w:rPr>
            </w:pPr>
            <w:r w:rsidRPr="001B572C">
              <w:rPr>
                <w:noProof/>
                <w:sz w:val="18"/>
                <w:lang w:val="hr-HR"/>
              </w:rPr>
              <w:t>65</w:t>
            </w:r>
          </w:p>
        </w:tc>
        <w:tc>
          <w:tcPr>
            <w:tcW w:w="3180" w:type="dxa"/>
            <w:tcMar>
              <w:top w:w="0" w:type="dxa"/>
              <w:bottom w:w="0" w:type="dxa"/>
            </w:tcMar>
            <w:vAlign w:val="center"/>
          </w:tcPr>
          <w:p w:rsidR="00FF43F7" w:rsidRPr="001B572C" w:rsidRDefault="00117A29">
            <w:pPr>
              <w:keepNext/>
              <w:keepLines/>
              <w:spacing w:after="0" w:line="240" w:lineRule="auto"/>
              <w:rPr>
                <w:noProof/>
                <w:lang w:val="hr-HR"/>
              </w:rPr>
            </w:pPr>
            <w:r w:rsidRPr="001B572C">
              <w:rPr>
                <w:noProof/>
                <w:sz w:val="18"/>
                <w:lang w:val="hr-HR"/>
              </w:rPr>
              <w:t>Prihodi od upravnih i administrativnih pristojbi, pristojbi po posebnim propisima i naknada (šifre 651+652+653+654)</w:t>
            </w:r>
          </w:p>
        </w:tc>
        <w:tc>
          <w:tcPr>
            <w:tcW w:w="700" w:type="dxa"/>
            <w:tcMar>
              <w:top w:w="0" w:type="dxa"/>
              <w:bottom w:w="0" w:type="dxa"/>
            </w:tcMar>
            <w:vAlign w:val="center"/>
          </w:tcPr>
          <w:p w:rsidR="00FF43F7" w:rsidRPr="001B572C" w:rsidRDefault="00117A29">
            <w:pPr>
              <w:keepNext/>
              <w:keepLines/>
              <w:spacing w:after="0" w:line="240" w:lineRule="auto"/>
              <w:rPr>
                <w:noProof/>
                <w:lang w:val="hr-HR"/>
              </w:rPr>
            </w:pPr>
            <w:r w:rsidRPr="001B572C">
              <w:rPr>
                <w:noProof/>
                <w:sz w:val="18"/>
                <w:lang w:val="hr-HR"/>
              </w:rPr>
              <w:t>65</w:t>
            </w:r>
          </w:p>
        </w:tc>
        <w:tc>
          <w:tcPr>
            <w:tcW w:w="1860" w:type="dxa"/>
            <w:tcMar>
              <w:top w:w="0" w:type="dxa"/>
              <w:bottom w:w="0" w:type="dxa"/>
            </w:tcMar>
            <w:vAlign w:val="center"/>
          </w:tcPr>
          <w:p w:rsidR="00FF43F7" w:rsidRPr="001B572C" w:rsidRDefault="00117A29">
            <w:pPr>
              <w:keepNext/>
              <w:keepLines/>
              <w:spacing w:after="0" w:line="240" w:lineRule="auto"/>
              <w:jc w:val="right"/>
              <w:rPr>
                <w:noProof/>
                <w:lang w:val="hr-HR"/>
              </w:rPr>
            </w:pPr>
            <w:r w:rsidRPr="001B572C">
              <w:rPr>
                <w:noProof/>
                <w:sz w:val="18"/>
                <w:lang w:val="hr-HR"/>
              </w:rPr>
              <w:t>24.575.774,29</w:t>
            </w:r>
          </w:p>
        </w:tc>
        <w:tc>
          <w:tcPr>
            <w:tcW w:w="1860" w:type="dxa"/>
            <w:tcMar>
              <w:top w:w="0" w:type="dxa"/>
              <w:bottom w:w="0" w:type="dxa"/>
            </w:tcMar>
            <w:vAlign w:val="center"/>
          </w:tcPr>
          <w:p w:rsidR="00FF43F7" w:rsidRPr="001B572C" w:rsidRDefault="00117A29">
            <w:pPr>
              <w:keepNext/>
              <w:keepLines/>
              <w:spacing w:after="0" w:line="240" w:lineRule="auto"/>
              <w:jc w:val="right"/>
              <w:rPr>
                <w:noProof/>
                <w:lang w:val="hr-HR"/>
              </w:rPr>
            </w:pPr>
            <w:r w:rsidRPr="001B572C">
              <w:rPr>
                <w:noProof/>
                <w:sz w:val="18"/>
                <w:lang w:val="hr-HR"/>
              </w:rPr>
              <w:t>25.782.837,98</w:t>
            </w:r>
          </w:p>
        </w:tc>
        <w:tc>
          <w:tcPr>
            <w:tcW w:w="700" w:type="dxa"/>
            <w:tcMar>
              <w:top w:w="0" w:type="dxa"/>
              <w:bottom w:w="0" w:type="dxa"/>
            </w:tcMar>
            <w:vAlign w:val="center"/>
          </w:tcPr>
          <w:p w:rsidR="00FF43F7" w:rsidRPr="001B572C" w:rsidRDefault="00117A29">
            <w:pPr>
              <w:keepNext/>
              <w:keepLines/>
              <w:spacing w:after="0" w:line="240" w:lineRule="auto"/>
              <w:jc w:val="right"/>
              <w:rPr>
                <w:noProof/>
                <w:lang w:val="hr-HR"/>
              </w:rPr>
            </w:pPr>
            <w:r w:rsidRPr="001B572C">
              <w:rPr>
                <w:noProof/>
                <w:sz w:val="18"/>
                <w:lang w:val="hr-HR"/>
              </w:rPr>
              <w:t>104,9</w:t>
            </w:r>
          </w:p>
        </w:tc>
      </w:tr>
    </w:tbl>
    <w:p w:rsidR="00FF43F7" w:rsidRPr="001B572C" w:rsidRDefault="00FF43F7">
      <w:pPr>
        <w:spacing w:after="0"/>
        <w:rPr>
          <w:noProof/>
          <w:lang w:val="hr-HR"/>
        </w:rPr>
      </w:pPr>
    </w:p>
    <w:p w:rsidR="00FF43F7" w:rsidRPr="008721FC" w:rsidRDefault="00117A29" w:rsidP="008721FC">
      <w:pPr>
        <w:jc w:val="both"/>
      </w:pPr>
      <w:r w:rsidRPr="001B572C">
        <w:rPr>
          <w:noProof/>
          <w:lang w:val="hr-HR"/>
        </w:rPr>
        <w:t xml:space="preserve">Prihodi od upravnih i administrativnih pristojbi, pristojbi po posebnim propisima i naknadama (65) ostvareni su </w:t>
      </w:r>
      <w:r w:rsidR="002A2472" w:rsidRPr="001B572C">
        <w:rPr>
          <w:noProof/>
          <w:lang w:val="hr-HR"/>
        </w:rPr>
        <w:t xml:space="preserve">u iznosu od 25.782.837,98 eura. </w:t>
      </w:r>
      <w:r w:rsidRPr="001B572C">
        <w:rPr>
          <w:noProof/>
          <w:lang w:val="hr-HR"/>
        </w:rPr>
        <w:t xml:space="preserve">Od </w:t>
      </w:r>
      <w:r w:rsidR="002A2472" w:rsidRPr="001B572C">
        <w:rPr>
          <w:noProof/>
          <w:lang w:val="hr-HR"/>
        </w:rPr>
        <w:t xml:space="preserve">ukupno navedenog </w:t>
      </w:r>
      <w:r w:rsidRPr="001B572C">
        <w:rPr>
          <w:noProof/>
          <w:lang w:val="hr-HR"/>
        </w:rPr>
        <w:t>iznosa Grad je ostvario 18.031.680,61 eura</w:t>
      </w:r>
      <w:r w:rsidR="00DB005A">
        <w:rPr>
          <w:noProof/>
          <w:lang w:val="hr-HR"/>
        </w:rPr>
        <w:t xml:space="preserve"> ove skupine prihoda i to</w:t>
      </w:r>
      <w:r w:rsidR="00D97FAA">
        <w:rPr>
          <w:noProof/>
          <w:lang w:val="hr-HR"/>
        </w:rPr>
        <w:t>,</w:t>
      </w:r>
      <w:r w:rsidR="00762959">
        <w:rPr>
          <w:noProof/>
          <w:lang w:val="hr-HR"/>
        </w:rPr>
        <w:t xml:space="preserve"> u najvećem dijelu od komunalne naknade</w:t>
      </w:r>
      <w:r w:rsidR="00DB005A">
        <w:rPr>
          <w:noProof/>
          <w:lang w:val="hr-HR"/>
        </w:rPr>
        <w:t>,</w:t>
      </w:r>
      <w:r w:rsidR="00762959">
        <w:rPr>
          <w:noProof/>
          <w:lang w:val="hr-HR"/>
        </w:rPr>
        <w:t xml:space="preserve"> </w:t>
      </w:r>
      <w:r w:rsidR="00DB005A">
        <w:rPr>
          <w:noProof/>
          <w:lang w:val="hr-HR"/>
        </w:rPr>
        <w:t>1</w:t>
      </w:r>
      <w:r w:rsidR="00762959" w:rsidRPr="00762959">
        <w:rPr>
          <w:noProof/>
          <w:lang w:val="hr-HR"/>
        </w:rPr>
        <w:t>5.604.672,87</w:t>
      </w:r>
      <w:r w:rsidR="00762959">
        <w:rPr>
          <w:noProof/>
          <w:lang w:val="hr-HR"/>
        </w:rPr>
        <w:t xml:space="preserve"> eura i komunalnog doprinosa</w:t>
      </w:r>
      <w:r w:rsidR="00DB005A">
        <w:rPr>
          <w:noProof/>
          <w:lang w:val="hr-HR"/>
        </w:rPr>
        <w:t>,</w:t>
      </w:r>
      <w:r w:rsidR="00762959">
        <w:rPr>
          <w:noProof/>
          <w:lang w:val="hr-HR"/>
        </w:rPr>
        <w:t xml:space="preserve"> </w:t>
      </w:r>
      <w:r w:rsidR="00762959" w:rsidRPr="00762959">
        <w:rPr>
          <w:noProof/>
          <w:lang w:val="hr-HR"/>
        </w:rPr>
        <w:t>963.974,16</w:t>
      </w:r>
      <w:r w:rsidR="00762959">
        <w:rPr>
          <w:noProof/>
          <w:lang w:val="hr-HR"/>
        </w:rPr>
        <w:t xml:space="preserve"> eura</w:t>
      </w:r>
      <w:r w:rsidR="002734B8">
        <w:rPr>
          <w:noProof/>
          <w:lang w:val="hr-HR"/>
        </w:rPr>
        <w:t>.</w:t>
      </w:r>
      <w:r w:rsidRPr="001B572C">
        <w:rPr>
          <w:noProof/>
          <w:lang w:val="hr-HR"/>
        </w:rPr>
        <w:t xml:space="preserve"> </w:t>
      </w:r>
      <w:r w:rsidR="00762959">
        <w:rPr>
          <w:noProof/>
          <w:lang w:val="hr-HR"/>
        </w:rPr>
        <w:t>K</w:t>
      </w:r>
      <w:r w:rsidRPr="001B572C">
        <w:rPr>
          <w:noProof/>
          <w:lang w:val="hr-HR"/>
        </w:rPr>
        <w:t xml:space="preserve">od </w:t>
      </w:r>
      <w:r w:rsidR="00762959">
        <w:rPr>
          <w:noProof/>
          <w:lang w:val="hr-HR"/>
        </w:rPr>
        <w:t xml:space="preserve">proračunskih </w:t>
      </w:r>
      <w:r w:rsidRPr="001B572C">
        <w:rPr>
          <w:noProof/>
          <w:lang w:val="hr-HR"/>
        </w:rPr>
        <w:t xml:space="preserve">korisnika </w:t>
      </w:r>
      <w:r w:rsidR="00762959">
        <w:rPr>
          <w:noProof/>
          <w:lang w:val="hr-HR"/>
        </w:rPr>
        <w:t xml:space="preserve">je </w:t>
      </w:r>
      <w:r w:rsidRPr="001B572C">
        <w:rPr>
          <w:noProof/>
          <w:lang w:val="hr-HR"/>
        </w:rPr>
        <w:t xml:space="preserve">sveukupno </w:t>
      </w:r>
      <w:r w:rsidR="00762959">
        <w:rPr>
          <w:noProof/>
          <w:lang w:val="hr-HR"/>
        </w:rPr>
        <w:t xml:space="preserve">ostvareno </w:t>
      </w:r>
      <w:r w:rsidRPr="001B572C">
        <w:rPr>
          <w:noProof/>
          <w:lang w:val="hr-HR"/>
        </w:rPr>
        <w:t>7.751.157,37 eura</w:t>
      </w:r>
      <w:r w:rsidR="002A2472" w:rsidRPr="001B572C">
        <w:rPr>
          <w:noProof/>
          <w:lang w:val="hr-HR"/>
        </w:rPr>
        <w:t xml:space="preserve"> ove skupine prihoda</w:t>
      </w:r>
      <w:r w:rsidR="00762959">
        <w:rPr>
          <w:noProof/>
          <w:lang w:val="hr-HR"/>
        </w:rPr>
        <w:t>:</w:t>
      </w:r>
      <w:r w:rsidRPr="001B572C">
        <w:rPr>
          <w:noProof/>
          <w:lang w:val="hr-HR"/>
        </w:rPr>
        <w:t xml:space="preserve"> </w:t>
      </w:r>
      <w:r w:rsidR="00762959">
        <w:rPr>
          <w:noProof/>
          <w:lang w:val="hr-HR"/>
        </w:rPr>
        <w:t>u</w:t>
      </w:r>
      <w:r w:rsidRPr="001B572C">
        <w:rPr>
          <w:noProof/>
          <w:lang w:val="hr-HR"/>
        </w:rPr>
        <w:t>stanov</w:t>
      </w:r>
      <w:r w:rsidR="002734B8">
        <w:rPr>
          <w:noProof/>
          <w:lang w:val="hr-HR"/>
        </w:rPr>
        <w:t>e</w:t>
      </w:r>
      <w:r w:rsidRPr="001B572C">
        <w:rPr>
          <w:noProof/>
          <w:lang w:val="hr-HR"/>
        </w:rPr>
        <w:t xml:space="preserve"> odgoja i obrazovanja ostvarile</w:t>
      </w:r>
      <w:r w:rsidR="002734B8">
        <w:rPr>
          <w:noProof/>
          <w:lang w:val="hr-HR"/>
        </w:rPr>
        <w:t xml:space="preserve"> su</w:t>
      </w:r>
      <w:r w:rsidRPr="001B572C">
        <w:rPr>
          <w:noProof/>
          <w:lang w:val="hr-HR"/>
        </w:rPr>
        <w:t xml:space="preserve"> ukupno 4.552.298,80 eura prihoda od participacija roditelja pri smještaju djece u vrtićima, školske kuhinje i produženog boravka</w:t>
      </w:r>
      <w:r w:rsidR="00762959">
        <w:rPr>
          <w:noProof/>
          <w:lang w:val="hr-HR"/>
        </w:rPr>
        <w:t>;</w:t>
      </w:r>
      <w:r w:rsidRPr="001B572C">
        <w:rPr>
          <w:noProof/>
          <w:lang w:val="hr-HR"/>
        </w:rPr>
        <w:t xml:space="preserve"> Javna vatrogasna postrojba Grada Rijeke ostvarila</w:t>
      </w:r>
      <w:r w:rsidR="002734B8">
        <w:rPr>
          <w:noProof/>
          <w:lang w:val="hr-HR"/>
        </w:rPr>
        <w:t xml:space="preserve"> je</w:t>
      </w:r>
      <w:r w:rsidRPr="001B572C">
        <w:rPr>
          <w:noProof/>
          <w:lang w:val="hr-HR"/>
        </w:rPr>
        <w:t xml:space="preserve"> 967.284,98 eura prihoda temeljem Zakona o vatrogastvu (prihodi od Vatrogasne zajednice i općina u prstenu Grada Rijeke)</w:t>
      </w:r>
      <w:r w:rsidR="00762959">
        <w:rPr>
          <w:noProof/>
          <w:lang w:val="hr-HR"/>
        </w:rPr>
        <w:t>;</w:t>
      </w:r>
      <w:r w:rsidRPr="001B572C">
        <w:rPr>
          <w:noProof/>
          <w:lang w:val="hr-HR"/>
        </w:rPr>
        <w:t xml:space="preserve"> </w:t>
      </w:r>
      <w:r w:rsidR="00762959">
        <w:rPr>
          <w:noProof/>
          <w:lang w:val="hr-HR"/>
        </w:rPr>
        <w:t>u</w:t>
      </w:r>
      <w:r w:rsidRPr="001B572C">
        <w:rPr>
          <w:noProof/>
          <w:lang w:val="hr-HR"/>
        </w:rPr>
        <w:t xml:space="preserve">stanove kulture </w:t>
      </w:r>
      <w:r w:rsidR="002A2472" w:rsidRPr="001B572C">
        <w:rPr>
          <w:noProof/>
          <w:lang w:val="hr-HR"/>
        </w:rPr>
        <w:t xml:space="preserve">su unutar ove skupine prihoda </w:t>
      </w:r>
      <w:r w:rsidRPr="001B572C">
        <w:rPr>
          <w:noProof/>
          <w:lang w:val="hr-HR"/>
        </w:rPr>
        <w:t xml:space="preserve">ostvarile </w:t>
      </w:r>
      <w:r w:rsidR="002A2472" w:rsidRPr="001B572C">
        <w:rPr>
          <w:noProof/>
          <w:lang w:val="hr-HR"/>
        </w:rPr>
        <w:t>p</w:t>
      </w:r>
      <w:r w:rsidRPr="001B572C">
        <w:rPr>
          <w:noProof/>
          <w:lang w:val="hr-HR"/>
        </w:rPr>
        <w:t>rihod</w:t>
      </w:r>
      <w:r w:rsidR="002A2472" w:rsidRPr="001B572C">
        <w:rPr>
          <w:noProof/>
          <w:lang w:val="hr-HR"/>
        </w:rPr>
        <w:t>e</w:t>
      </w:r>
      <w:r w:rsidRPr="001B572C">
        <w:rPr>
          <w:noProof/>
          <w:lang w:val="hr-HR"/>
        </w:rPr>
        <w:t xml:space="preserve"> od prodaje kazališnih karata i godišnjih članarina u visini 1.485.468,06 eura</w:t>
      </w:r>
      <w:r w:rsidR="00762959">
        <w:rPr>
          <w:noProof/>
          <w:lang w:val="hr-HR"/>
        </w:rPr>
        <w:t>;</w:t>
      </w:r>
      <w:r w:rsidRPr="001B572C">
        <w:rPr>
          <w:noProof/>
          <w:lang w:val="hr-HR"/>
        </w:rPr>
        <w:t xml:space="preserve"> </w:t>
      </w:r>
      <w:r w:rsidRPr="008721FC">
        <w:rPr>
          <w:noProof/>
          <w:lang w:val="hr-HR"/>
        </w:rPr>
        <w:t>Psihijatrijska bolnica Lopača ostvarila je 732.983,65 eura</w:t>
      </w:r>
      <w:r w:rsidR="008721FC" w:rsidRPr="008721FC">
        <w:t xml:space="preserve"> </w:t>
      </w:r>
      <w:proofErr w:type="spellStart"/>
      <w:r w:rsidR="008721FC" w:rsidRPr="008721FC">
        <w:t>prihoda</w:t>
      </w:r>
      <w:proofErr w:type="spellEnd"/>
      <w:r w:rsidR="008721FC" w:rsidRPr="008721FC">
        <w:t xml:space="preserve"> od</w:t>
      </w:r>
      <w:r w:rsidR="008721FC">
        <w:t xml:space="preserve"> </w:t>
      </w:r>
      <w:proofErr w:type="spellStart"/>
      <w:r w:rsidR="008721FC">
        <w:t>pruženih</w:t>
      </w:r>
      <w:proofErr w:type="spellEnd"/>
      <w:r w:rsidR="008721FC">
        <w:t xml:space="preserve"> </w:t>
      </w:r>
      <w:proofErr w:type="spellStart"/>
      <w:r w:rsidR="008721FC">
        <w:t>usluga</w:t>
      </w:r>
      <w:proofErr w:type="spellEnd"/>
      <w:r w:rsidR="008721FC">
        <w:t xml:space="preserve"> </w:t>
      </w:r>
      <w:proofErr w:type="spellStart"/>
      <w:r w:rsidR="008721FC">
        <w:t>smještaja</w:t>
      </w:r>
      <w:proofErr w:type="spellEnd"/>
      <w:r w:rsidR="008721FC">
        <w:t xml:space="preserve"> za </w:t>
      </w:r>
      <w:proofErr w:type="spellStart"/>
      <w:r w:rsidR="008721FC">
        <w:t>korisnike</w:t>
      </w:r>
      <w:proofErr w:type="spellEnd"/>
      <w:r w:rsidR="008721FC">
        <w:t xml:space="preserve"> </w:t>
      </w:r>
      <w:proofErr w:type="spellStart"/>
      <w:r w:rsidR="008721FC">
        <w:t>MROSP</w:t>
      </w:r>
      <w:proofErr w:type="spellEnd"/>
      <w:r w:rsidR="008721FC">
        <w:t xml:space="preserve"> </w:t>
      </w:r>
      <w:proofErr w:type="spellStart"/>
      <w:r w:rsidR="008721FC">
        <w:t>te</w:t>
      </w:r>
      <w:proofErr w:type="spellEnd"/>
      <w:r w:rsidR="008721FC">
        <w:t xml:space="preserve"> </w:t>
      </w:r>
      <w:proofErr w:type="spellStart"/>
      <w:r w:rsidR="008721FC">
        <w:lastRenderedPageBreak/>
        <w:t>pacijente</w:t>
      </w:r>
      <w:proofErr w:type="spellEnd"/>
      <w:r w:rsidR="008721FC">
        <w:t xml:space="preserve"> </w:t>
      </w:r>
      <w:proofErr w:type="spellStart"/>
      <w:r w:rsidR="008721FC">
        <w:t>koji</w:t>
      </w:r>
      <w:proofErr w:type="spellEnd"/>
      <w:r w:rsidR="008721FC">
        <w:t xml:space="preserve"> </w:t>
      </w:r>
      <w:proofErr w:type="spellStart"/>
      <w:r w:rsidR="008721FC">
        <w:t>su</w:t>
      </w:r>
      <w:proofErr w:type="spellEnd"/>
      <w:r w:rsidR="008721FC">
        <w:t xml:space="preserve"> </w:t>
      </w:r>
      <w:proofErr w:type="spellStart"/>
      <w:r w:rsidR="008721FC">
        <w:t>na</w:t>
      </w:r>
      <w:proofErr w:type="spellEnd"/>
      <w:r w:rsidR="008721FC">
        <w:t xml:space="preserve"> </w:t>
      </w:r>
      <w:proofErr w:type="spellStart"/>
      <w:r w:rsidR="008721FC">
        <w:t>liječenju</w:t>
      </w:r>
      <w:proofErr w:type="spellEnd"/>
      <w:r w:rsidR="008721FC">
        <w:t xml:space="preserve"> </w:t>
      </w:r>
      <w:proofErr w:type="spellStart"/>
      <w:r w:rsidR="008721FC">
        <w:t>putem</w:t>
      </w:r>
      <w:proofErr w:type="spellEnd"/>
      <w:r w:rsidR="008721FC">
        <w:t xml:space="preserve"> </w:t>
      </w:r>
      <w:proofErr w:type="spellStart"/>
      <w:r w:rsidR="008721FC">
        <w:t>socijalnog</w:t>
      </w:r>
      <w:proofErr w:type="spellEnd"/>
      <w:r w:rsidR="008721FC">
        <w:t xml:space="preserve"> </w:t>
      </w:r>
      <w:proofErr w:type="spellStart"/>
      <w:r w:rsidR="008721FC">
        <w:t>programa</w:t>
      </w:r>
      <w:proofErr w:type="spellEnd"/>
      <w:r w:rsidR="008721FC">
        <w:t xml:space="preserve"> </w:t>
      </w:r>
      <w:proofErr w:type="spellStart"/>
      <w:r w:rsidR="008721FC">
        <w:t>osnivača</w:t>
      </w:r>
      <w:proofErr w:type="spellEnd"/>
      <w:r w:rsidR="008721FC">
        <w:t xml:space="preserve">; </w:t>
      </w:r>
      <w:r w:rsidRPr="001B572C">
        <w:rPr>
          <w:noProof/>
          <w:lang w:val="hr-HR"/>
        </w:rPr>
        <w:t xml:space="preserve">Centar za pružanje usluga u zajednici Tić Rijeka </w:t>
      </w:r>
      <w:r w:rsidR="008721FC">
        <w:rPr>
          <w:noProof/>
          <w:lang w:val="hr-HR"/>
        </w:rPr>
        <w:t xml:space="preserve">ostvario je </w:t>
      </w:r>
      <w:r w:rsidRPr="001B572C">
        <w:rPr>
          <w:noProof/>
          <w:lang w:val="hr-HR"/>
        </w:rPr>
        <w:t>13.121,88 eura prihoda po posebnim propisima.</w:t>
      </w:r>
    </w:p>
    <w:p w:rsidR="00FF43F7" w:rsidRPr="001B572C" w:rsidRDefault="00FF43F7">
      <w:pPr>
        <w:rPr>
          <w:noProof/>
          <w:lang w:val="hr-HR"/>
        </w:rPr>
      </w:pPr>
    </w:p>
    <w:p w:rsidR="00FF43F7" w:rsidRPr="001B572C" w:rsidRDefault="00117A29">
      <w:pPr>
        <w:keepNext/>
        <w:spacing w:line="240" w:lineRule="auto"/>
        <w:jc w:val="center"/>
        <w:rPr>
          <w:noProof/>
          <w:lang w:val="hr-HR"/>
        </w:rPr>
      </w:pPr>
      <w:r w:rsidRPr="001B572C">
        <w:rPr>
          <w:noProof/>
          <w:sz w:val="28"/>
          <w:lang w:val="hr-HR"/>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F43F7" w:rsidRPr="001B572C">
        <w:trPr>
          <w:cantSplit/>
        </w:trPr>
        <w:tc>
          <w:tcPr>
            <w:tcW w:w="70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Račun iz rač. plana</w:t>
            </w:r>
          </w:p>
        </w:tc>
        <w:tc>
          <w:tcPr>
            <w:tcW w:w="318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Opis stavke</w:t>
            </w:r>
          </w:p>
        </w:tc>
        <w:tc>
          <w:tcPr>
            <w:tcW w:w="70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Šifra</w:t>
            </w:r>
          </w:p>
        </w:tc>
        <w:tc>
          <w:tcPr>
            <w:tcW w:w="186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Ostvareno u izvještajnom razdoblju prethodne godine</w:t>
            </w:r>
          </w:p>
        </w:tc>
        <w:tc>
          <w:tcPr>
            <w:tcW w:w="186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Ostvareno u izvještajnom razdoblju tekuće godine</w:t>
            </w:r>
          </w:p>
        </w:tc>
        <w:tc>
          <w:tcPr>
            <w:tcW w:w="70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Indeks (%)</w:t>
            </w:r>
          </w:p>
        </w:tc>
      </w:tr>
      <w:tr w:rsidR="00FF43F7" w:rsidRPr="001B572C">
        <w:trPr>
          <w:cantSplit/>
          <w:trHeight w:val="560"/>
        </w:trPr>
        <w:tc>
          <w:tcPr>
            <w:tcW w:w="700" w:type="dxa"/>
            <w:tcMar>
              <w:top w:w="0" w:type="dxa"/>
              <w:bottom w:w="0" w:type="dxa"/>
            </w:tcMar>
            <w:vAlign w:val="center"/>
          </w:tcPr>
          <w:p w:rsidR="00FF43F7" w:rsidRPr="001B572C" w:rsidRDefault="00117A29">
            <w:pPr>
              <w:keepNext/>
              <w:keepLines/>
              <w:spacing w:after="0" w:line="240" w:lineRule="auto"/>
              <w:rPr>
                <w:noProof/>
                <w:lang w:val="hr-HR"/>
              </w:rPr>
            </w:pPr>
            <w:r w:rsidRPr="001B572C">
              <w:rPr>
                <w:noProof/>
                <w:sz w:val="18"/>
                <w:lang w:val="hr-HR"/>
              </w:rPr>
              <w:t>66</w:t>
            </w:r>
          </w:p>
        </w:tc>
        <w:tc>
          <w:tcPr>
            <w:tcW w:w="3180" w:type="dxa"/>
            <w:tcMar>
              <w:top w:w="0" w:type="dxa"/>
              <w:bottom w:w="0" w:type="dxa"/>
            </w:tcMar>
            <w:vAlign w:val="center"/>
          </w:tcPr>
          <w:p w:rsidR="00FF43F7" w:rsidRPr="001B572C" w:rsidRDefault="00117A29">
            <w:pPr>
              <w:keepNext/>
              <w:keepLines/>
              <w:spacing w:after="0" w:line="240" w:lineRule="auto"/>
              <w:rPr>
                <w:noProof/>
                <w:lang w:val="hr-HR"/>
              </w:rPr>
            </w:pPr>
            <w:r w:rsidRPr="001B572C">
              <w:rPr>
                <w:noProof/>
                <w:sz w:val="18"/>
                <w:lang w:val="hr-HR"/>
              </w:rPr>
              <w:t>Prihodi od prodaje proizvoda i robe te pruženih usluga, prihodi od donacija te povrati po protestiranim jamstvima (šifre 661+663)</w:t>
            </w:r>
          </w:p>
        </w:tc>
        <w:tc>
          <w:tcPr>
            <w:tcW w:w="700" w:type="dxa"/>
            <w:tcMar>
              <w:top w:w="0" w:type="dxa"/>
              <w:bottom w:w="0" w:type="dxa"/>
            </w:tcMar>
            <w:vAlign w:val="center"/>
          </w:tcPr>
          <w:p w:rsidR="00FF43F7" w:rsidRPr="001B572C" w:rsidRDefault="00117A29">
            <w:pPr>
              <w:keepNext/>
              <w:keepLines/>
              <w:spacing w:after="0" w:line="240" w:lineRule="auto"/>
              <w:rPr>
                <w:noProof/>
                <w:lang w:val="hr-HR"/>
              </w:rPr>
            </w:pPr>
            <w:r w:rsidRPr="001B572C">
              <w:rPr>
                <w:noProof/>
                <w:sz w:val="18"/>
                <w:lang w:val="hr-HR"/>
              </w:rPr>
              <w:t>66</w:t>
            </w:r>
          </w:p>
        </w:tc>
        <w:tc>
          <w:tcPr>
            <w:tcW w:w="1860" w:type="dxa"/>
            <w:tcMar>
              <w:top w:w="0" w:type="dxa"/>
              <w:bottom w:w="0" w:type="dxa"/>
            </w:tcMar>
            <w:vAlign w:val="center"/>
          </w:tcPr>
          <w:p w:rsidR="00FF43F7" w:rsidRPr="001B572C" w:rsidRDefault="00117A29">
            <w:pPr>
              <w:keepNext/>
              <w:keepLines/>
              <w:spacing w:after="0" w:line="240" w:lineRule="auto"/>
              <w:jc w:val="right"/>
              <w:rPr>
                <w:noProof/>
                <w:lang w:val="hr-HR"/>
              </w:rPr>
            </w:pPr>
            <w:r w:rsidRPr="001B572C">
              <w:rPr>
                <w:noProof/>
                <w:sz w:val="18"/>
                <w:lang w:val="hr-HR"/>
              </w:rPr>
              <w:t>2.292.154,64</w:t>
            </w:r>
          </w:p>
        </w:tc>
        <w:tc>
          <w:tcPr>
            <w:tcW w:w="1860" w:type="dxa"/>
            <w:tcMar>
              <w:top w:w="0" w:type="dxa"/>
              <w:bottom w:w="0" w:type="dxa"/>
            </w:tcMar>
            <w:vAlign w:val="center"/>
          </w:tcPr>
          <w:p w:rsidR="00FF43F7" w:rsidRPr="001B572C" w:rsidRDefault="00117A29">
            <w:pPr>
              <w:keepNext/>
              <w:keepLines/>
              <w:spacing w:after="0" w:line="240" w:lineRule="auto"/>
              <w:jc w:val="right"/>
              <w:rPr>
                <w:noProof/>
                <w:lang w:val="hr-HR"/>
              </w:rPr>
            </w:pPr>
            <w:r w:rsidRPr="001B572C">
              <w:rPr>
                <w:noProof/>
                <w:sz w:val="18"/>
                <w:lang w:val="hr-HR"/>
              </w:rPr>
              <w:t>2.721.959,70</w:t>
            </w:r>
          </w:p>
        </w:tc>
        <w:tc>
          <w:tcPr>
            <w:tcW w:w="700" w:type="dxa"/>
            <w:tcMar>
              <w:top w:w="0" w:type="dxa"/>
              <w:bottom w:w="0" w:type="dxa"/>
            </w:tcMar>
            <w:vAlign w:val="center"/>
          </w:tcPr>
          <w:p w:rsidR="00FF43F7" w:rsidRPr="001B572C" w:rsidRDefault="00117A29">
            <w:pPr>
              <w:keepNext/>
              <w:keepLines/>
              <w:spacing w:after="0" w:line="240" w:lineRule="auto"/>
              <w:jc w:val="right"/>
              <w:rPr>
                <w:noProof/>
                <w:lang w:val="hr-HR"/>
              </w:rPr>
            </w:pPr>
            <w:r w:rsidRPr="001B572C">
              <w:rPr>
                <w:noProof/>
                <w:sz w:val="18"/>
                <w:lang w:val="hr-HR"/>
              </w:rPr>
              <w:t>118,8</w:t>
            </w:r>
          </w:p>
        </w:tc>
      </w:tr>
    </w:tbl>
    <w:p w:rsidR="00FF43F7" w:rsidRPr="001B572C" w:rsidRDefault="00FF43F7">
      <w:pPr>
        <w:spacing w:after="0"/>
        <w:rPr>
          <w:noProof/>
          <w:lang w:val="hr-HR"/>
        </w:rPr>
      </w:pPr>
    </w:p>
    <w:p w:rsidR="00FF43F7" w:rsidRPr="001B572C" w:rsidRDefault="00117A29" w:rsidP="00DE414F">
      <w:pPr>
        <w:jc w:val="both"/>
        <w:rPr>
          <w:noProof/>
          <w:lang w:val="hr-HR"/>
        </w:rPr>
      </w:pPr>
      <w:r w:rsidRPr="001B572C">
        <w:rPr>
          <w:noProof/>
          <w:lang w:val="hr-HR"/>
        </w:rPr>
        <w:t>Prihodi od prodaje proizvoda i robe te pruženih usluga i prihodi od donacija bilježe rast od 18,8% i ostvareni su ukupno u iznosu 2.721.959,70 eura od čega je u Gradu realizirano 112.970.95 eura</w:t>
      </w:r>
      <w:r w:rsidR="00263F75">
        <w:rPr>
          <w:noProof/>
          <w:lang w:val="hr-HR"/>
        </w:rPr>
        <w:t xml:space="preserve"> </w:t>
      </w:r>
      <w:r w:rsidR="00853510">
        <w:rPr>
          <w:noProof/>
          <w:lang w:val="hr-HR"/>
        </w:rPr>
        <w:t>(</w:t>
      </w:r>
      <w:r w:rsidR="00263F75">
        <w:rPr>
          <w:noProof/>
          <w:lang w:val="hr-HR"/>
        </w:rPr>
        <w:t>tekuć</w:t>
      </w:r>
      <w:r w:rsidR="00853510">
        <w:rPr>
          <w:noProof/>
          <w:lang w:val="hr-HR"/>
        </w:rPr>
        <w:t>e</w:t>
      </w:r>
      <w:r w:rsidR="00263F75">
        <w:rPr>
          <w:noProof/>
          <w:lang w:val="hr-HR"/>
        </w:rPr>
        <w:t xml:space="preserve"> i kapitaln</w:t>
      </w:r>
      <w:r w:rsidR="00853510">
        <w:rPr>
          <w:noProof/>
          <w:lang w:val="hr-HR"/>
        </w:rPr>
        <w:t>e</w:t>
      </w:r>
      <w:r w:rsidR="00263F75">
        <w:rPr>
          <w:noProof/>
          <w:lang w:val="hr-HR"/>
        </w:rPr>
        <w:t xml:space="preserve"> donacij</w:t>
      </w:r>
      <w:r w:rsidR="00853510">
        <w:rPr>
          <w:noProof/>
          <w:lang w:val="hr-HR"/>
        </w:rPr>
        <w:t>e)</w:t>
      </w:r>
      <w:r w:rsidRPr="001B572C">
        <w:rPr>
          <w:noProof/>
          <w:lang w:val="hr-HR"/>
        </w:rPr>
        <w:t>, u ustanovama odgoja i obrazovanja 1.205.347,69 eura, u ustanovama zdravstva i socijalne zaštite 553.665,39 eura, ustanovama kulture 561.114,67 eura, u JVP 270.230,00 eura i u mjesnim odborima 18.631,00 eura.</w:t>
      </w:r>
    </w:p>
    <w:p w:rsidR="00FF43F7" w:rsidRPr="001B572C" w:rsidRDefault="00FF43F7">
      <w:pPr>
        <w:rPr>
          <w:noProof/>
          <w:lang w:val="hr-HR"/>
        </w:rPr>
      </w:pPr>
    </w:p>
    <w:p w:rsidR="00FF43F7" w:rsidRPr="001B572C" w:rsidRDefault="00117A29">
      <w:pPr>
        <w:keepNext/>
        <w:spacing w:line="240" w:lineRule="auto"/>
        <w:jc w:val="center"/>
        <w:rPr>
          <w:noProof/>
          <w:lang w:val="hr-HR"/>
        </w:rPr>
      </w:pPr>
      <w:r w:rsidRPr="001B572C">
        <w:rPr>
          <w:noProof/>
          <w:sz w:val="28"/>
          <w:lang w:val="hr-HR"/>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F43F7" w:rsidRPr="001B572C">
        <w:trPr>
          <w:cantSplit/>
        </w:trPr>
        <w:tc>
          <w:tcPr>
            <w:tcW w:w="70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Račun iz rač. plana</w:t>
            </w:r>
          </w:p>
        </w:tc>
        <w:tc>
          <w:tcPr>
            <w:tcW w:w="318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Opis stavke</w:t>
            </w:r>
          </w:p>
        </w:tc>
        <w:tc>
          <w:tcPr>
            <w:tcW w:w="70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Šifra</w:t>
            </w:r>
          </w:p>
        </w:tc>
        <w:tc>
          <w:tcPr>
            <w:tcW w:w="186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Ostvareno u izvještajnom razdoblju prethodne godine</w:t>
            </w:r>
          </w:p>
        </w:tc>
        <w:tc>
          <w:tcPr>
            <w:tcW w:w="186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Ostvareno u izvještajnom razdoblju tekuće godine</w:t>
            </w:r>
          </w:p>
        </w:tc>
        <w:tc>
          <w:tcPr>
            <w:tcW w:w="70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Indeks (%)</w:t>
            </w:r>
          </w:p>
        </w:tc>
      </w:tr>
      <w:tr w:rsidR="00FF43F7" w:rsidRPr="001B572C">
        <w:trPr>
          <w:cantSplit/>
          <w:trHeight w:val="560"/>
        </w:trPr>
        <w:tc>
          <w:tcPr>
            <w:tcW w:w="700" w:type="dxa"/>
            <w:tcMar>
              <w:top w:w="0" w:type="dxa"/>
              <w:bottom w:w="0" w:type="dxa"/>
            </w:tcMar>
            <w:vAlign w:val="center"/>
          </w:tcPr>
          <w:p w:rsidR="00FF43F7" w:rsidRPr="001B572C" w:rsidRDefault="00117A29">
            <w:pPr>
              <w:keepNext/>
              <w:keepLines/>
              <w:spacing w:after="0" w:line="240" w:lineRule="auto"/>
              <w:rPr>
                <w:noProof/>
                <w:lang w:val="hr-HR"/>
              </w:rPr>
            </w:pPr>
            <w:r w:rsidRPr="001B572C">
              <w:rPr>
                <w:noProof/>
                <w:sz w:val="18"/>
                <w:lang w:val="hr-HR"/>
              </w:rPr>
              <w:t>68</w:t>
            </w:r>
          </w:p>
        </w:tc>
        <w:tc>
          <w:tcPr>
            <w:tcW w:w="3180" w:type="dxa"/>
            <w:tcMar>
              <w:top w:w="0" w:type="dxa"/>
              <w:bottom w:w="0" w:type="dxa"/>
            </w:tcMar>
            <w:vAlign w:val="center"/>
          </w:tcPr>
          <w:p w:rsidR="00FF43F7" w:rsidRPr="001B572C" w:rsidRDefault="00117A29">
            <w:pPr>
              <w:keepNext/>
              <w:keepLines/>
              <w:spacing w:after="0" w:line="240" w:lineRule="auto"/>
              <w:rPr>
                <w:noProof/>
                <w:lang w:val="hr-HR"/>
              </w:rPr>
            </w:pPr>
            <w:r w:rsidRPr="001B572C">
              <w:rPr>
                <w:noProof/>
                <w:sz w:val="18"/>
                <w:lang w:val="hr-HR"/>
              </w:rPr>
              <w:t>Kazne, upravne mjere i ostali prihodi (šifre 681+683)</w:t>
            </w:r>
          </w:p>
        </w:tc>
        <w:tc>
          <w:tcPr>
            <w:tcW w:w="700" w:type="dxa"/>
            <w:tcMar>
              <w:top w:w="0" w:type="dxa"/>
              <w:bottom w:w="0" w:type="dxa"/>
            </w:tcMar>
            <w:vAlign w:val="center"/>
          </w:tcPr>
          <w:p w:rsidR="00FF43F7" w:rsidRPr="001B572C" w:rsidRDefault="00117A29">
            <w:pPr>
              <w:keepNext/>
              <w:keepLines/>
              <w:spacing w:after="0" w:line="240" w:lineRule="auto"/>
              <w:rPr>
                <w:noProof/>
                <w:lang w:val="hr-HR"/>
              </w:rPr>
            </w:pPr>
            <w:r w:rsidRPr="001B572C">
              <w:rPr>
                <w:noProof/>
                <w:sz w:val="18"/>
                <w:lang w:val="hr-HR"/>
              </w:rPr>
              <w:t>68</w:t>
            </w:r>
          </w:p>
        </w:tc>
        <w:tc>
          <w:tcPr>
            <w:tcW w:w="1860" w:type="dxa"/>
            <w:tcMar>
              <w:top w:w="0" w:type="dxa"/>
              <w:bottom w:w="0" w:type="dxa"/>
            </w:tcMar>
            <w:vAlign w:val="center"/>
          </w:tcPr>
          <w:p w:rsidR="00FF43F7" w:rsidRPr="001B572C" w:rsidRDefault="00117A29">
            <w:pPr>
              <w:keepNext/>
              <w:keepLines/>
              <w:spacing w:after="0" w:line="240" w:lineRule="auto"/>
              <w:jc w:val="right"/>
              <w:rPr>
                <w:noProof/>
                <w:lang w:val="hr-HR"/>
              </w:rPr>
            </w:pPr>
            <w:r w:rsidRPr="001B572C">
              <w:rPr>
                <w:noProof/>
                <w:sz w:val="18"/>
                <w:lang w:val="hr-HR"/>
              </w:rPr>
              <w:t>2.734.391,93</w:t>
            </w:r>
          </w:p>
        </w:tc>
        <w:tc>
          <w:tcPr>
            <w:tcW w:w="1860" w:type="dxa"/>
            <w:tcMar>
              <w:top w:w="0" w:type="dxa"/>
              <w:bottom w:w="0" w:type="dxa"/>
            </w:tcMar>
            <w:vAlign w:val="center"/>
          </w:tcPr>
          <w:p w:rsidR="00FF43F7" w:rsidRPr="001B572C" w:rsidRDefault="00117A29">
            <w:pPr>
              <w:keepNext/>
              <w:keepLines/>
              <w:spacing w:after="0" w:line="240" w:lineRule="auto"/>
              <w:jc w:val="right"/>
              <w:rPr>
                <w:noProof/>
                <w:lang w:val="hr-HR"/>
              </w:rPr>
            </w:pPr>
            <w:r w:rsidRPr="001B572C">
              <w:rPr>
                <w:noProof/>
                <w:sz w:val="18"/>
                <w:lang w:val="hr-HR"/>
              </w:rPr>
              <w:t>1.553.946,12</w:t>
            </w:r>
          </w:p>
        </w:tc>
        <w:tc>
          <w:tcPr>
            <w:tcW w:w="700" w:type="dxa"/>
            <w:tcMar>
              <w:top w:w="0" w:type="dxa"/>
              <w:bottom w:w="0" w:type="dxa"/>
            </w:tcMar>
            <w:vAlign w:val="center"/>
          </w:tcPr>
          <w:p w:rsidR="00FF43F7" w:rsidRPr="001B572C" w:rsidRDefault="00117A29">
            <w:pPr>
              <w:keepNext/>
              <w:keepLines/>
              <w:spacing w:after="0" w:line="240" w:lineRule="auto"/>
              <w:jc w:val="right"/>
              <w:rPr>
                <w:noProof/>
                <w:lang w:val="hr-HR"/>
              </w:rPr>
            </w:pPr>
            <w:r w:rsidRPr="001B572C">
              <w:rPr>
                <w:noProof/>
                <w:sz w:val="18"/>
                <w:lang w:val="hr-HR"/>
              </w:rPr>
              <w:t>56,8</w:t>
            </w:r>
          </w:p>
        </w:tc>
      </w:tr>
    </w:tbl>
    <w:p w:rsidR="00FF43F7" w:rsidRPr="001B572C" w:rsidRDefault="00FF43F7">
      <w:pPr>
        <w:spacing w:after="0"/>
        <w:rPr>
          <w:noProof/>
          <w:lang w:val="hr-HR"/>
        </w:rPr>
      </w:pPr>
    </w:p>
    <w:p w:rsidR="00AA6D24" w:rsidRPr="001B572C" w:rsidRDefault="00117A29" w:rsidP="00AA6D24">
      <w:pPr>
        <w:jc w:val="both"/>
        <w:rPr>
          <w:noProof/>
          <w:lang w:val="hr-HR"/>
        </w:rPr>
      </w:pPr>
      <w:r w:rsidRPr="001B572C">
        <w:rPr>
          <w:noProof/>
          <w:lang w:val="hr-HR"/>
        </w:rPr>
        <w:t>Kazne, upravne mjere i ostali prihodi (68) ostvareni su u iznosu od 1.553.946,12 eura</w:t>
      </w:r>
      <w:r w:rsidR="00AA6D24" w:rsidRPr="00AA6D24">
        <w:rPr>
          <w:noProof/>
          <w:lang w:val="hr-HR"/>
        </w:rPr>
        <w:t xml:space="preserve"> </w:t>
      </w:r>
      <w:r w:rsidR="00AA6D24">
        <w:rPr>
          <w:noProof/>
          <w:lang w:val="hr-HR"/>
        </w:rPr>
        <w:t xml:space="preserve">i </w:t>
      </w:r>
      <w:r w:rsidR="00AA6D24" w:rsidRPr="001B572C">
        <w:rPr>
          <w:noProof/>
          <w:lang w:val="hr-HR"/>
        </w:rPr>
        <w:t xml:space="preserve">na ukupnoj razini bilježe pad od 43,2% dok </w:t>
      </w:r>
      <w:r w:rsidR="00220E7C">
        <w:rPr>
          <w:noProof/>
          <w:lang w:val="hr-HR"/>
        </w:rPr>
        <w:t xml:space="preserve">gradske novčane </w:t>
      </w:r>
      <w:r w:rsidR="00AA6D24" w:rsidRPr="001B572C">
        <w:rPr>
          <w:noProof/>
          <w:lang w:val="hr-HR"/>
        </w:rPr>
        <w:t>kazne za prometne prekršaje bilježe rast od 26,8%.</w:t>
      </w:r>
    </w:p>
    <w:p w:rsidR="00FF43F7" w:rsidRPr="001B572C" w:rsidRDefault="00AA6D24" w:rsidP="004E4859">
      <w:pPr>
        <w:jc w:val="both"/>
        <w:rPr>
          <w:noProof/>
          <w:lang w:val="hr-HR"/>
        </w:rPr>
      </w:pPr>
      <w:r>
        <w:rPr>
          <w:noProof/>
          <w:lang w:val="hr-HR"/>
        </w:rPr>
        <w:t>Ova skupina prihoda je g</w:t>
      </w:r>
      <w:r w:rsidR="00117A29" w:rsidRPr="001B572C">
        <w:rPr>
          <w:noProof/>
          <w:lang w:val="hr-HR"/>
        </w:rPr>
        <w:t xml:space="preserve">otovo u potpunosti </w:t>
      </w:r>
      <w:r>
        <w:rPr>
          <w:noProof/>
          <w:lang w:val="hr-HR"/>
        </w:rPr>
        <w:t xml:space="preserve">ostvarena </w:t>
      </w:r>
      <w:r w:rsidR="00117A29" w:rsidRPr="001B572C">
        <w:rPr>
          <w:noProof/>
          <w:lang w:val="hr-HR"/>
        </w:rPr>
        <w:t>u Gradu (1.535.887,81 eura)</w:t>
      </w:r>
      <w:r>
        <w:rPr>
          <w:noProof/>
          <w:lang w:val="hr-HR"/>
        </w:rPr>
        <w:t xml:space="preserve"> dok je kod</w:t>
      </w:r>
      <w:r w:rsidR="00117A29" w:rsidRPr="001B572C">
        <w:rPr>
          <w:noProof/>
          <w:lang w:val="hr-HR"/>
        </w:rPr>
        <w:t xml:space="preserve"> </w:t>
      </w:r>
      <w:r>
        <w:rPr>
          <w:noProof/>
          <w:lang w:val="hr-HR"/>
        </w:rPr>
        <w:t>p</w:t>
      </w:r>
      <w:r w:rsidR="00117A29" w:rsidRPr="001B572C">
        <w:rPr>
          <w:noProof/>
          <w:lang w:val="hr-HR"/>
        </w:rPr>
        <w:t>roračunski</w:t>
      </w:r>
      <w:r>
        <w:rPr>
          <w:noProof/>
          <w:lang w:val="hr-HR"/>
        </w:rPr>
        <w:t>h</w:t>
      </w:r>
      <w:r w:rsidR="00117A29" w:rsidRPr="001B572C">
        <w:rPr>
          <w:noProof/>
          <w:lang w:val="hr-HR"/>
        </w:rPr>
        <w:t xml:space="preserve"> korisni</w:t>
      </w:r>
      <w:r>
        <w:rPr>
          <w:noProof/>
          <w:lang w:val="hr-HR"/>
        </w:rPr>
        <w:t>ka</w:t>
      </w:r>
      <w:r w:rsidR="00117A29" w:rsidRPr="001B572C">
        <w:rPr>
          <w:noProof/>
          <w:lang w:val="hr-HR"/>
        </w:rPr>
        <w:t xml:space="preserve"> ostvar</w:t>
      </w:r>
      <w:r>
        <w:rPr>
          <w:noProof/>
          <w:lang w:val="hr-HR"/>
        </w:rPr>
        <w:t>eno</w:t>
      </w:r>
      <w:r w:rsidR="00117A29" w:rsidRPr="001B572C">
        <w:rPr>
          <w:noProof/>
          <w:lang w:val="hr-HR"/>
        </w:rPr>
        <w:t xml:space="preserve"> ukupno </w:t>
      </w:r>
      <w:r w:rsidR="00117A29" w:rsidRPr="00226CE9">
        <w:rPr>
          <w:noProof/>
          <w:lang w:val="hr-HR"/>
        </w:rPr>
        <w:t>18.058,31 eura</w:t>
      </w:r>
      <w:r w:rsidRPr="00226CE9">
        <w:rPr>
          <w:noProof/>
          <w:lang w:val="hr-HR"/>
        </w:rPr>
        <w:t>.</w:t>
      </w:r>
      <w:r w:rsidR="00117A29" w:rsidRPr="001B572C">
        <w:rPr>
          <w:noProof/>
          <w:lang w:val="hr-HR"/>
        </w:rPr>
        <w:t xml:space="preserve"> </w:t>
      </w:r>
    </w:p>
    <w:p w:rsidR="00FF43F7" w:rsidRPr="001B572C" w:rsidRDefault="00FF43F7">
      <w:pPr>
        <w:rPr>
          <w:noProof/>
          <w:lang w:val="hr-HR"/>
        </w:rPr>
      </w:pPr>
    </w:p>
    <w:p w:rsidR="00FF43F7" w:rsidRPr="001B572C" w:rsidRDefault="00117A29">
      <w:pPr>
        <w:keepNext/>
        <w:spacing w:line="240" w:lineRule="auto"/>
        <w:jc w:val="center"/>
        <w:rPr>
          <w:noProof/>
          <w:lang w:val="hr-HR"/>
        </w:rPr>
      </w:pPr>
      <w:r w:rsidRPr="001B572C">
        <w:rPr>
          <w:noProof/>
          <w:sz w:val="28"/>
          <w:lang w:val="hr-HR"/>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F43F7" w:rsidRPr="001B572C">
        <w:trPr>
          <w:cantSplit/>
        </w:trPr>
        <w:tc>
          <w:tcPr>
            <w:tcW w:w="70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Račun iz rač. plana</w:t>
            </w:r>
          </w:p>
        </w:tc>
        <w:tc>
          <w:tcPr>
            <w:tcW w:w="318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Opis stavke</w:t>
            </w:r>
          </w:p>
        </w:tc>
        <w:tc>
          <w:tcPr>
            <w:tcW w:w="70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Šifra</w:t>
            </w:r>
          </w:p>
        </w:tc>
        <w:tc>
          <w:tcPr>
            <w:tcW w:w="186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Ostvareno u izvještajnom razdoblju prethodne godine</w:t>
            </w:r>
          </w:p>
        </w:tc>
        <w:tc>
          <w:tcPr>
            <w:tcW w:w="186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Ostvareno u izvještajnom razdoblju tekuće godine</w:t>
            </w:r>
          </w:p>
        </w:tc>
        <w:tc>
          <w:tcPr>
            <w:tcW w:w="70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Indeks (%)</w:t>
            </w:r>
          </w:p>
        </w:tc>
      </w:tr>
      <w:tr w:rsidR="00FF43F7" w:rsidRPr="001B572C">
        <w:trPr>
          <w:cantSplit/>
          <w:trHeight w:val="560"/>
        </w:trPr>
        <w:tc>
          <w:tcPr>
            <w:tcW w:w="700" w:type="dxa"/>
            <w:tcMar>
              <w:top w:w="0" w:type="dxa"/>
              <w:bottom w:w="0" w:type="dxa"/>
            </w:tcMar>
            <w:vAlign w:val="center"/>
          </w:tcPr>
          <w:p w:rsidR="00FF43F7" w:rsidRPr="001B572C" w:rsidRDefault="00117A29">
            <w:pPr>
              <w:keepNext/>
              <w:keepLines/>
              <w:spacing w:after="0" w:line="240" w:lineRule="auto"/>
              <w:rPr>
                <w:noProof/>
                <w:lang w:val="hr-HR"/>
              </w:rPr>
            </w:pPr>
            <w:r w:rsidRPr="001B572C">
              <w:rPr>
                <w:noProof/>
                <w:sz w:val="18"/>
                <w:lang w:val="hr-HR"/>
              </w:rPr>
              <w:t>3</w:t>
            </w:r>
          </w:p>
        </w:tc>
        <w:tc>
          <w:tcPr>
            <w:tcW w:w="3180" w:type="dxa"/>
            <w:tcMar>
              <w:top w:w="0" w:type="dxa"/>
              <w:bottom w:w="0" w:type="dxa"/>
            </w:tcMar>
            <w:vAlign w:val="center"/>
          </w:tcPr>
          <w:p w:rsidR="00FF43F7" w:rsidRPr="001B572C" w:rsidRDefault="00117A29">
            <w:pPr>
              <w:keepNext/>
              <w:keepLines/>
              <w:spacing w:after="0" w:line="240" w:lineRule="auto"/>
              <w:rPr>
                <w:noProof/>
                <w:lang w:val="hr-HR"/>
              </w:rPr>
            </w:pPr>
            <w:r w:rsidRPr="001B572C">
              <w:rPr>
                <w:noProof/>
                <w:sz w:val="18"/>
                <w:lang w:val="hr-HR"/>
              </w:rPr>
              <w:t>RASHODI POSLOVANJA (šifre 31+32+34+35+36+37+38)</w:t>
            </w:r>
          </w:p>
        </w:tc>
        <w:tc>
          <w:tcPr>
            <w:tcW w:w="700" w:type="dxa"/>
            <w:tcMar>
              <w:top w:w="0" w:type="dxa"/>
              <w:bottom w:w="0" w:type="dxa"/>
            </w:tcMar>
            <w:vAlign w:val="center"/>
          </w:tcPr>
          <w:p w:rsidR="00FF43F7" w:rsidRPr="001B572C" w:rsidRDefault="00117A29">
            <w:pPr>
              <w:keepNext/>
              <w:keepLines/>
              <w:spacing w:after="0" w:line="240" w:lineRule="auto"/>
              <w:rPr>
                <w:noProof/>
                <w:lang w:val="hr-HR"/>
              </w:rPr>
            </w:pPr>
            <w:r w:rsidRPr="001B572C">
              <w:rPr>
                <w:noProof/>
                <w:sz w:val="18"/>
                <w:lang w:val="hr-HR"/>
              </w:rPr>
              <w:t>3</w:t>
            </w:r>
          </w:p>
        </w:tc>
        <w:tc>
          <w:tcPr>
            <w:tcW w:w="1860" w:type="dxa"/>
            <w:tcMar>
              <w:top w:w="0" w:type="dxa"/>
              <w:bottom w:w="0" w:type="dxa"/>
            </w:tcMar>
            <w:vAlign w:val="center"/>
          </w:tcPr>
          <w:p w:rsidR="00FF43F7" w:rsidRPr="001B572C" w:rsidRDefault="00117A29">
            <w:pPr>
              <w:keepNext/>
              <w:keepLines/>
              <w:spacing w:after="0" w:line="240" w:lineRule="auto"/>
              <w:jc w:val="right"/>
              <w:rPr>
                <w:noProof/>
                <w:lang w:val="hr-HR"/>
              </w:rPr>
            </w:pPr>
            <w:r w:rsidRPr="001B572C">
              <w:rPr>
                <w:noProof/>
                <w:sz w:val="18"/>
                <w:lang w:val="hr-HR"/>
              </w:rPr>
              <w:t>163.669.394,55</w:t>
            </w:r>
          </w:p>
        </w:tc>
        <w:tc>
          <w:tcPr>
            <w:tcW w:w="1860" w:type="dxa"/>
            <w:tcMar>
              <w:top w:w="0" w:type="dxa"/>
              <w:bottom w:w="0" w:type="dxa"/>
            </w:tcMar>
            <w:vAlign w:val="center"/>
          </w:tcPr>
          <w:p w:rsidR="00FF43F7" w:rsidRPr="001B572C" w:rsidRDefault="00117A29">
            <w:pPr>
              <w:keepNext/>
              <w:keepLines/>
              <w:spacing w:after="0" w:line="240" w:lineRule="auto"/>
              <w:jc w:val="right"/>
              <w:rPr>
                <w:noProof/>
                <w:lang w:val="hr-HR"/>
              </w:rPr>
            </w:pPr>
            <w:r w:rsidRPr="001B572C">
              <w:rPr>
                <w:noProof/>
                <w:sz w:val="18"/>
                <w:lang w:val="hr-HR"/>
              </w:rPr>
              <w:t>188.812.702,78</w:t>
            </w:r>
          </w:p>
        </w:tc>
        <w:tc>
          <w:tcPr>
            <w:tcW w:w="700" w:type="dxa"/>
            <w:tcMar>
              <w:top w:w="0" w:type="dxa"/>
              <w:bottom w:w="0" w:type="dxa"/>
            </w:tcMar>
            <w:vAlign w:val="center"/>
          </w:tcPr>
          <w:p w:rsidR="00FF43F7" w:rsidRPr="001B572C" w:rsidRDefault="00117A29">
            <w:pPr>
              <w:keepNext/>
              <w:keepLines/>
              <w:spacing w:after="0" w:line="240" w:lineRule="auto"/>
              <w:jc w:val="right"/>
              <w:rPr>
                <w:noProof/>
                <w:lang w:val="hr-HR"/>
              </w:rPr>
            </w:pPr>
            <w:r w:rsidRPr="001B572C">
              <w:rPr>
                <w:noProof/>
                <w:sz w:val="18"/>
                <w:lang w:val="hr-HR"/>
              </w:rPr>
              <w:t>115,4</w:t>
            </w:r>
          </w:p>
        </w:tc>
      </w:tr>
    </w:tbl>
    <w:p w:rsidR="00FF43F7" w:rsidRPr="001B572C" w:rsidRDefault="00FF43F7">
      <w:pPr>
        <w:spacing w:after="0"/>
        <w:rPr>
          <w:noProof/>
          <w:lang w:val="hr-HR"/>
        </w:rPr>
      </w:pPr>
    </w:p>
    <w:p w:rsidR="00FF43F7" w:rsidRDefault="00117A29" w:rsidP="00852F99">
      <w:pPr>
        <w:jc w:val="both"/>
        <w:rPr>
          <w:noProof/>
          <w:lang w:val="hr-HR"/>
        </w:rPr>
      </w:pPr>
      <w:r w:rsidRPr="001B572C">
        <w:rPr>
          <w:noProof/>
          <w:lang w:val="hr-HR"/>
        </w:rPr>
        <w:t xml:space="preserve">Ukupni rashodi poslovanja konsolidirane grupe izvršeni su u iznosu od 188.812.702,78 eura, 15,4% više u odnosu na isto razdoblje prethodne godine. </w:t>
      </w:r>
      <w:r w:rsidR="00773694" w:rsidRPr="001B572C">
        <w:rPr>
          <w:noProof/>
          <w:lang w:val="hr-HR"/>
        </w:rPr>
        <w:t xml:space="preserve">Od ukupno ostvarenih konsolidiranih rashoda poslovanja na Grad se odnosi 86.056.844,59 eura, a na proračunske </w:t>
      </w:r>
      <w:r w:rsidR="00773694" w:rsidRPr="001B572C">
        <w:rPr>
          <w:noProof/>
          <w:lang w:val="hr-HR"/>
        </w:rPr>
        <w:lastRenderedPageBreak/>
        <w:t>korisnike  102.755.858,19 eura.</w:t>
      </w:r>
      <w:r w:rsidR="00852F99">
        <w:rPr>
          <w:noProof/>
          <w:lang w:val="hr-HR"/>
        </w:rPr>
        <w:t xml:space="preserve"> </w:t>
      </w:r>
      <w:r w:rsidR="00096006" w:rsidRPr="001B572C">
        <w:rPr>
          <w:noProof/>
          <w:lang w:val="hr-HR"/>
        </w:rPr>
        <w:t xml:space="preserve">U strukturi ukupnih rashoda poslovanja </w:t>
      </w:r>
      <w:r w:rsidR="009B6E49">
        <w:rPr>
          <w:noProof/>
          <w:lang w:val="hr-HR"/>
        </w:rPr>
        <w:t>povećanje</w:t>
      </w:r>
      <w:r w:rsidR="00096006" w:rsidRPr="001B572C">
        <w:rPr>
          <w:noProof/>
          <w:lang w:val="hr-HR"/>
        </w:rPr>
        <w:t xml:space="preserve"> </w:t>
      </w:r>
      <w:r w:rsidRPr="001B572C">
        <w:rPr>
          <w:noProof/>
          <w:lang w:val="hr-HR"/>
        </w:rPr>
        <w:t>bilježe</w:t>
      </w:r>
      <w:r w:rsidR="00096006" w:rsidRPr="001B572C">
        <w:rPr>
          <w:noProof/>
          <w:lang w:val="hr-HR"/>
        </w:rPr>
        <w:t xml:space="preserve"> sljedeće skupine rashoda</w:t>
      </w:r>
      <w:r w:rsidR="009422F9">
        <w:rPr>
          <w:noProof/>
          <w:lang w:val="hr-HR"/>
        </w:rPr>
        <w:t>: rashodi za zaposlene (+</w:t>
      </w:r>
      <w:r w:rsidRPr="001B572C">
        <w:rPr>
          <w:noProof/>
          <w:lang w:val="hr-HR"/>
        </w:rPr>
        <w:t>19,2%</w:t>
      </w:r>
      <w:r w:rsidR="009422F9">
        <w:rPr>
          <w:noProof/>
          <w:lang w:val="hr-HR"/>
        </w:rPr>
        <w:t>)</w:t>
      </w:r>
      <w:r w:rsidRPr="001B572C">
        <w:rPr>
          <w:noProof/>
          <w:lang w:val="hr-HR"/>
        </w:rPr>
        <w:t xml:space="preserve">, materijalni rashodi </w:t>
      </w:r>
      <w:r w:rsidR="009422F9">
        <w:rPr>
          <w:noProof/>
          <w:lang w:val="hr-HR"/>
        </w:rPr>
        <w:t>(+</w:t>
      </w:r>
      <w:r w:rsidRPr="001B572C">
        <w:rPr>
          <w:noProof/>
          <w:lang w:val="hr-HR"/>
        </w:rPr>
        <w:t>7,</w:t>
      </w:r>
      <w:r w:rsidR="009B6E49">
        <w:rPr>
          <w:noProof/>
          <w:lang w:val="hr-HR"/>
        </w:rPr>
        <w:t>6%</w:t>
      </w:r>
      <w:r w:rsidR="009422F9">
        <w:rPr>
          <w:noProof/>
          <w:lang w:val="hr-HR"/>
        </w:rPr>
        <w:t>)</w:t>
      </w:r>
      <w:r w:rsidR="009B6E49">
        <w:rPr>
          <w:noProof/>
          <w:lang w:val="hr-HR"/>
        </w:rPr>
        <w:t xml:space="preserve">, subvencije </w:t>
      </w:r>
      <w:r w:rsidR="009422F9">
        <w:rPr>
          <w:noProof/>
          <w:lang w:val="hr-HR"/>
        </w:rPr>
        <w:t>(+</w:t>
      </w:r>
      <w:r w:rsidR="00F437BA" w:rsidRPr="001B572C">
        <w:rPr>
          <w:noProof/>
          <w:lang w:val="hr-HR"/>
        </w:rPr>
        <w:t>41,5%</w:t>
      </w:r>
      <w:r w:rsidR="009422F9">
        <w:rPr>
          <w:noProof/>
          <w:lang w:val="hr-HR"/>
        </w:rPr>
        <w:t>)</w:t>
      </w:r>
      <w:r w:rsidR="00F437BA" w:rsidRPr="001B572C">
        <w:rPr>
          <w:noProof/>
          <w:lang w:val="hr-HR"/>
        </w:rPr>
        <w:t>,  </w:t>
      </w:r>
      <w:r w:rsidRPr="001B572C">
        <w:rPr>
          <w:noProof/>
          <w:lang w:val="hr-HR"/>
        </w:rPr>
        <w:t xml:space="preserve">naknade građanima i kućanstvima na temelju osiguranja i druge naknade </w:t>
      </w:r>
      <w:r w:rsidR="009422F9">
        <w:rPr>
          <w:noProof/>
          <w:lang w:val="hr-HR"/>
        </w:rPr>
        <w:t>(+</w:t>
      </w:r>
      <w:r w:rsidRPr="001B572C">
        <w:rPr>
          <w:noProof/>
          <w:lang w:val="hr-HR"/>
        </w:rPr>
        <w:t>49,6%</w:t>
      </w:r>
      <w:r w:rsidR="009422F9">
        <w:rPr>
          <w:noProof/>
          <w:lang w:val="hr-HR"/>
        </w:rPr>
        <w:t>)</w:t>
      </w:r>
      <w:r w:rsidRPr="001B572C">
        <w:rPr>
          <w:noProof/>
          <w:lang w:val="hr-HR"/>
        </w:rPr>
        <w:t xml:space="preserve"> te rashodi za donacije, kazne, naknad</w:t>
      </w:r>
      <w:r w:rsidR="009B6E49">
        <w:rPr>
          <w:noProof/>
          <w:lang w:val="hr-HR"/>
        </w:rPr>
        <w:t xml:space="preserve">e šteta i kapitalne pomoći </w:t>
      </w:r>
      <w:r w:rsidR="009422F9">
        <w:rPr>
          <w:noProof/>
          <w:lang w:val="hr-HR"/>
        </w:rPr>
        <w:t>(+</w:t>
      </w:r>
      <w:r w:rsidRPr="001B572C">
        <w:rPr>
          <w:noProof/>
          <w:lang w:val="hr-HR"/>
        </w:rPr>
        <w:t>8,1%</w:t>
      </w:r>
      <w:r w:rsidR="009422F9">
        <w:rPr>
          <w:noProof/>
          <w:lang w:val="hr-HR"/>
        </w:rPr>
        <w:t>)</w:t>
      </w:r>
      <w:r w:rsidRPr="001B572C">
        <w:rPr>
          <w:noProof/>
          <w:lang w:val="hr-HR"/>
        </w:rPr>
        <w:t xml:space="preserve">. </w:t>
      </w:r>
      <w:r w:rsidR="00AF212D" w:rsidRPr="001B572C">
        <w:rPr>
          <w:noProof/>
          <w:lang w:val="hr-HR"/>
        </w:rPr>
        <w:t>Z</w:t>
      </w:r>
      <w:r w:rsidRPr="001B572C">
        <w:rPr>
          <w:noProof/>
          <w:lang w:val="hr-HR"/>
        </w:rPr>
        <w:t xml:space="preserve">bog </w:t>
      </w:r>
      <w:r w:rsidR="009B6E49">
        <w:rPr>
          <w:noProof/>
          <w:lang w:val="hr-HR"/>
        </w:rPr>
        <w:t xml:space="preserve">propisane </w:t>
      </w:r>
      <w:r w:rsidRPr="001B572C">
        <w:rPr>
          <w:noProof/>
          <w:lang w:val="hr-HR"/>
        </w:rPr>
        <w:t>eliminacije unutargrupnih transakcija</w:t>
      </w:r>
      <w:r w:rsidR="00AF212D" w:rsidRPr="001B572C">
        <w:rPr>
          <w:noProof/>
          <w:lang w:val="hr-HR"/>
        </w:rPr>
        <w:t xml:space="preserve"> umanjeni su </w:t>
      </w:r>
      <w:r w:rsidRPr="001B572C">
        <w:rPr>
          <w:noProof/>
          <w:lang w:val="hr-HR"/>
        </w:rPr>
        <w:t xml:space="preserve">ukupni konsolidirani rashodi </w:t>
      </w:r>
      <w:r w:rsidR="00AF212D" w:rsidRPr="001B572C">
        <w:rPr>
          <w:noProof/>
          <w:lang w:val="hr-HR"/>
        </w:rPr>
        <w:t>z</w:t>
      </w:r>
      <w:r w:rsidRPr="001B572C">
        <w:rPr>
          <w:noProof/>
          <w:lang w:val="hr-HR"/>
        </w:rPr>
        <w:t>a izvršene prijenose proračunskim korisnicima (račun 367 =50.793.341,0</w:t>
      </w:r>
      <w:r w:rsidR="00377A24" w:rsidRPr="001B572C">
        <w:rPr>
          <w:noProof/>
          <w:lang w:val="hr-HR"/>
        </w:rPr>
        <w:t>1</w:t>
      </w:r>
      <w:r w:rsidRPr="001B572C">
        <w:rPr>
          <w:noProof/>
          <w:lang w:val="hr-HR"/>
        </w:rPr>
        <w:t xml:space="preserve"> eura) i za prijenose između proračunskih korisnika istog proračuna (račun 369 =16.321,59 eura). </w:t>
      </w:r>
    </w:p>
    <w:p w:rsidR="009B6E49" w:rsidRPr="001B572C" w:rsidRDefault="009B6E49" w:rsidP="00852F99">
      <w:pPr>
        <w:jc w:val="both"/>
        <w:rPr>
          <w:noProof/>
          <w:lang w:val="hr-HR"/>
        </w:rPr>
      </w:pPr>
    </w:p>
    <w:p w:rsidR="00FF43F7" w:rsidRPr="001B572C" w:rsidRDefault="00117A29">
      <w:pPr>
        <w:keepNext/>
        <w:spacing w:line="240" w:lineRule="auto"/>
        <w:jc w:val="center"/>
        <w:rPr>
          <w:noProof/>
          <w:lang w:val="hr-HR"/>
        </w:rPr>
      </w:pPr>
      <w:r w:rsidRPr="001B572C">
        <w:rPr>
          <w:noProof/>
          <w:sz w:val="28"/>
          <w:lang w:val="hr-HR"/>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F43F7" w:rsidRPr="001B572C">
        <w:trPr>
          <w:cantSplit/>
        </w:trPr>
        <w:tc>
          <w:tcPr>
            <w:tcW w:w="70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Račun iz rač. plana</w:t>
            </w:r>
          </w:p>
        </w:tc>
        <w:tc>
          <w:tcPr>
            <w:tcW w:w="318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Opis stavke</w:t>
            </w:r>
          </w:p>
        </w:tc>
        <w:tc>
          <w:tcPr>
            <w:tcW w:w="70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Šifra</w:t>
            </w:r>
          </w:p>
        </w:tc>
        <w:tc>
          <w:tcPr>
            <w:tcW w:w="186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Ostvareno u izvještajnom razdoblju prethodne godine</w:t>
            </w:r>
          </w:p>
        </w:tc>
        <w:tc>
          <w:tcPr>
            <w:tcW w:w="186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Ostvareno u izvještajnom razdoblju tekuće godine</w:t>
            </w:r>
          </w:p>
        </w:tc>
        <w:tc>
          <w:tcPr>
            <w:tcW w:w="70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Indeks (%)</w:t>
            </w:r>
          </w:p>
        </w:tc>
      </w:tr>
      <w:tr w:rsidR="00FF43F7" w:rsidRPr="001B572C">
        <w:trPr>
          <w:cantSplit/>
          <w:trHeight w:val="560"/>
        </w:trPr>
        <w:tc>
          <w:tcPr>
            <w:tcW w:w="700" w:type="dxa"/>
            <w:tcMar>
              <w:top w:w="0" w:type="dxa"/>
              <w:bottom w:w="0" w:type="dxa"/>
            </w:tcMar>
            <w:vAlign w:val="center"/>
          </w:tcPr>
          <w:p w:rsidR="00FF43F7" w:rsidRPr="001B572C" w:rsidRDefault="00117A29">
            <w:pPr>
              <w:keepNext/>
              <w:keepLines/>
              <w:spacing w:after="0" w:line="240" w:lineRule="auto"/>
              <w:rPr>
                <w:noProof/>
                <w:lang w:val="hr-HR"/>
              </w:rPr>
            </w:pPr>
            <w:r w:rsidRPr="001B572C">
              <w:rPr>
                <w:noProof/>
                <w:sz w:val="18"/>
                <w:lang w:val="hr-HR"/>
              </w:rPr>
              <w:t>31</w:t>
            </w:r>
          </w:p>
        </w:tc>
        <w:tc>
          <w:tcPr>
            <w:tcW w:w="3180" w:type="dxa"/>
            <w:tcMar>
              <w:top w:w="0" w:type="dxa"/>
              <w:bottom w:w="0" w:type="dxa"/>
            </w:tcMar>
            <w:vAlign w:val="center"/>
          </w:tcPr>
          <w:p w:rsidR="00FF43F7" w:rsidRPr="001B572C" w:rsidRDefault="00117A29">
            <w:pPr>
              <w:keepNext/>
              <w:keepLines/>
              <w:spacing w:after="0" w:line="240" w:lineRule="auto"/>
              <w:rPr>
                <w:noProof/>
                <w:lang w:val="hr-HR"/>
              </w:rPr>
            </w:pPr>
            <w:r w:rsidRPr="001B572C">
              <w:rPr>
                <w:noProof/>
                <w:sz w:val="18"/>
                <w:lang w:val="hr-HR"/>
              </w:rPr>
              <w:t>Rashodi za zaposlene (šifre 311+312+313)</w:t>
            </w:r>
          </w:p>
        </w:tc>
        <w:tc>
          <w:tcPr>
            <w:tcW w:w="700" w:type="dxa"/>
            <w:tcMar>
              <w:top w:w="0" w:type="dxa"/>
              <w:bottom w:w="0" w:type="dxa"/>
            </w:tcMar>
            <w:vAlign w:val="center"/>
          </w:tcPr>
          <w:p w:rsidR="00FF43F7" w:rsidRPr="001B572C" w:rsidRDefault="00117A29">
            <w:pPr>
              <w:keepNext/>
              <w:keepLines/>
              <w:spacing w:after="0" w:line="240" w:lineRule="auto"/>
              <w:rPr>
                <w:noProof/>
                <w:lang w:val="hr-HR"/>
              </w:rPr>
            </w:pPr>
            <w:r w:rsidRPr="001B572C">
              <w:rPr>
                <w:noProof/>
                <w:sz w:val="18"/>
                <w:lang w:val="hr-HR"/>
              </w:rPr>
              <w:t>31</w:t>
            </w:r>
          </w:p>
        </w:tc>
        <w:tc>
          <w:tcPr>
            <w:tcW w:w="1860" w:type="dxa"/>
            <w:tcMar>
              <w:top w:w="0" w:type="dxa"/>
              <w:bottom w:w="0" w:type="dxa"/>
            </w:tcMar>
            <w:vAlign w:val="center"/>
          </w:tcPr>
          <w:p w:rsidR="00FF43F7" w:rsidRPr="001B572C" w:rsidRDefault="00117A29">
            <w:pPr>
              <w:keepNext/>
              <w:keepLines/>
              <w:spacing w:after="0" w:line="240" w:lineRule="auto"/>
              <w:jc w:val="right"/>
              <w:rPr>
                <w:noProof/>
                <w:lang w:val="hr-HR"/>
              </w:rPr>
            </w:pPr>
            <w:r w:rsidRPr="001B572C">
              <w:rPr>
                <w:noProof/>
                <w:sz w:val="18"/>
                <w:lang w:val="hr-HR"/>
              </w:rPr>
              <w:t>85.359.820,55</w:t>
            </w:r>
          </w:p>
        </w:tc>
        <w:tc>
          <w:tcPr>
            <w:tcW w:w="1860" w:type="dxa"/>
            <w:tcMar>
              <w:top w:w="0" w:type="dxa"/>
              <w:bottom w:w="0" w:type="dxa"/>
            </w:tcMar>
            <w:vAlign w:val="center"/>
          </w:tcPr>
          <w:p w:rsidR="00FF43F7" w:rsidRPr="001B572C" w:rsidRDefault="00117A29">
            <w:pPr>
              <w:keepNext/>
              <w:keepLines/>
              <w:spacing w:after="0" w:line="240" w:lineRule="auto"/>
              <w:jc w:val="right"/>
              <w:rPr>
                <w:noProof/>
                <w:lang w:val="hr-HR"/>
              </w:rPr>
            </w:pPr>
            <w:r w:rsidRPr="001B572C">
              <w:rPr>
                <w:noProof/>
                <w:sz w:val="18"/>
                <w:lang w:val="hr-HR"/>
              </w:rPr>
              <w:t>101.744.475,88</w:t>
            </w:r>
          </w:p>
        </w:tc>
        <w:tc>
          <w:tcPr>
            <w:tcW w:w="700" w:type="dxa"/>
            <w:tcMar>
              <w:top w:w="0" w:type="dxa"/>
              <w:bottom w:w="0" w:type="dxa"/>
            </w:tcMar>
            <w:vAlign w:val="center"/>
          </w:tcPr>
          <w:p w:rsidR="00FF43F7" w:rsidRPr="001B572C" w:rsidRDefault="00117A29">
            <w:pPr>
              <w:keepNext/>
              <w:keepLines/>
              <w:spacing w:after="0" w:line="240" w:lineRule="auto"/>
              <w:jc w:val="right"/>
              <w:rPr>
                <w:noProof/>
                <w:lang w:val="hr-HR"/>
              </w:rPr>
            </w:pPr>
            <w:r w:rsidRPr="001B572C">
              <w:rPr>
                <w:noProof/>
                <w:sz w:val="18"/>
                <w:lang w:val="hr-HR"/>
              </w:rPr>
              <w:t>119,2</w:t>
            </w:r>
          </w:p>
        </w:tc>
      </w:tr>
    </w:tbl>
    <w:p w:rsidR="00FF43F7" w:rsidRPr="001B572C" w:rsidRDefault="00FF43F7">
      <w:pPr>
        <w:spacing w:after="0"/>
        <w:rPr>
          <w:noProof/>
          <w:lang w:val="hr-HR"/>
        </w:rPr>
      </w:pPr>
    </w:p>
    <w:p w:rsidR="007662A6" w:rsidRDefault="00117A29" w:rsidP="0012737D">
      <w:pPr>
        <w:jc w:val="both"/>
        <w:rPr>
          <w:lang w:val="hr-HR"/>
        </w:rPr>
      </w:pPr>
      <w:r w:rsidRPr="009422F9">
        <w:rPr>
          <w:noProof/>
          <w:lang w:val="hr-HR"/>
        </w:rPr>
        <w:t xml:space="preserve">Rashodi za zaposlene obuhvaćaju plaće, pripadajuće doprinose na plaće te ostale rashode za zaposlene. Ovi rashodi su 19,2% viši u odnosu na isto razdoblje prethodne godine </w:t>
      </w:r>
      <w:r w:rsidR="00521079">
        <w:rPr>
          <w:noProof/>
          <w:lang w:val="hr-HR"/>
        </w:rPr>
        <w:t>što je</w:t>
      </w:r>
      <w:r w:rsidR="00521079" w:rsidRPr="004C4164">
        <w:rPr>
          <w:lang w:val="hr-HR"/>
        </w:rPr>
        <w:t xml:space="preserve"> rezultat kolektivnih pregovora.</w:t>
      </w:r>
      <w:r w:rsidR="00C074C8">
        <w:rPr>
          <w:lang w:val="hr-HR"/>
        </w:rPr>
        <w:t xml:space="preserve"> </w:t>
      </w:r>
    </w:p>
    <w:p w:rsidR="000A5210" w:rsidRDefault="00C074C8" w:rsidP="0012737D">
      <w:pPr>
        <w:jc w:val="both"/>
        <w:rPr>
          <w:lang w:val="hr-HR"/>
        </w:rPr>
      </w:pPr>
      <w:r>
        <w:rPr>
          <w:lang w:val="hr-HR"/>
        </w:rPr>
        <w:t xml:space="preserve">Grad je </w:t>
      </w:r>
      <w:r w:rsidR="0012737D">
        <w:rPr>
          <w:lang w:val="hr-HR"/>
        </w:rPr>
        <w:t xml:space="preserve">u ovom izvještajnom razdoblju </w:t>
      </w:r>
      <w:r>
        <w:rPr>
          <w:lang w:val="hr-HR"/>
        </w:rPr>
        <w:t xml:space="preserve">ostvario 17.169.223,69 eura </w:t>
      </w:r>
      <w:r w:rsidR="0012737D">
        <w:rPr>
          <w:lang w:val="hr-HR"/>
        </w:rPr>
        <w:t xml:space="preserve"> </w:t>
      </w:r>
      <w:r>
        <w:rPr>
          <w:lang w:val="hr-HR"/>
        </w:rPr>
        <w:t xml:space="preserve">rashoda </w:t>
      </w:r>
      <w:r w:rsidR="0012737D">
        <w:rPr>
          <w:lang w:val="hr-HR"/>
        </w:rPr>
        <w:t>za zaposlene (16,9%)</w:t>
      </w:r>
      <w:r>
        <w:rPr>
          <w:lang w:val="hr-HR"/>
        </w:rPr>
        <w:t xml:space="preserve"> dok su </w:t>
      </w:r>
      <w:r w:rsidR="0004165E">
        <w:rPr>
          <w:lang w:val="hr-HR"/>
        </w:rPr>
        <w:t xml:space="preserve">svi </w:t>
      </w:r>
      <w:r>
        <w:rPr>
          <w:lang w:val="hr-HR"/>
        </w:rPr>
        <w:t xml:space="preserve">proračunski korisnici </w:t>
      </w:r>
      <w:r w:rsidR="0004165E">
        <w:rPr>
          <w:lang w:val="hr-HR"/>
        </w:rPr>
        <w:t>ukupno</w:t>
      </w:r>
      <w:r>
        <w:rPr>
          <w:lang w:val="hr-HR"/>
        </w:rPr>
        <w:t xml:space="preserve"> ostvarili 84.575.252,19 eura </w:t>
      </w:r>
      <w:r w:rsidR="0004165E">
        <w:rPr>
          <w:lang w:val="hr-HR"/>
        </w:rPr>
        <w:t xml:space="preserve">ovih </w:t>
      </w:r>
      <w:r>
        <w:rPr>
          <w:lang w:val="hr-HR"/>
        </w:rPr>
        <w:t>rashoda</w:t>
      </w:r>
      <w:r w:rsidR="0012737D">
        <w:rPr>
          <w:lang w:val="hr-HR"/>
        </w:rPr>
        <w:t xml:space="preserve"> (83,1%)</w:t>
      </w:r>
      <w:r>
        <w:rPr>
          <w:lang w:val="hr-HR"/>
        </w:rPr>
        <w:t xml:space="preserve">. </w:t>
      </w:r>
    </w:p>
    <w:p w:rsidR="0012737D" w:rsidRPr="0012737D" w:rsidRDefault="0012737D" w:rsidP="0012737D">
      <w:pPr>
        <w:jc w:val="both"/>
        <w:rPr>
          <w:lang w:val="hr-HR"/>
        </w:rPr>
      </w:pPr>
    </w:p>
    <w:p w:rsidR="00FF43F7" w:rsidRPr="001B572C" w:rsidRDefault="00117A29">
      <w:pPr>
        <w:keepNext/>
        <w:spacing w:line="240" w:lineRule="auto"/>
        <w:jc w:val="center"/>
        <w:rPr>
          <w:noProof/>
          <w:lang w:val="hr-HR"/>
        </w:rPr>
      </w:pPr>
      <w:r w:rsidRPr="001B572C">
        <w:rPr>
          <w:noProof/>
          <w:sz w:val="28"/>
          <w:lang w:val="hr-HR"/>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F43F7" w:rsidRPr="001B572C">
        <w:trPr>
          <w:cantSplit/>
        </w:trPr>
        <w:tc>
          <w:tcPr>
            <w:tcW w:w="70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Račun iz rač. plana</w:t>
            </w:r>
          </w:p>
        </w:tc>
        <w:tc>
          <w:tcPr>
            <w:tcW w:w="318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Opis stavke</w:t>
            </w:r>
          </w:p>
        </w:tc>
        <w:tc>
          <w:tcPr>
            <w:tcW w:w="70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Šifra</w:t>
            </w:r>
          </w:p>
        </w:tc>
        <w:tc>
          <w:tcPr>
            <w:tcW w:w="186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Ostvareno u izvještajnom razdoblju prethodne godine</w:t>
            </w:r>
          </w:p>
        </w:tc>
        <w:tc>
          <w:tcPr>
            <w:tcW w:w="186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Ostvareno u izvještajnom razdoblju tekuće godine</w:t>
            </w:r>
          </w:p>
        </w:tc>
        <w:tc>
          <w:tcPr>
            <w:tcW w:w="70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Indeks (%)</w:t>
            </w:r>
          </w:p>
        </w:tc>
      </w:tr>
      <w:tr w:rsidR="00FF43F7" w:rsidRPr="001B572C">
        <w:trPr>
          <w:cantSplit/>
          <w:trHeight w:val="560"/>
        </w:trPr>
        <w:tc>
          <w:tcPr>
            <w:tcW w:w="700" w:type="dxa"/>
            <w:tcMar>
              <w:top w:w="0" w:type="dxa"/>
              <w:bottom w:w="0" w:type="dxa"/>
            </w:tcMar>
            <w:vAlign w:val="center"/>
          </w:tcPr>
          <w:p w:rsidR="00FF43F7" w:rsidRPr="001B572C" w:rsidRDefault="00117A29">
            <w:pPr>
              <w:keepNext/>
              <w:keepLines/>
              <w:spacing w:after="0" w:line="240" w:lineRule="auto"/>
              <w:rPr>
                <w:noProof/>
                <w:lang w:val="hr-HR"/>
              </w:rPr>
            </w:pPr>
            <w:r w:rsidRPr="001B572C">
              <w:rPr>
                <w:noProof/>
                <w:sz w:val="18"/>
                <w:lang w:val="hr-HR"/>
              </w:rPr>
              <w:t>7</w:t>
            </w:r>
          </w:p>
        </w:tc>
        <w:tc>
          <w:tcPr>
            <w:tcW w:w="3180" w:type="dxa"/>
            <w:tcMar>
              <w:top w:w="0" w:type="dxa"/>
              <w:bottom w:w="0" w:type="dxa"/>
            </w:tcMar>
            <w:vAlign w:val="center"/>
          </w:tcPr>
          <w:p w:rsidR="00FF43F7" w:rsidRPr="001B572C" w:rsidRDefault="00117A29">
            <w:pPr>
              <w:keepNext/>
              <w:keepLines/>
              <w:spacing w:after="0" w:line="240" w:lineRule="auto"/>
              <w:rPr>
                <w:noProof/>
                <w:lang w:val="hr-HR"/>
              </w:rPr>
            </w:pPr>
            <w:r w:rsidRPr="001B572C">
              <w:rPr>
                <w:noProof/>
                <w:sz w:val="18"/>
                <w:lang w:val="hr-HR"/>
              </w:rPr>
              <w:t>Prihodi od prodaje nefinancijske imovine (šifre 71+72+73+74)</w:t>
            </w:r>
          </w:p>
        </w:tc>
        <w:tc>
          <w:tcPr>
            <w:tcW w:w="700" w:type="dxa"/>
            <w:tcMar>
              <w:top w:w="0" w:type="dxa"/>
              <w:bottom w:w="0" w:type="dxa"/>
            </w:tcMar>
            <w:vAlign w:val="center"/>
          </w:tcPr>
          <w:p w:rsidR="00FF43F7" w:rsidRPr="001B572C" w:rsidRDefault="00117A29">
            <w:pPr>
              <w:keepNext/>
              <w:keepLines/>
              <w:spacing w:after="0" w:line="240" w:lineRule="auto"/>
              <w:rPr>
                <w:noProof/>
                <w:lang w:val="hr-HR"/>
              </w:rPr>
            </w:pPr>
            <w:r w:rsidRPr="001B572C">
              <w:rPr>
                <w:noProof/>
                <w:sz w:val="18"/>
                <w:lang w:val="hr-HR"/>
              </w:rPr>
              <w:t>7</w:t>
            </w:r>
          </w:p>
        </w:tc>
        <w:tc>
          <w:tcPr>
            <w:tcW w:w="1860" w:type="dxa"/>
            <w:tcMar>
              <w:top w:w="0" w:type="dxa"/>
              <w:bottom w:w="0" w:type="dxa"/>
            </w:tcMar>
            <w:vAlign w:val="center"/>
          </w:tcPr>
          <w:p w:rsidR="00FF43F7" w:rsidRPr="001B572C" w:rsidRDefault="00117A29">
            <w:pPr>
              <w:keepNext/>
              <w:keepLines/>
              <w:spacing w:after="0" w:line="240" w:lineRule="auto"/>
              <w:jc w:val="right"/>
              <w:rPr>
                <w:noProof/>
                <w:lang w:val="hr-HR"/>
              </w:rPr>
            </w:pPr>
            <w:r w:rsidRPr="001B572C">
              <w:rPr>
                <w:noProof/>
                <w:sz w:val="18"/>
                <w:lang w:val="hr-HR"/>
              </w:rPr>
              <w:t>5.505.460,65</w:t>
            </w:r>
          </w:p>
        </w:tc>
        <w:tc>
          <w:tcPr>
            <w:tcW w:w="1860" w:type="dxa"/>
            <w:tcMar>
              <w:top w:w="0" w:type="dxa"/>
              <w:bottom w:w="0" w:type="dxa"/>
            </w:tcMar>
            <w:vAlign w:val="center"/>
          </w:tcPr>
          <w:p w:rsidR="00FF43F7" w:rsidRPr="001B572C" w:rsidRDefault="00117A29">
            <w:pPr>
              <w:keepNext/>
              <w:keepLines/>
              <w:spacing w:after="0" w:line="240" w:lineRule="auto"/>
              <w:jc w:val="right"/>
              <w:rPr>
                <w:noProof/>
                <w:lang w:val="hr-HR"/>
              </w:rPr>
            </w:pPr>
            <w:r w:rsidRPr="001B572C">
              <w:rPr>
                <w:noProof/>
                <w:sz w:val="18"/>
                <w:lang w:val="hr-HR"/>
              </w:rPr>
              <w:t>1.287.433,39</w:t>
            </w:r>
          </w:p>
        </w:tc>
        <w:tc>
          <w:tcPr>
            <w:tcW w:w="700" w:type="dxa"/>
            <w:tcMar>
              <w:top w:w="0" w:type="dxa"/>
              <w:bottom w:w="0" w:type="dxa"/>
            </w:tcMar>
            <w:vAlign w:val="center"/>
          </w:tcPr>
          <w:p w:rsidR="00FF43F7" w:rsidRPr="001B572C" w:rsidRDefault="00117A29">
            <w:pPr>
              <w:keepNext/>
              <w:keepLines/>
              <w:spacing w:after="0" w:line="240" w:lineRule="auto"/>
              <w:jc w:val="right"/>
              <w:rPr>
                <w:noProof/>
                <w:lang w:val="hr-HR"/>
              </w:rPr>
            </w:pPr>
            <w:r w:rsidRPr="001B572C">
              <w:rPr>
                <w:noProof/>
                <w:sz w:val="18"/>
                <w:lang w:val="hr-HR"/>
              </w:rPr>
              <w:t>23,4</w:t>
            </w:r>
          </w:p>
        </w:tc>
      </w:tr>
    </w:tbl>
    <w:p w:rsidR="00FF43F7" w:rsidRPr="001B572C" w:rsidRDefault="00FF43F7">
      <w:pPr>
        <w:spacing w:after="0"/>
        <w:rPr>
          <w:noProof/>
          <w:lang w:val="hr-HR"/>
        </w:rPr>
      </w:pPr>
    </w:p>
    <w:p w:rsidR="00C071F4" w:rsidRPr="00E013E4" w:rsidRDefault="00117A29" w:rsidP="00E013E4">
      <w:pPr>
        <w:jc w:val="both"/>
        <w:rPr>
          <w:noProof/>
          <w:color w:val="000000"/>
          <w:szCs w:val="24"/>
          <w:lang w:val="hr-HR" w:eastAsia="hr-HR"/>
        </w:rPr>
      </w:pPr>
      <w:r w:rsidRPr="001B572C">
        <w:rPr>
          <w:noProof/>
          <w:lang w:val="hr-HR"/>
        </w:rPr>
        <w:t>Prihodi od prodaje nefinancijske imovine ostvareni su u iznosu od 1.287.433,39 eura. Grad je ostvario 1.284.556,03 eura</w:t>
      </w:r>
      <w:r w:rsidRPr="00E013E4">
        <w:rPr>
          <w:noProof/>
          <w:lang w:val="hr-HR"/>
        </w:rPr>
        <w:t xml:space="preserve">, a </w:t>
      </w:r>
      <w:r w:rsidR="00C071F4" w:rsidRPr="00E013E4">
        <w:rPr>
          <w:noProof/>
          <w:lang w:val="hr-HR"/>
        </w:rPr>
        <w:t xml:space="preserve">proračunski </w:t>
      </w:r>
      <w:r w:rsidRPr="00E013E4">
        <w:rPr>
          <w:noProof/>
          <w:lang w:val="hr-HR"/>
        </w:rPr>
        <w:t xml:space="preserve">korisnici </w:t>
      </w:r>
      <w:r w:rsidR="004421BE" w:rsidRPr="00E013E4">
        <w:rPr>
          <w:noProof/>
          <w:lang w:val="hr-HR"/>
        </w:rPr>
        <w:t xml:space="preserve">ukupno </w:t>
      </w:r>
      <w:r w:rsidRPr="00E013E4">
        <w:rPr>
          <w:noProof/>
          <w:lang w:val="hr-HR"/>
        </w:rPr>
        <w:t>2.87</w:t>
      </w:r>
      <w:r w:rsidR="006E3BE8" w:rsidRPr="00E013E4">
        <w:rPr>
          <w:noProof/>
          <w:lang w:val="hr-HR"/>
        </w:rPr>
        <w:t>7</w:t>
      </w:r>
      <w:r w:rsidRPr="00E013E4">
        <w:rPr>
          <w:noProof/>
          <w:lang w:val="hr-HR"/>
        </w:rPr>
        <w:t>,</w:t>
      </w:r>
      <w:r w:rsidR="006E3BE8" w:rsidRPr="00E013E4">
        <w:rPr>
          <w:noProof/>
          <w:lang w:val="hr-HR"/>
        </w:rPr>
        <w:t>3</w:t>
      </w:r>
      <w:r w:rsidRPr="00E013E4">
        <w:rPr>
          <w:noProof/>
          <w:lang w:val="hr-HR"/>
        </w:rPr>
        <w:t xml:space="preserve">6 eura ovih prihoda </w:t>
      </w:r>
      <w:r w:rsidR="002B2754" w:rsidRPr="00E013E4">
        <w:rPr>
          <w:noProof/>
          <w:lang w:val="hr-HR"/>
        </w:rPr>
        <w:t>(</w:t>
      </w:r>
      <w:r w:rsidR="00C071F4" w:rsidRPr="00E013E4">
        <w:rPr>
          <w:noProof/>
          <w:lang w:val="hr-HR"/>
        </w:rPr>
        <w:t>3 osnovne škole i Dom mladih ostvarili su 788,84 eura prihoda od proda</w:t>
      </w:r>
      <w:r w:rsidR="00E013E4" w:rsidRPr="00E013E4">
        <w:rPr>
          <w:noProof/>
          <w:lang w:val="hr-HR"/>
        </w:rPr>
        <w:t>nih</w:t>
      </w:r>
      <w:r w:rsidR="00C071F4" w:rsidRPr="00E013E4">
        <w:rPr>
          <w:noProof/>
          <w:lang w:val="hr-HR"/>
        </w:rPr>
        <w:t xml:space="preserve"> sta</w:t>
      </w:r>
      <w:r w:rsidR="00091794" w:rsidRPr="00E013E4">
        <w:rPr>
          <w:noProof/>
          <w:lang w:val="hr-HR"/>
        </w:rPr>
        <w:t>nova zaposlenicima</w:t>
      </w:r>
      <w:r w:rsidR="00E013E4">
        <w:rPr>
          <w:noProof/>
          <w:lang w:val="hr-HR"/>
        </w:rPr>
        <w:t>, a</w:t>
      </w:r>
      <w:r w:rsidR="00C071F4" w:rsidRPr="00E013E4">
        <w:rPr>
          <w:noProof/>
          <w:lang w:val="hr-HR"/>
        </w:rPr>
        <w:t xml:space="preserve"> </w:t>
      </w:r>
      <w:r w:rsidR="00091794" w:rsidRPr="00E013E4">
        <w:rPr>
          <w:noProof/>
          <w:lang w:val="hr-HR"/>
        </w:rPr>
        <w:t>Gradska knjižnica</w:t>
      </w:r>
      <w:r w:rsidR="00C071F4" w:rsidRPr="00E013E4">
        <w:rPr>
          <w:noProof/>
          <w:lang w:val="hr-HR"/>
        </w:rPr>
        <w:t xml:space="preserve"> Rijeka 2.088,52 eura prihoda od prodaje prijevoznih sredstava</w:t>
      </w:r>
      <w:r w:rsidR="00E013E4">
        <w:rPr>
          <w:noProof/>
          <w:lang w:val="hr-HR"/>
        </w:rPr>
        <w:t>)</w:t>
      </w:r>
      <w:r w:rsidR="00C071F4" w:rsidRPr="00E013E4">
        <w:rPr>
          <w:noProof/>
          <w:lang w:val="hr-HR"/>
        </w:rPr>
        <w:t>.</w:t>
      </w:r>
      <w:r w:rsidR="002B2754" w:rsidRPr="00E013E4">
        <w:rPr>
          <w:noProof/>
          <w:lang w:val="hr-HR"/>
        </w:rPr>
        <w:t xml:space="preserve"> </w:t>
      </w:r>
      <w:r w:rsidR="00E013E4">
        <w:rPr>
          <w:noProof/>
          <w:lang w:val="hr-HR"/>
        </w:rPr>
        <w:t>U Gradu su unutar ovih prihoda ostvareni</w:t>
      </w:r>
      <w:r w:rsidR="002B2754" w:rsidRPr="001B572C">
        <w:rPr>
          <w:noProof/>
          <w:lang w:val="hr-HR"/>
        </w:rPr>
        <w:t xml:space="preserve"> prihod</w:t>
      </w:r>
      <w:r w:rsidR="00E013E4">
        <w:rPr>
          <w:noProof/>
          <w:lang w:val="hr-HR"/>
        </w:rPr>
        <w:t>i</w:t>
      </w:r>
      <w:r w:rsidR="002B2754" w:rsidRPr="001B572C">
        <w:rPr>
          <w:noProof/>
          <w:lang w:val="hr-HR"/>
        </w:rPr>
        <w:t xml:space="preserve"> od prodaje zemljišta u iznosu od 710.426,08 eura, </w:t>
      </w:r>
      <w:r w:rsidR="00E013E4">
        <w:rPr>
          <w:noProof/>
          <w:lang w:val="hr-HR"/>
        </w:rPr>
        <w:t>zatim</w:t>
      </w:r>
      <w:r w:rsidR="002B2754" w:rsidRPr="001B572C">
        <w:rPr>
          <w:noProof/>
          <w:lang w:val="hr-HR"/>
        </w:rPr>
        <w:t xml:space="preserve"> prihod</w:t>
      </w:r>
      <w:r w:rsidR="00E013E4">
        <w:rPr>
          <w:noProof/>
          <w:lang w:val="hr-HR"/>
        </w:rPr>
        <w:t>i</w:t>
      </w:r>
      <w:r w:rsidR="002B2754" w:rsidRPr="001B572C">
        <w:rPr>
          <w:noProof/>
          <w:lang w:val="hr-HR"/>
        </w:rPr>
        <w:t xml:space="preserve"> od osnivanja prava građenja u iznosu od 34.993,57 eura i prihod</w:t>
      </w:r>
      <w:r w:rsidR="00E013E4">
        <w:rPr>
          <w:noProof/>
          <w:lang w:val="hr-HR"/>
        </w:rPr>
        <w:t>i</w:t>
      </w:r>
      <w:r w:rsidR="002B2754" w:rsidRPr="001B572C">
        <w:rPr>
          <w:noProof/>
          <w:lang w:val="hr-HR"/>
        </w:rPr>
        <w:t xml:space="preserve"> od prodaje stambenih objekata u iznosu </w:t>
      </w:r>
      <w:r w:rsidR="002B2754" w:rsidRPr="00E013E4">
        <w:rPr>
          <w:noProof/>
          <w:lang w:val="hr-HR"/>
        </w:rPr>
        <w:t xml:space="preserve">od </w:t>
      </w:r>
      <w:r w:rsidR="002B2754" w:rsidRPr="00E013E4">
        <w:rPr>
          <w:noProof/>
          <w:color w:val="000000"/>
          <w:szCs w:val="24"/>
          <w:lang w:val="hr-HR" w:eastAsia="hr-HR"/>
        </w:rPr>
        <w:t>539.</w:t>
      </w:r>
      <w:r w:rsidR="00BB03DF">
        <w:rPr>
          <w:noProof/>
          <w:color w:val="000000"/>
          <w:szCs w:val="24"/>
          <w:lang w:val="hr-HR" w:eastAsia="hr-HR"/>
        </w:rPr>
        <w:t>136,38</w:t>
      </w:r>
      <w:r w:rsidR="002D7273" w:rsidRPr="00E013E4">
        <w:rPr>
          <w:noProof/>
          <w:color w:val="000000"/>
          <w:szCs w:val="24"/>
          <w:lang w:val="hr-HR" w:eastAsia="hr-HR"/>
        </w:rPr>
        <w:t xml:space="preserve"> eura</w:t>
      </w:r>
      <w:r w:rsidR="00E013E4">
        <w:rPr>
          <w:noProof/>
          <w:color w:val="000000"/>
          <w:szCs w:val="24"/>
          <w:lang w:val="hr-HR" w:eastAsia="hr-HR"/>
        </w:rPr>
        <w:t xml:space="preserve">. </w:t>
      </w:r>
      <w:r w:rsidR="002B2754" w:rsidRPr="001B572C">
        <w:rPr>
          <w:noProof/>
          <w:lang w:val="hr-HR"/>
        </w:rPr>
        <w:t>Prihodi od prodaje stambenih objekata se većim dijelom odnose na prihode od prodaje stanova u vlasništvu Grada i u manjem dijelu na prihode od proda</w:t>
      </w:r>
      <w:r w:rsidR="00E013E4">
        <w:rPr>
          <w:noProof/>
          <w:lang w:val="hr-HR"/>
        </w:rPr>
        <w:t>nih</w:t>
      </w:r>
      <w:r w:rsidR="002B2754" w:rsidRPr="001B572C">
        <w:rPr>
          <w:noProof/>
          <w:lang w:val="hr-HR"/>
        </w:rPr>
        <w:t xml:space="preserve"> stanova na kojima je postojalo stanarsko pravo.</w:t>
      </w:r>
      <w:r w:rsidR="00C071F4" w:rsidRPr="001B572C">
        <w:rPr>
          <w:noProof/>
          <w:color w:val="1F497D"/>
          <w:lang w:val="hr-HR"/>
        </w:rPr>
        <w:t xml:space="preserve"> </w:t>
      </w:r>
    </w:p>
    <w:p w:rsidR="00C071F4" w:rsidRPr="001B572C" w:rsidRDefault="00C071F4" w:rsidP="00C071F4">
      <w:pPr>
        <w:rPr>
          <w:noProof/>
          <w:color w:val="1F497D"/>
          <w:lang w:val="hr-HR"/>
        </w:rPr>
      </w:pPr>
    </w:p>
    <w:p w:rsidR="00FF43F7" w:rsidRPr="001B572C" w:rsidRDefault="00FF43F7">
      <w:pPr>
        <w:rPr>
          <w:noProof/>
          <w:lang w:val="hr-HR"/>
        </w:rPr>
      </w:pPr>
    </w:p>
    <w:p w:rsidR="00FF43F7" w:rsidRPr="001B572C" w:rsidRDefault="00117A29">
      <w:pPr>
        <w:keepNext/>
        <w:spacing w:line="240" w:lineRule="auto"/>
        <w:jc w:val="center"/>
        <w:rPr>
          <w:noProof/>
          <w:lang w:val="hr-HR"/>
        </w:rPr>
      </w:pPr>
      <w:r w:rsidRPr="001B572C">
        <w:rPr>
          <w:noProof/>
          <w:sz w:val="28"/>
          <w:lang w:val="hr-HR"/>
        </w:rPr>
        <w:lastRenderedPageBreak/>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F43F7" w:rsidRPr="001B572C">
        <w:trPr>
          <w:cantSplit/>
        </w:trPr>
        <w:tc>
          <w:tcPr>
            <w:tcW w:w="70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Račun iz rač. plana</w:t>
            </w:r>
          </w:p>
        </w:tc>
        <w:tc>
          <w:tcPr>
            <w:tcW w:w="318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Opis stavke</w:t>
            </w:r>
          </w:p>
        </w:tc>
        <w:tc>
          <w:tcPr>
            <w:tcW w:w="70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Šifra</w:t>
            </w:r>
          </w:p>
        </w:tc>
        <w:tc>
          <w:tcPr>
            <w:tcW w:w="186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Ostvareno u izvještajnom razdoblju prethodne godine</w:t>
            </w:r>
          </w:p>
        </w:tc>
        <w:tc>
          <w:tcPr>
            <w:tcW w:w="186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Ostvareno u izvještajnom razdoblju tekuće godine</w:t>
            </w:r>
          </w:p>
        </w:tc>
        <w:tc>
          <w:tcPr>
            <w:tcW w:w="70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Indeks (%)</w:t>
            </w:r>
          </w:p>
        </w:tc>
      </w:tr>
      <w:tr w:rsidR="00FF43F7" w:rsidRPr="001B572C">
        <w:trPr>
          <w:cantSplit/>
          <w:trHeight w:val="560"/>
        </w:trPr>
        <w:tc>
          <w:tcPr>
            <w:tcW w:w="700" w:type="dxa"/>
            <w:tcMar>
              <w:top w:w="0" w:type="dxa"/>
              <w:bottom w:w="0" w:type="dxa"/>
            </w:tcMar>
            <w:vAlign w:val="center"/>
          </w:tcPr>
          <w:p w:rsidR="00FF43F7" w:rsidRPr="001B572C" w:rsidRDefault="00117A29">
            <w:pPr>
              <w:keepNext/>
              <w:keepLines/>
              <w:spacing w:after="0" w:line="240" w:lineRule="auto"/>
              <w:rPr>
                <w:noProof/>
                <w:lang w:val="hr-HR"/>
              </w:rPr>
            </w:pPr>
            <w:r w:rsidRPr="001B572C">
              <w:rPr>
                <w:noProof/>
                <w:sz w:val="18"/>
                <w:lang w:val="hr-HR"/>
              </w:rPr>
              <w:t>4</w:t>
            </w:r>
          </w:p>
        </w:tc>
        <w:tc>
          <w:tcPr>
            <w:tcW w:w="3180" w:type="dxa"/>
            <w:tcMar>
              <w:top w:w="0" w:type="dxa"/>
              <w:bottom w:w="0" w:type="dxa"/>
            </w:tcMar>
            <w:vAlign w:val="center"/>
          </w:tcPr>
          <w:p w:rsidR="00FF43F7" w:rsidRPr="001B572C" w:rsidRDefault="00117A29">
            <w:pPr>
              <w:keepNext/>
              <w:keepLines/>
              <w:spacing w:after="0" w:line="240" w:lineRule="auto"/>
              <w:rPr>
                <w:noProof/>
                <w:lang w:val="hr-HR"/>
              </w:rPr>
            </w:pPr>
            <w:r w:rsidRPr="001B572C">
              <w:rPr>
                <w:noProof/>
                <w:sz w:val="18"/>
                <w:lang w:val="hr-HR"/>
              </w:rPr>
              <w:t>Rashodi za nabavu nefinancijske imovine (šifre 41+42+43+44+45)</w:t>
            </w:r>
          </w:p>
        </w:tc>
        <w:tc>
          <w:tcPr>
            <w:tcW w:w="700" w:type="dxa"/>
            <w:tcMar>
              <w:top w:w="0" w:type="dxa"/>
              <w:bottom w:w="0" w:type="dxa"/>
            </w:tcMar>
            <w:vAlign w:val="center"/>
          </w:tcPr>
          <w:p w:rsidR="00FF43F7" w:rsidRPr="001B572C" w:rsidRDefault="00117A29">
            <w:pPr>
              <w:keepNext/>
              <w:keepLines/>
              <w:spacing w:after="0" w:line="240" w:lineRule="auto"/>
              <w:rPr>
                <w:noProof/>
                <w:lang w:val="hr-HR"/>
              </w:rPr>
            </w:pPr>
            <w:r w:rsidRPr="001B572C">
              <w:rPr>
                <w:noProof/>
                <w:sz w:val="18"/>
                <w:lang w:val="hr-HR"/>
              </w:rPr>
              <w:t>4</w:t>
            </w:r>
          </w:p>
        </w:tc>
        <w:tc>
          <w:tcPr>
            <w:tcW w:w="1860" w:type="dxa"/>
            <w:tcMar>
              <w:top w:w="0" w:type="dxa"/>
              <w:bottom w:w="0" w:type="dxa"/>
            </w:tcMar>
            <w:vAlign w:val="center"/>
          </w:tcPr>
          <w:p w:rsidR="00FF43F7" w:rsidRPr="001B572C" w:rsidRDefault="00117A29">
            <w:pPr>
              <w:keepNext/>
              <w:keepLines/>
              <w:spacing w:after="0" w:line="240" w:lineRule="auto"/>
              <w:jc w:val="right"/>
              <w:rPr>
                <w:noProof/>
                <w:lang w:val="hr-HR"/>
              </w:rPr>
            </w:pPr>
            <w:r w:rsidRPr="001B572C">
              <w:rPr>
                <w:noProof/>
                <w:sz w:val="18"/>
                <w:lang w:val="hr-HR"/>
              </w:rPr>
              <w:t>15.846.452,73</w:t>
            </w:r>
          </w:p>
        </w:tc>
        <w:tc>
          <w:tcPr>
            <w:tcW w:w="1860" w:type="dxa"/>
            <w:tcMar>
              <w:top w:w="0" w:type="dxa"/>
              <w:bottom w:w="0" w:type="dxa"/>
            </w:tcMar>
            <w:vAlign w:val="center"/>
          </w:tcPr>
          <w:p w:rsidR="00FF43F7" w:rsidRPr="001B572C" w:rsidRDefault="00117A29">
            <w:pPr>
              <w:keepNext/>
              <w:keepLines/>
              <w:spacing w:after="0" w:line="240" w:lineRule="auto"/>
              <w:jc w:val="right"/>
              <w:rPr>
                <w:noProof/>
                <w:lang w:val="hr-HR"/>
              </w:rPr>
            </w:pPr>
            <w:r w:rsidRPr="001B572C">
              <w:rPr>
                <w:noProof/>
                <w:sz w:val="18"/>
                <w:lang w:val="hr-HR"/>
              </w:rPr>
              <w:t>16.448.216,71</w:t>
            </w:r>
          </w:p>
        </w:tc>
        <w:tc>
          <w:tcPr>
            <w:tcW w:w="700" w:type="dxa"/>
            <w:tcMar>
              <w:top w:w="0" w:type="dxa"/>
              <w:bottom w:w="0" w:type="dxa"/>
            </w:tcMar>
            <w:vAlign w:val="center"/>
          </w:tcPr>
          <w:p w:rsidR="00FF43F7" w:rsidRPr="001B572C" w:rsidRDefault="00117A29">
            <w:pPr>
              <w:keepNext/>
              <w:keepLines/>
              <w:spacing w:after="0" w:line="240" w:lineRule="auto"/>
              <w:jc w:val="right"/>
              <w:rPr>
                <w:noProof/>
                <w:lang w:val="hr-HR"/>
              </w:rPr>
            </w:pPr>
            <w:r w:rsidRPr="001B572C">
              <w:rPr>
                <w:noProof/>
                <w:sz w:val="18"/>
                <w:lang w:val="hr-HR"/>
              </w:rPr>
              <w:t>103,8</w:t>
            </w:r>
          </w:p>
        </w:tc>
      </w:tr>
    </w:tbl>
    <w:p w:rsidR="00FF43F7" w:rsidRPr="001B572C" w:rsidRDefault="00FF43F7">
      <w:pPr>
        <w:spacing w:after="0"/>
        <w:rPr>
          <w:noProof/>
          <w:lang w:val="hr-HR"/>
        </w:rPr>
      </w:pPr>
    </w:p>
    <w:p w:rsidR="00FF43F7" w:rsidRPr="001B572C" w:rsidRDefault="00117A29" w:rsidP="00C93CB1">
      <w:pPr>
        <w:jc w:val="both"/>
        <w:rPr>
          <w:noProof/>
          <w:lang w:val="hr-HR"/>
        </w:rPr>
      </w:pPr>
      <w:r w:rsidRPr="001B572C">
        <w:rPr>
          <w:noProof/>
          <w:lang w:val="hr-HR"/>
        </w:rPr>
        <w:t xml:space="preserve">Rashodi za nabavu nefinancijske imovine ostvareni su u </w:t>
      </w:r>
      <w:r w:rsidR="0031426A" w:rsidRPr="001B572C">
        <w:rPr>
          <w:noProof/>
          <w:lang w:val="hr-HR"/>
        </w:rPr>
        <w:t>iznosu od 1</w:t>
      </w:r>
      <w:r w:rsidRPr="001B572C">
        <w:rPr>
          <w:noProof/>
          <w:lang w:val="hr-HR"/>
        </w:rPr>
        <w:t xml:space="preserve">6.448.216,71 eura. Grad je utrošio 13.908.377,10 eura za nabavu nefinancijske imovine dok su proračunski korisnici na istu vrstu rashoda utrošili sveukupno 2.539.839,61 eura. </w:t>
      </w:r>
      <w:r w:rsidR="008F6FF1">
        <w:rPr>
          <w:noProof/>
          <w:lang w:val="hr-HR"/>
        </w:rPr>
        <w:t>Na razini konsolidirane grupe n</w:t>
      </w:r>
      <w:r w:rsidR="002B0C17">
        <w:rPr>
          <w:noProof/>
          <w:lang w:val="hr-HR"/>
        </w:rPr>
        <w:t xml:space="preserve">ajviše se ulagalo u građevinske objekte (nabava </w:t>
      </w:r>
      <w:r w:rsidR="008F6FF1">
        <w:rPr>
          <w:noProof/>
          <w:lang w:val="hr-HR"/>
        </w:rPr>
        <w:t xml:space="preserve">građevinskih objekata </w:t>
      </w:r>
      <w:r w:rsidR="002B0C17">
        <w:rPr>
          <w:noProof/>
          <w:lang w:val="hr-HR"/>
        </w:rPr>
        <w:t xml:space="preserve">4.900.204,57 eura i dodatno ulaganje na građevinskim objektima 5.927.101,30 eura) </w:t>
      </w:r>
      <w:r w:rsidR="008F6FF1">
        <w:rPr>
          <w:noProof/>
          <w:lang w:val="hr-HR"/>
        </w:rPr>
        <w:t xml:space="preserve">kao i </w:t>
      </w:r>
      <w:r w:rsidR="002B0C17">
        <w:rPr>
          <w:noProof/>
          <w:lang w:val="hr-HR"/>
        </w:rPr>
        <w:t xml:space="preserve">u nabavu postrojenja i opreme u </w:t>
      </w:r>
      <w:r w:rsidR="00FD0834">
        <w:rPr>
          <w:noProof/>
          <w:lang w:val="hr-HR"/>
        </w:rPr>
        <w:t xml:space="preserve">ukupnom </w:t>
      </w:r>
      <w:r w:rsidR="002B0C17">
        <w:rPr>
          <w:noProof/>
          <w:lang w:val="hr-HR"/>
        </w:rPr>
        <w:t xml:space="preserve">iznosu od 2.948.004,84 eura. </w:t>
      </w:r>
      <w:r w:rsidRPr="001B572C">
        <w:rPr>
          <w:noProof/>
          <w:lang w:val="hr-HR"/>
        </w:rPr>
        <w:t xml:space="preserve">Korisnici su </w:t>
      </w:r>
      <w:r w:rsidR="0031426A" w:rsidRPr="001B572C">
        <w:rPr>
          <w:noProof/>
          <w:lang w:val="hr-HR"/>
        </w:rPr>
        <w:t xml:space="preserve">u najvećem dijelu </w:t>
      </w:r>
      <w:r w:rsidR="008F6FF1">
        <w:rPr>
          <w:noProof/>
          <w:lang w:val="hr-HR"/>
        </w:rPr>
        <w:t>evidentirali</w:t>
      </w:r>
      <w:r w:rsidRPr="001B572C">
        <w:rPr>
          <w:noProof/>
          <w:lang w:val="hr-HR"/>
        </w:rPr>
        <w:t xml:space="preserve"> rashode za nabavu proizvedene dugotrajne imovine</w:t>
      </w:r>
      <w:r w:rsidR="0031426A" w:rsidRPr="001B572C">
        <w:rPr>
          <w:noProof/>
          <w:lang w:val="hr-HR"/>
        </w:rPr>
        <w:t xml:space="preserve">, </w:t>
      </w:r>
      <w:r w:rsidRPr="001B572C">
        <w:rPr>
          <w:noProof/>
          <w:lang w:val="hr-HR"/>
        </w:rPr>
        <w:t>ukupno 2.276.986,25 eura</w:t>
      </w:r>
      <w:r w:rsidR="002B0C17">
        <w:rPr>
          <w:noProof/>
          <w:lang w:val="hr-HR"/>
        </w:rPr>
        <w:t>.</w:t>
      </w:r>
      <w:r w:rsidRPr="001B572C">
        <w:rPr>
          <w:noProof/>
          <w:lang w:val="hr-HR"/>
        </w:rPr>
        <w:t> </w:t>
      </w:r>
    </w:p>
    <w:p w:rsidR="00FF43F7" w:rsidRPr="001B572C" w:rsidRDefault="00FF43F7">
      <w:pPr>
        <w:rPr>
          <w:noProof/>
          <w:lang w:val="hr-HR"/>
        </w:rPr>
      </w:pPr>
    </w:p>
    <w:p w:rsidR="00FF43F7" w:rsidRPr="001B572C" w:rsidRDefault="00117A29">
      <w:pPr>
        <w:keepNext/>
        <w:spacing w:line="240" w:lineRule="auto"/>
        <w:jc w:val="center"/>
        <w:rPr>
          <w:noProof/>
          <w:lang w:val="hr-HR"/>
        </w:rPr>
      </w:pPr>
      <w:r w:rsidRPr="001B572C">
        <w:rPr>
          <w:noProof/>
          <w:sz w:val="28"/>
          <w:lang w:val="hr-HR"/>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F43F7" w:rsidRPr="001B572C">
        <w:trPr>
          <w:cantSplit/>
        </w:trPr>
        <w:tc>
          <w:tcPr>
            <w:tcW w:w="70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Račun iz rač. plana</w:t>
            </w:r>
          </w:p>
        </w:tc>
        <w:tc>
          <w:tcPr>
            <w:tcW w:w="318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Opis stavke</w:t>
            </w:r>
          </w:p>
        </w:tc>
        <w:tc>
          <w:tcPr>
            <w:tcW w:w="70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Šifra</w:t>
            </w:r>
          </w:p>
        </w:tc>
        <w:tc>
          <w:tcPr>
            <w:tcW w:w="186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Ostvareno u izvještajnom razdoblju prethodne godine</w:t>
            </w:r>
          </w:p>
        </w:tc>
        <w:tc>
          <w:tcPr>
            <w:tcW w:w="186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Ostvareno u izvještajnom razdoblju tekuće godine</w:t>
            </w:r>
          </w:p>
        </w:tc>
        <w:tc>
          <w:tcPr>
            <w:tcW w:w="70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Indeks (%)</w:t>
            </w:r>
          </w:p>
        </w:tc>
      </w:tr>
      <w:tr w:rsidR="00FF43F7" w:rsidRPr="001B572C">
        <w:trPr>
          <w:cantSplit/>
          <w:trHeight w:val="560"/>
        </w:trPr>
        <w:tc>
          <w:tcPr>
            <w:tcW w:w="700" w:type="dxa"/>
            <w:tcMar>
              <w:top w:w="0" w:type="dxa"/>
              <w:bottom w:w="0" w:type="dxa"/>
            </w:tcMar>
            <w:vAlign w:val="center"/>
          </w:tcPr>
          <w:p w:rsidR="00FF43F7" w:rsidRPr="001B572C" w:rsidRDefault="00117A29">
            <w:pPr>
              <w:keepNext/>
              <w:keepLines/>
              <w:spacing w:after="0" w:line="240" w:lineRule="auto"/>
              <w:rPr>
                <w:noProof/>
                <w:lang w:val="hr-HR"/>
              </w:rPr>
            </w:pPr>
            <w:r w:rsidRPr="001B572C">
              <w:rPr>
                <w:noProof/>
                <w:sz w:val="18"/>
                <w:lang w:val="hr-HR"/>
              </w:rPr>
              <w:t>45</w:t>
            </w:r>
          </w:p>
        </w:tc>
        <w:tc>
          <w:tcPr>
            <w:tcW w:w="3180" w:type="dxa"/>
            <w:tcMar>
              <w:top w:w="0" w:type="dxa"/>
              <w:bottom w:w="0" w:type="dxa"/>
            </w:tcMar>
            <w:vAlign w:val="center"/>
          </w:tcPr>
          <w:p w:rsidR="00FF43F7" w:rsidRPr="001B572C" w:rsidRDefault="00117A29">
            <w:pPr>
              <w:keepNext/>
              <w:keepLines/>
              <w:spacing w:after="0" w:line="240" w:lineRule="auto"/>
              <w:rPr>
                <w:noProof/>
                <w:lang w:val="hr-HR"/>
              </w:rPr>
            </w:pPr>
            <w:r w:rsidRPr="001B572C">
              <w:rPr>
                <w:noProof/>
                <w:sz w:val="18"/>
                <w:lang w:val="hr-HR"/>
              </w:rPr>
              <w:t>Rashodi za dodatna ulaganja na nefinancijskoj imovini (šifre 451 do 454)</w:t>
            </w:r>
          </w:p>
        </w:tc>
        <w:tc>
          <w:tcPr>
            <w:tcW w:w="700" w:type="dxa"/>
            <w:tcMar>
              <w:top w:w="0" w:type="dxa"/>
              <w:bottom w:w="0" w:type="dxa"/>
            </w:tcMar>
            <w:vAlign w:val="center"/>
          </w:tcPr>
          <w:p w:rsidR="00FF43F7" w:rsidRPr="001B572C" w:rsidRDefault="00117A29">
            <w:pPr>
              <w:keepNext/>
              <w:keepLines/>
              <w:spacing w:after="0" w:line="240" w:lineRule="auto"/>
              <w:rPr>
                <w:noProof/>
                <w:lang w:val="hr-HR"/>
              </w:rPr>
            </w:pPr>
            <w:r w:rsidRPr="001B572C">
              <w:rPr>
                <w:noProof/>
                <w:sz w:val="18"/>
                <w:lang w:val="hr-HR"/>
              </w:rPr>
              <w:t>45</w:t>
            </w:r>
          </w:p>
        </w:tc>
        <w:tc>
          <w:tcPr>
            <w:tcW w:w="1860" w:type="dxa"/>
            <w:tcMar>
              <w:top w:w="0" w:type="dxa"/>
              <w:bottom w:w="0" w:type="dxa"/>
            </w:tcMar>
            <w:vAlign w:val="center"/>
          </w:tcPr>
          <w:p w:rsidR="00FF43F7" w:rsidRPr="001B572C" w:rsidRDefault="00117A29">
            <w:pPr>
              <w:keepNext/>
              <w:keepLines/>
              <w:spacing w:after="0" w:line="240" w:lineRule="auto"/>
              <w:jc w:val="right"/>
              <w:rPr>
                <w:noProof/>
                <w:lang w:val="hr-HR"/>
              </w:rPr>
            </w:pPr>
            <w:r w:rsidRPr="001B572C">
              <w:rPr>
                <w:noProof/>
                <w:sz w:val="18"/>
                <w:lang w:val="hr-HR"/>
              </w:rPr>
              <w:t>5.848.895,76</w:t>
            </w:r>
          </w:p>
        </w:tc>
        <w:tc>
          <w:tcPr>
            <w:tcW w:w="1860" w:type="dxa"/>
            <w:tcMar>
              <w:top w:w="0" w:type="dxa"/>
              <w:bottom w:w="0" w:type="dxa"/>
            </w:tcMar>
            <w:vAlign w:val="center"/>
          </w:tcPr>
          <w:p w:rsidR="00FF43F7" w:rsidRPr="001B572C" w:rsidRDefault="00117A29">
            <w:pPr>
              <w:keepNext/>
              <w:keepLines/>
              <w:spacing w:after="0" w:line="240" w:lineRule="auto"/>
              <w:jc w:val="right"/>
              <w:rPr>
                <w:noProof/>
                <w:lang w:val="hr-HR"/>
              </w:rPr>
            </w:pPr>
            <w:r w:rsidRPr="001B572C">
              <w:rPr>
                <w:noProof/>
                <w:sz w:val="18"/>
                <w:lang w:val="hr-HR"/>
              </w:rPr>
              <w:t>5.984.581,74</w:t>
            </w:r>
          </w:p>
        </w:tc>
        <w:tc>
          <w:tcPr>
            <w:tcW w:w="700" w:type="dxa"/>
            <w:tcMar>
              <w:top w:w="0" w:type="dxa"/>
              <w:bottom w:w="0" w:type="dxa"/>
            </w:tcMar>
            <w:vAlign w:val="center"/>
          </w:tcPr>
          <w:p w:rsidR="00FF43F7" w:rsidRPr="001B572C" w:rsidRDefault="00117A29">
            <w:pPr>
              <w:keepNext/>
              <w:keepLines/>
              <w:spacing w:after="0" w:line="240" w:lineRule="auto"/>
              <w:jc w:val="right"/>
              <w:rPr>
                <w:noProof/>
                <w:lang w:val="hr-HR"/>
              </w:rPr>
            </w:pPr>
            <w:r w:rsidRPr="001B572C">
              <w:rPr>
                <w:noProof/>
                <w:sz w:val="18"/>
                <w:lang w:val="hr-HR"/>
              </w:rPr>
              <w:t>102,3</w:t>
            </w:r>
          </w:p>
        </w:tc>
      </w:tr>
    </w:tbl>
    <w:p w:rsidR="00FF43F7" w:rsidRPr="001B572C" w:rsidRDefault="00FF43F7">
      <w:pPr>
        <w:spacing w:after="0"/>
        <w:rPr>
          <w:noProof/>
          <w:lang w:val="hr-HR"/>
        </w:rPr>
      </w:pPr>
    </w:p>
    <w:p w:rsidR="00FF43F7" w:rsidRPr="001B572C" w:rsidRDefault="00117A29" w:rsidP="00222A88">
      <w:pPr>
        <w:jc w:val="both"/>
        <w:rPr>
          <w:noProof/>
          <w:lang w:val="hr-HR"/>
        </w:rPr>
      </w:pPr>
      <w:r w:rsidRPr="001B572C">
        <w:rPr>
          <w:noProof/>
          <w:lang w:val="hr-HR"/>
        </w:rPr>
        <w:t xml:space="preserve">Najveći dio ovih rashoda odnosi se na ulaganja </w:t>
      </w:r>
      <w:r w:rsidR="00426ADC" w:rsidRPr="001B572C">
        <w:rPr>
          <w:noProof/>
          <w:lang w:val="hr-HR"/>
        </w:rPr>
        <w:t>u</w:t>
      </w:r>
      <w:r w:rsidRPr="001B572C">
        <w:rPr>
          <w:noProof/>
          <w:lang w:val="hr-HR"/>
        </w:rPr>
        <w:t xml:space="preserve"> </w:t>
      </w:r>
      <w:r w:rsidR="00942A87" w:rsidRPr="001B572C">
        <w:rPr>
          <w:noProof/>
          <w:lang w:val="hr-HR"/>
        </w:rPr>
        <w:t xml:space="preserve">Gradu </w:t>
      </w:r>
      <w:r w:rsidRPr="001B572C">
        <w:rPr>
          <w:noProof/>
          <w:lang w:val="hr-HR"/>
        </w:rPr>
        <w:t xml:space="preserve">u </w:t>
      </w:r>
      <w:r w:rsidR="00942A87" w:rsidRPr="001B572C">
        <w:rPr>
          <w:noProof/>
          <w:lang w:val="hr-HR"/>
        </w:rPr>
        <w:t xml:space="preserve">iznosu </w:t>
      </w:r>
      <w:r w:rsidRPr="001B572C">
        <w:rPr>
          <w:noProof/>
          <w:lang w:val="hr-HR"/>
        </w:rPr>
        <w:t xml:space="preserve">od 5.958.497,11 eura </w:t>
      </w:r>
      <w:r w:rsidR="00942A87" w:rsidRPr="001B572C">
        <w:rPr>
          <w:noProof/>
          <w:lang w:val="hr-HR"/>
        </w:rPr>
        <w:t xml:space="preserve">od kojih su značajnija: </w:t>
      </w:r>
      <w:r w:rsidRPr="001B572C">
        <w:rPr>
          <w:noProof/>
          <w:lang w:val="hr-HR"/>
        </w:rPr>
        <w:t>izgradnj</w:t>
      </w:r>
      <w:r w:rsidR="00942A87" w:rsidRPr="001B572C">
        <w:rPr>
          <w:noProof/>
          <w:lang w:val="hr-HR"/>
        </w:rPr>
        <w:t>a</w:t>
      </w:r>
      <w:r w:rsidRPr="001B572C">
        <w:rPr>
          <w:noProof/>
          <w:lang w:val="hr-HR"/>
        </w:rPr>
        <w:t xml:space="preserve"> i opremanje </w:t>
      </w:r>
      <w:r w:rsidR="00942A87" w:rsidRPr="001B572C">
        <w:rPr>
          <w:noProof/>
          <w:lang w:val="hr-HR"/>
        </w:rPr>
        <w:t>D</w:t>
      </w:r>
      <w:r w:rsidRPr="001B572C">
        <w:rPr>
          <w:noProof/>
          <w:lang w:val="hr-HR"/>
        </w:rPr>
        <w:t>ječjeg vrtića Fiume na Krnjevu, energetsk</w:t>
      </w:r>
      <w:r w:rsidR="00942A87" w:rsidRPr="001B572C">
        <w:rPr>
          <w:noProof/>
          <w:lang w:val="hr-HR"/>
        </w:rPr>
        <w:t>a</w:t>
      </w:r>
      <w:r w:rsidRPr="001B572C">
        <w:rPr>
          <w:noProof/>
          <w:lang w:val="hr-HR"/>
        </w:rPr>
        <w:t xml:space="preserve"> obnov</w:t>
      </w:r>
      <w:r w:rsidR="00942A87" w:rsidRPr="001B572C">
        <w:rPr>
          <w:noProof/>
          <w:lang w:val="hr-HR"/>
        </w:rPr>
        <w:t>a</w:t>
      </w:r>
      <w:r w:rsidRPr="001B572C">
        <w:rPr>
          <w:noProof/>
          <w:lang w:val="hr-HR"/>
        </w:rPr>
        <w:t xml:space="preserve"> PPO Vežica i OŠ Turnić, povećanje postojećih kapaciteta predškolske ustanove PPO Galeb, radov</w:t>
      </w:r>
      <w:r w:rsidR="00942A87" w:rsidRPr="001B572C">
        <w:rPr>
          <w:noProof/>
          <w:lang w:val="hr-HR"/>
        </w:rPr>
        <w:t>i</w:t>
      </w:r>
      <w:r w:rsidRPr="001B572C">
        <w:rPr>
          <w:noProof/>
          <w:lang w:val="hr-HR"/>
        </w:rPr>
        <w:t xml:space="preserve"> na projektu Turistička valorizacija reprezenativnih spomenika riječke industrijske baštine, </w:t>
      </w:r>
      <w:r w:rsidR="00942A87" w:rsidRPr="001B572C">
        <w:rPr>
          <w:noProof/>
          <w:lang w:val="hr-HR"/>
        </w:rPr>
        <w:t xml:space="preserve">radovi </w:t>
      </w:r>
      <w:r w:rsidRPr="001B572C">
        <w:rPr>
          <w:noProof/>
          <w:lang w:val="hr-HR"/>
        </w:rPr>
        <w:t>na projektu Povežimo se baštinom</w:t>
      </w:r>
      <w:r w:rsidR="00942A87" w:rsidRPr="001B572C">
        <w:rPr>
          <w:noProof/>
          <w:lang w:val="hr-HR"/>
        </w:rPr>
        <w:t xml:space="preserve"> </w:t>
      </w:r>
      <w:r w:rsidRPr="001B572C">
        <w:rPr>
          <w:noProof/>
          <w:lang w:val="hr-HR"/>
        </w:rPr>
        <w:t>-</w:t>
      </w:r>
      <w:r w:rsidR="00942A87" w:rsidRPr="001B572C">
        <w:rPr>
          <w:noProof/>
          <w:lang w:val="hr-HR"/>
        </w:rPr>
        <w:t xml:space="preserve"> </w:t>
      </w:r>
      <w:r w:rsidRPr="001B572C">
        <w:rPr>
          <w:noProof/>
          <w:lang w:val="hr-HR"/>
        </w:rPr>
        <w:t>zgrad</w:t>
      </w:r>
      <w:r w:rsidR="00942A87" w:rsidRPr="001B572C">
        <w:rPr>
          <w:noProof/>
          <w:lang w:val="hr-HR"/>
        </w:rPr>
        <w:t xml:space="preserve">a Filodrammatice, </w:t>
      </w:r>
      <w:r w:rsidRPr="001B572C">
        <w:rPr>
          <w:noProof/>
          <w:lang w:val="hr-HR"/>
        </w:rPr>
        <w:t>obnov</w:t>
      </w:r>
      <w:r w:rsidR="00942A87" w:rsidRPr="001B572C">
        <w:rPr>
          <w:noProof/>
          <w:lang w:val="hr-HR"/>
        </w:rPr>
        <w:t>a</w:t>
      </w:r>
      <w:r w:rsidRPr="001B572C">
        <w:rPr>
          <w:noProof/>
          <w:lang w:val="hr-HR"/>
        </w:rPr>
        <w:t xml:space="preserve"> dijela stolarije HNK „Ivana Pl. Zajca Rijeka“ i ulaganja u Košarkašku dvoranu Brajda. </w:t>
      </w:r>
    </w:p>
    <w:p w:rsidR="00FF43F7" w:rsidRPr="001B572C" w:rsidRDefault="00FF43F7">
      <w:pPr>
        <w:rPr>
          <w:noProof/>
          <w:lang w:val="hr-HR"/>
        </w:rPr>
      </w:pPr>
    </w:p>
    <w:p w:rsidR="00FF43F7" w:rsidRPr="001B572C" w:rsidRDefault="00117A29">
      <w:pPr>
        <w:keepNext/>
        <w:spacing w:line="240" w:lineRule="auto"/>
        <w:jc w:val="center"/>
        <w:rPr>
          <w:noProof/>
          <w:lang w:val="hr-HR"/>
        </w:rPr>
      </w:pPr>
      <w:r w:rsidRPr="001B572C">
        <w:rPr>
          <w:noProof/>
          <w:sz w:val="28"/>
          <w:lang w:val="hr-HR"/>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F43F7" w:rsidRPr="001B572C">
        <w:trPr>
          <w:cantSplit/>
        </w:trPr>
        <w:tc>
          <w:tcPr>
            <w:tcW w:w="70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Račun iz rač. plana</w:t>
            </w:r>
          </w:p>
        </w:tc>
        <w:tc>
          <w:tcPr>
            <w:tcW w:w="318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Opis stavke</w:t>
            </w:r>
          </w:p>
        </w:tc>
        <w:tc>
          <w:tcPr>
            <w:tcW w:w="70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Šifra</w:t>
            </w:r>
          </w:p>
        </w:tc>
        <w:tc>
          <w:tcPr>
            <w:tcW w:w="186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Ostvareno u izvještajnom razdoblju prethodne godine</w:t>
            </w:r>
          </w:p>
        </w:tc>
        <w:tc>
          <w:tcPr>
            <w:tcW w:w="186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Ostvareno u izvještajnom razdoblju tekuće godine</w:t>
            </w:r>
          </w:p>
        </w:tc>
        <w:tc>
          <w:tcPr>
            <w:tcW w:w="70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Indeks (%)</w:t>
            </w:r>
          </w:p>
        </w:tc>
      </w:tr>
      <w:tr w:rsidR="00FF43F7" w:rsidRPr="001B572C">
        <w:trPr>
          <w:cantSplit/>
          <w:trHeight w:val="560"/>
        </w:trPr>
        <w:tc>
          <w:tcPr>
            <w:tcW w:w="700" w:type="dxa"/>
            <w:tcMar>
              <w:top w:w="0" w:type="dxa"/>
              <w:bottom w:w="0" w:type="dxa"/>
            </w:tcMar>
            <w:vAlign w:val="center"/>
          </w:tcPr>
          <w:p w:rsidR="00FF43F7" w:rsidRPr="001B572C" w:rsidRDefault="00117A29">
            <w:pPr>
              <w:keepNext/>
              <w:keepLines/>
              <w:spacing w:after="0" w:line="240" w:lineRule="auto"/>
              <w:rPr>
                <w:noProof/>
                <w:lang w:val="hr-HR"/>
              </w:rPr>
            </w:pPr>
            <w:r w:rsidRPr="001B572C">
              <w:rPr>
                <w:noProof/>
                <w:sz w:val="18"/>
                <w:lang w:val="hr-HR"/>
              </w:rPr>
              <w:t>8</w:t>
            </w:r>
          </w:p>
        </w:tc>
        <w:tc>
          <w:tcPr>
            <w:tcW w:w="3180" w:type="dxa"/>
            <w:tcMar>
              <w:top w:w="0" w:type="dxa"/>
              <w:bottom w:w="0" w:type="dxa"/>
            </w:tcMar>
            <w:vAlign w:val="center"/>
          </w:tcPr>
          <w:p w:rsidR="00FF43F7" w:rsidRPr="001B572C" w:rsidRDefault="00117A29">
            <w:pPr>
              <w:keepNext/>
              <w:keepLines/>
              <w:spacing w:after="0" w:line="240" w:lineRule="auto"/>
              <w:rPr>
                <w:noProof/>
                <w:lang w:val="hr-HR"/>
              </w:rPr>
            </w:pPr>
            <w:r w:rsidRPr="001B572C">
              <w:rPr>
                <w:noProof/>
                <w:sz w:val="18"/>
                <w:lang w:val="hr-HR"/>
              </w:rPr>
              <w:t>Primici od financijske imovine i zaduživanja (šifre 81+82+83+84+85)</w:t>
            </w:r>
          </w:p>
        </w:tc>
        <w:tc>
          <w:tcPr>
            <w:tcW w:w="700" w:type="dxa"/>
            <w:tcMar>
              <w:top w:w="0" w:type="dxa"/>
              <w:bottom w:w="0" w:type="dxa"/>
            </w:tcMar>
            <w:vAlign w:val="center"/>
          </w:tcPr>
          <w:p w:rsidR="00FF43F7" w:rsidRPr="001B572C" w:rsidRDefault="00117A29">
            <w:pPr>
              <w:keepNext/>
              <w:keepLines/>
              <w:spacing w:after="0" w:line="240" w:lineRule="auto"/>
              <w:rPr>
                <w:noProof/>
                <w:lang w:val="hr-HR"/>
              </w:rPr>
            </w:pPr>
            <w:r w:rsidRPr="001B572C">
              <w:rPr>
                <w:noProof/>
                <w:sz w:val="18"/>
                <w:lang w:val="hr-HR"/>
              </w:rPr>
              <w:t>8</w:t>
            </w:r>
          </w:p>
        </w:tc>
        <w:tc>
          <w:tcPr>
            <w:tcW w:w="1860" w:type="dxa"/>
            <w:tcMar>
              <w:top w:w="0" w:type="dxa"/>
              <w:bottom w:w="0" w:type="dxa"/>
            </w:tcMar>
            <w:vAlign w:val="center"/>
          </w:tcPr>
          <w:p w:rsidR="00FF43F7" w:rsidRPr="001B572C" w:rsidRDefault="00117A29">
            <w:pPr>
              <w:keepNext/>
              <w:keepLines/>
              <w:spacing w:after="0" w:line="240" w:lineRule="auto"/>
              <w:jc w:val="right"/>
              <w:rPr>
                <w:noProof/>
                <w:lang w:val="hr-HR"/>
              </w:rPr>
            </w:pPr>
            <w:r w:rsidRPr="001B572C">
              <w:rPr>
                <w:noProof/>
                <w:sz w:val="18"/>
                <w:lang w:val="hr-HR"/>
              </w:rPr>
              <w:t>842.634,98</w:t>
            </w:r>
          </w:p>
        </w:tc>
        <w:tc>
          <w:tcPr>
            <w:tcW w:w="1860" w:type="dxa"/>
            <w:tcMar>
              <w:top w:w="0" w:type="dxa"/>
              <w:bottom w:w="0" w:type="dxa"/>
            </w:tcMar>
            <w:vAlign w:val="center"/>
          </w:tcPr>
          <w:p w:rsidR="00FF43F7" w:rsidRPr="001B572C" w:rsidRDefault="00117A29">
            <w:pPr>
              <w:keepNext/>
              <w:keepLines/>
              <w:spacing w:after="0" w:line="240" w:lineRule="auto"/>
              <w:jc w:val="right"/>
              <w:rPr>
                <w:noProof/>
                <w:lang w:val="hr-HR"/>
              </w:rPr>
            </w:pPr>
            <w:r w:rsidRPr="001B572C">
              <w:rPr>
                <w:noProof/>
                <w:sz w:val="18"/>
                <w:lang w:val="hr-HR"/>
              </w:rPr>
              <w:t>700.180,93</w:t>
            </w:r>
          </w:p>
        </w:tc>
        <w:tc>
          <w:tcPr>
            <w:tcW w:w="700" w:type="dxa"/>
            <w:tcMar>
              <w:top w:w="0" w:type="dxa"/>
              <w:bottom w:w="0" w:type="dxa"/>
            </w:tcMar>
            <w:vAlign w:val="center"/>
          </w:tcPr>
          <w:p w:rsidR="00FF43F7" w:rsidRPr="001B572C" w:rsidRDefault="00117A29">
            <w:pPr>
              <w:keepNext/>
              <w:keepLines/>
              <w:spacing w:after="0" w:line="240" w:lineRule="auto"/>
              <w:jc w:val="right"/>
              <w:rPr>
                <w:noProof/>
                <w:lang w:val="hr-HR"/>
              </w:rPr>
            </w:pPr>
            <w:r w:rsidRPr="001B572C">
              <w:rPr>
                <w:noProof/>
                <w:sz w:val="18"/>
                <w:lang w:val="hr-HR"/>
              </w:rPr>
              <w:t>83,1</w:t>
            </w:r>
          </w:p>
        </w:tc>
      </w:tr>
    </w:tbl>
    <w:p w:rsidR="00FF43F7" w:rsidRPr="001B572C" w:rsidRDefault="00FF43F7">
      <w:pPr>
        <w:spacing w:after="0"/>
        <w:rPr>
          <w:noProof/>
          <w:lang w:val="hr-HR"/>
        </w:rPr>
      </w:pPr>
    </w:p>
    <w:p w:rsidR="00FF43F7" w:rsidRPr="001B572C" w:rsidRDefault="00117A29" w:rsidP="002E6A59">
      <w:pPr>
        <w:jc w:val="both"/>
        <w:rPr>
          <w:noProof/>
          <w:lang w:val="hr-HR"/>
        </w:rPr>
      </w:pPr>
      <w:r w:rsidRPr="001B572C">
        <w:rPr>
          <w:noProof/>
          <w:lang w:val="hr-HR"/>
        </w:rPr>
        <w:t xml:space="preserve">Primici od financijske imovine i zaduživanja, ostvareni su u ukupnom iznosu od 700.180,93 eura. Ovi su primici, u najvećem dijelu, zabilježeni kod korisnika Agencija za društveno poticanu stanogradnju Grada Rijeke i odnose se na povrat danih zajmova za kupoprodaju stanova uz dugoročnu otplatu u iznosu od 576.103,11 eura (povrat glavnica zajmova danih kupcima kroz tzv. III. obrok za 4 projekta društveno poticane stanogradnje - POS Rujevica II faza =125.300,29 eura, POS Donja Drenova =92.206,70 eura, POS Hostov Breg I faza =99.923,87 eura i POS Martinkovac </w:t>
      </w:r>
      <w:r w:rsidRPr="001B572C">
        <w:rPr>
          <w:noProof/>
          <w:lang w:val="hr-HR"/>
        </w:rPr>
        <w:lastRenderedPageBreak/>
        <w:t>I faza 12.924,95 eura, što čini ukupno 330.355,81 eura i povrat robnog zajma danog Gradu vezano za obročnu otplatu kupljenih nekretnina iz projekta POS Rujevica I faza, 245.747,30 eura.</w:t>
      </w:r>
    </w:p>
    <w:p w:rsidR="005B1F84" w:rsidRPr="001B572C" w:rsidRDefault="00117A29" w:rsidP="002E6A59">
      <w:pPr>
        <w:jc w:val="both"/>
        <w:rPr>
          <w:noProof/>
          <w:lang w:val="hr-HR"/>
        </w:rPr>
      </w:pPr>
      <w:r w:rsidRPr="001B572C">
        <w:rPr>
          <w:noProof/>
          <w:lang w:val="hr-HR"/>
        </w:rPr>
        <w:t> </w:t>
      </w:r>
      <w:r w:rsidR="007A0C3B" w:rsidRPr="001B572C">
        <w:rPr>
          <w:noProof/>
          <w:lang w:val="hr-HR"/>
        </w:rPr>
        <w:t xml:space="preserve">U Gradu je </w:t>
      </w:r>
      <w:r w:rsidR="001A5108">
        <w:rPr>
          <w:noProof/>
          <w:lang w:val="hr-HR"/>
        </w:rPr>
        <w:t>evidentiran</w:t>
      </w:r>
      <w:r w:rsidR="007A0C3B" w:rsidRPr="001B572C">
        <w:rPr>
          <w:noProof/>
          <w:lang w:val="hr-HR"/>
        </w:rPr>
        <w:t xml:space="preserve"> </w:t>
      </w:r>
      <w:r w:rsidR="005B1F84" w:rsidRPr="001B572C">
        <w:rPr>
          <w:noProof/>
          <w:lang w:val="hr-HR"/>
        </w:rPr>
        <w:t>povrat gl</w:t>
      </w:r>
      <w:r w:rsidR="007A0C3B" w:rsidRPr="001B572C">
        <w:rPr>
          <w:noProof/>
          <w:lang w:val="hr-HR"/>
        </w:rPr>
        <w:t xml:space="preserve">avnice po osnovu danih zajmova </w:t>
      </w:r>
      <w:r w:rsidR="005B1F84" w:rsidRPr="001B572C">
        <w:rPr>
          <w:noProof/>
          <w:lang w:val="hr-HR"/>
        </w:rPr>
        <w:t>Agenciji za društveno poticanu stanogradnju Grada Rijeke</w:t>
      </w:r>
      <w:r w:rsidR="00D16CDF" w:rsidRPr="001B572C">
        <w:rPr>
          <w:noProof/>
          <w:lang w:val="hr-HR"/>
        </w:rPr>
        <w:t xml:space="preserve"> u iznosu od 124.077,82 eura</w:t>
      </w:r>
      <w:r w:rsidR="005B1F84" w:rsidRPr="001B572C">
        <w:rPr>
          <w:noProof/>
          <w:lang w:val="hr-HR"/>
        </w:rPr>
        <w:t>. </w:t>
      </w:r>
    </w:p>
    <w:p w:rsidR="00FF43F7" w:rsidRPr="001B572C" w:rsidRDefault="00FF43F7">
      <w:pPr>
        <w:rPr>
          <w:noProof/>
          <w:lang w:val="hr-HR"/>
        </w:rPr>
      </w:pPr>
    </w:p>
    <w:p w:rsidR="00FF43F7" w:rsidRPr="001B572C" w:rsidRDefault="00117A29">
      <w:pPr>
        <w:keepNext/>
        <w:spacing w:line="240" w:lineRule="auto"/>
        <w:jc w:val="center"/>
        <w:rPr>
          <w:noProof/>
          <w:lang w:val="hr-HR"/>
        </w:rPr>
      </w:pPr>
      <w:r w:rsidRPr="001B572C">
        <w:rPr>
          <w:noProof/>
          <w:sz w:val="28"/>
          <w:lang w:val="hr-HR"/>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F43F7" w:rsidRPr="001B572C">
        <w:trPr>
          <w:cantSplit/>
        </w:trPr>
        <w:tc>
          <w:tcPr>
            <w:tcW w:w="70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Račun iz rač. plana</w:t>
            </w:r>
          </w:p>
        </w:tc>
        <w:tc>
          <w:tcPr>
            <w:tcW w:w="318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Opis stavke</w:t>
            </w:r>
          </w:p>
        </w:tc>
        <w:tc>
          <w:tcPr>
            <w:tcW w:w="70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Šifra</w:t>
            </w:r>
          </w:p>
        </w:tc>
        <w:tc>
          <w:tcPr>
            <w:tcW w:w="186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Ostvareno u izvještajnom razdoblju prethodne godine</w:t>
            </w:r>
          </w:p>
        </w:tc>
        <w:tc>
          <w:tcPr>
            <w:tcW w:w="186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Ostvareno u izvještajnom razdoblju tekuće godine</w:t>
            </w:r>
          </w:p>
        </w:tc>
        <w:tc>
          <w:tcPr>
            <w:tcW w:w="70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Indeks (%)</w:t>
            </w:r>
          </w:p>
        </w:tc>
      </w:tr>
      <w:tr w:rsidR="00FF43F7" w:rsidRPr="001B572C">
        <w:trPr>
          <w:cantSplit/>
          <w:trHeight w:val="560"/>
        </w:trPr>
        <w:tc>
          <w:tcPr>
            <w:tcW w:w="700" w:type="dxa"/>
            <w:tcMar>
              <w:top w:w="0" w:type="dxa"/>
              <w:bottom w:w="0" w:type="dxa"/>
            </w:tcMar>
            <w:vAlign w:val="center"/>
          </w:tcPr>
          <w:p w:rsidR="00FF43F7" w:rsidRPr="001B572C" w:rsidRDefault="00117A29">
            <w:pPr>
              <w:keepNext/>
              <w:keepLines/>
              <w:spacing w:after="0" w:line="240" w:lineRule="auto"/>
              <w:rPr>
                <w:noProof/>
                <w:lang w:val="hr-HR"/>
              </w:rPr>
            </w:pPr>
            <w:r w:rsidRPr="001B572C">
              <w:rPr>
                <w:noProof/>
                <w:sz w:val="18"/>
                <w:lang w:val="hr-HR"/>
              </w:rPr>
              <w:t>5</w:t>
            </w:r>
          </w:p>
        </w:tc>
        <w:tc>
          <w:tcPr>
            <w:tcW w:w="3180" w:type="dxa"/>
            <w:tcMar>
              <w:top w:w="0" w:type="dxa"/>
              <w:bottom w:w="0" w:type="dxa"/>
            </w:tcMar>
            <w:vAlign w:val="center"/>
          </w:tcPr>
          <w:p w:rsidR="00FF43F7" w:rsidRPr="001B572C" w:rsidRDefault="00117A29">
            <w:pPr>
              <w:keepNext/>
              <w:keepLines/>
              <w:spacing w:after="0" w:line="240" w:lineRule="auto"/>
              <w:rPr>
                <w:noProof/>
                <w:lang w:val="hr-HR"/>
              </w:rPr>
            </w:pPr>
            <w:r w:rsidRPr="001B572C">
              <w:rPr>
                <w:noProof/>
                <w:sz w:val="18"/>
                <w:lang w:val="hr-HR"/>
              </w:rPr>
              <w:t>Izdaci za financijsku imovinu i otplate zajmova (šifre 51+52+53+54+55)</w:t>
            </w:r>
          </w:p>
        </w:tc>
        <w:tc>
          <w:tcPr>
            <w:tcW w:w="700" w:type="dxa"/>
            <w:tcMar>
              <w:top w:w="0" w:type="dxa"/>
              <w:bottom w:w="0" w:type="dxa"/>
            </w:tcMar>
            <w:vAlign w:val="center"/>
          </w:tcPr>
          <w:p w:rsidR="00FF43F7" w:rsidRPr="001B572C" w:rsidRDefault="00117A29">
            <w:pPr>
              <w:keepNext/>
              <w:keepLines/>
              <w:spacing w:after="0" w:line="240" w:lineRule="auto"/>
              <w:rPr>
                <w:noProof/>
                <w:lang w:val="hr-HR"/>
              </w:rPr>
            </w:pPr>
            <w:r w:rsidRPr="001B572C">
              <w:rPr>
                <w:noProof/>
                <w:sz w:val="18"/>
                <w:lang w:val="hr-HR"/>
              </w:rPr>
              <w:t>5</w:t>
            </w:r>
          </w:p>
        </w:tc>
        <w:tc>
          <w:tcPr>
            <w:tcW w:w="1860" w:type="dxa"/>
            <w:tcMar>
              <w:top w:w="0" w:type="dxa"/>
              <w:bottom w:w="0" w:type="dxa"/>
            </w:tcMar>
            <w:vAlign w:val="center"/>
          </w:tcPr>
          <w:p w:rsidR="00FF43F7" w:rsidRPr="001B572C" w:rsidRDefault="00117A29">
            <w:pPr>
              <w:keepNext/>
              <w:keepLines/>
              <w:spacing w:after="0" w:line="240" w:lineRule="auto"/>
              <w:jc w:val="right"/>
              <w:rPr>
                <w:noProof/>
                <w:lang w:val="hr-HR"/>
              </w:rPr>
            </w:pPr>
            <w:r w:rsidRPr="001B572C">
              <w:rPr>
                <w:noProof/>
                <w:sz w:val="18"/>
                <w:lang w:val="hr-HR"/>
              </w:rPr>
              <w:t>4.983.828,95</w:t>
            </w:r>
          </w:p>
        </w:tc>
        <w:tc>
          <w:tcPr>
            <w:tcW w:w="1860" w:type="dxa"/>
            <w:tcMar>
              <w:top w:w="0" w:type="dxa"/>
              <w:bottom w:w="0" w:type="dxa"/>
            </w:tcMar>
            <w:vAlign w:val="center"/>
          </w:tcPr>
          <w:p w:rsidR="00FF43F7" w:rsidRPr="001B572C" w:rsidRDefault="00117A29">
            <w:pPr>
              <w:keepNext/>
              <w:keepLines/>
              <w:spacing w:after="0" w:line="240" w:lineRule="auto"/>
              <w:jc w:val="right"/>
              <w:rPr>
                <w:noProof/>
                <w:lang w:val="hr-HR"/>
              </w:rPr>
            </w:pPr>
            <w:r w:rsidRPr="001B572C">
              <w:rPr>
                <w:noProof/>
                <w:sz w:val="18"/>
                <w:lang w:val="hr-HR"/>
              </w:rPr>
              <w:t>5.243.430,53</w:t>
            </w:r>
          </w:p>
        </w:tc>
        <w:tc>
          <w:tcPr>
            <w:tcW w:w="700" w:type="dxa"/>
            <w:tcMar>
              <w:top w:w="0" w:type="dxa"/>
              <w:bottom w:w="0" w:type="dxa"/>
            </w:tcMar>
            <w:vAlign w:val="center"/>
          </w:tcPr>
          <w:p w:rsidR="00FF43F7" w:rsidRPr="001B572C" w:rsidRDefault="00117A29">
            <w:pPr>
              <w:keepNext/>
              <w:keepLines/>
              <w:spacing w:after="0" w:line="240" w:lineRule="auto"/>
              <w:jc w:val="right"/>
              <w:rPr>
                <w:noProof/>
                <w:lang w:val="hr-HR"/>
              </w:rPr>
            </w:pPr>
            <w:r w:rsidRPr="001B572C">
              <w:rPr>
                <w:noProof/>
                <w:sz w:val="18"/>
                <w:lang w:val="hr-HR"/>
              </w:rPr>
              <w:t>105,2</w:t>
            </w:r>
          </w:p>
        </w:tc>
      </w:tr>
    </w:tbl>
    <w:p w:rsidR="00FF43F7" w:rsidRPr="001B572C" w:rsidRDefault="00FF43F7">
      <w:pPr>
        <w:spacing w:after="0"/>
        <w:rPr>
          <w:noProof/>
          <w:lang w:val="hr-HR"/>
        </w:rPr>
      </w:pPr>
    </w:p>
    <w:p w:rsidR="004D5E95" w:rsidRPr="001B572C" w:rsidRDefault="00117A29" w:rsidP="000B5566">
      <w:pPr>
        <w:jc w:val="both"/>
        <w:rPr>
          <w:noProof/>
          <w:lang w:val="hr-HR"/>
        </w:rPr>
      </w:pPr>
      <w:r w:rsidRPr="001B572C">
        <w:rPr>
          <w:noProof/>
          <w:lang w:val="hr-HR"/>
        </w:rPr>
        <w:t xml:space="preserve">Izdaci za financijsku imovinu i otplate zajmova ostvareni su u iznosu 5.243.430,53 eura, od čega se na Grad odnosi 3.848,279,70 eura (izdaci za otplatu kredita primljenih od poslovnih banaka za </w:t>
      </w:r>
      <w:r w:rsidR="001A5108">
        <w:rPr>
          <w:noProof/>
          <w:lang w:val="hr-HR"/>
        </w:rPr>
        <w:t xml:space="preserve">realizaciju </w:t>
      </w:r>
      <w:r w:rsidRPr="001B572C">
        <w:rPr>
          <w:noProof/>
          <w:lang w:val="hr-HR"/>
        </w:rPr>
        <w:t>gradsk</w:t>
      </w:r>
      <w:r w:rsidR="001A5108">
        <w:rPr>
          <w:noProof/>
          <w:lang w:val="hr-HR"/>
        </w:rPr>
        <w:t>ih</w:t>
      </w:r>
      <w:r w:rsidRPr="001B572C">
        <w:rPr>
          <w:noProof/>
          <w:lang w:val="hr-HR"/>
        </w:rPr>
        <w:t xml:space="preserve"> projek</w:t>
      </w:r>
      <w:r w:rsidR="001A5108">
        <w:rPr>
          <w:noProof/>
          <w:lang w:val="hr-HR"/>
        </w:rPr>
        <w:t>a</w:t>
      </w:r>
      <w:r w:rsidRPr="001B572C">
        <w:rPr>
          <w:noProof/>
          <w:lang w:val="hr-HR"/>
        </w:rPr>
        <w:t>t</w:t>
      </w:r>
      <w:r w:rsidR="000B5566">
        <w:rPr>
          <w:noProof/>
          <w:lang w:val="hr-HR"/>
        </w:rPr>
        <w:t>a</w:t>
      </w:r>
      <w:r w:rsidRPr="001B572C">
        <w:rPr>
          <w:noProof/>
          <w:lang w:val="hr-HR"/>
        </w:rPr>
        <w:t xml:space="preserve">, </w:t>
      </w:r>
      <w:r w:rsidR="000B5566">
        <w:rPr>
          <w:noProof/>
          <w:lang w:val="hr-HR"/>
        </w:rPr>
        <w:t xml:space="preserve">izdaci </w:t>
      </w:r>
      <w:r w:rsidRPr="001B572C">
        <w:rPr>
          <w:noProof/>
          <w:lang w:val="hr-HR"/>
        </w:rPr>
        <w:t xml:space="preserve">za otplatu robnog zajma Rijeka sportu d.o.o., </w:t>
      </w:r>
      <w:r w:rsidR="000B5566">
        <w:rPr>
          <w:noProof/>
          <w:lang w:val="hr-HR"/>
        </w:rPr>
        <w:t xml:space="preserve">za </w:t>
      </w:r>
      <w:r w:rsidRPr="001B572C">
        <w:rPr>
          <w:noProof/>
          <w:lang w:val="hr-HR"/>
        </w:rPr>
        <w:t xml:space="preserve">otplatu glavnice zajma primljenog od Ministarstva financija za sufinanciranje Projekta IPA ŽCGO Marišćina </w:t>
      </w:r>
      <w:r w:rsidR="000B5566">
        <w:rPr>
          <w:noProof/>
          <w:lang w:val="hr-HR"/>
        </w:rPr>
        <w:t>te izdaci</w:t>
      </w:r>
      <w:r w:rsidRPr="001B572C">
        <w:rPr>
          <w:noProof/>
          <w:lang w:val="hr-HR"/>
        </w:rPr>
        <w:t xml:space="preserve"> za otplatu glavnice robnog zajma APOS-u temeljem Ugovora o kupoprodaji stambene zgrade Rujevica I). </w:t>
      </w:r>
    </w:p>
    <w:p w:rsidR="002B4D99" w:rsidRPr="001B572C" w:rsidRDefault="00117A29" w:rsidP="000B5566">
      <w:pPr>
        <w:jc w:val="both"/>
        <w:rPr>
          <w:noProof/>
          <w:color w:val="1F497D"/>
          <w:lang w:val="hr-HR"/>
        </w:rPr>
      </w:pPr>
      <w:r w:rsidRPr="001B572C">
        <w:rPr>
          <w:noProof/>
          <w:lang w:val="hr-HR"/>
        </w:rPr>
        <w:t xml:space="preserve">Izdaci za otplate </w:t>
      </w:r>
      <w:r w:rsidR="004D5E95" w:rsidRPr="001B572C">
        <w:rPr>
          <w:noProof/>
          <w:lang w:val="hr-HR"/>
        </w:rPr>
        <w:t xml:space="preserve">glavnice za primljene </w:t>
      </w:r>
      <w:r w:rsidRPr="001B572C">
        <w:rPr>
          <w:noProof/>
          <w:lang w:val="hr-HR"/>
        </w:rPr>
        <w:t>zajmov</w:t>
      </w:r>
      <w:r w:rsidR="004D5E95" w:rsidRPr="001B572C">
        <w:rPr>
          <w:noProof/>
          <w:lang w:val="hr-HR"/>
        </w:rPr>
        <w:t>e</w:t>
      </w:r>
      <w:r w:rsidRPr="001B572C">
        <w:rPr>
          <w:noProof/>
          <w:lang w:val="hr-HR"/>
        </w:rPr>
        <w:t xml:space="preserve"> kod korisnika iznose ukupno 1.395.150,83 eura (APOS =576.103,11 eura</w:t>
      </w:r>
      <w:r w:rsidR="002B4D99" w:rsidRPr="001B572C">
        <w:rPr>
          <w:noProof/>
          <w:lang w:val="hr-HR"/>
        </w:rPr>
        <w:t>, Dječji Vrtić More 245.442,60, Dječji vtić Rijeka 328.165,52 eura i Dječji vrtić Sušak 245.439,60 eura)</w:t>
      </w:r>
      <w:r w:rsidR="004D5E95" w:rsidRPr="001B572C">
        <w:rPr>
          <w:noProof/>
          <w:lang w:val="hr-HR"/>
        </w:rPr>
        <w:t>.</w:t>
      </w:r>
      <w:r w:rsidRPr="001B572C">
        <w:rPr>
          <w:noProof/>
          <w:lang w:val="hr-HR"/>
        </w:rPr>
        <w:t xml:space="preserve"> </w:t>
      </w:r>
    </w:p>
    <w:p w:rsidR="00FF43F7" w:rsidRPr="001B572C" w:rsidRDefault="00FF43F7">
      <w:pPr>
        <w:rPr>
          <w:noProof/>
          <w:lang w:val="hr-HR"/>
        </w:rPr>
      </w:pPr>
    </w:p>
    <w:p w:rsidR="00FF43F7" w:rsidRPr="001B572C" w:rsidRDefault="00117A29">
      <w:pPr>
        <w:keepNext/>
        <w:spacing w:line="240" w:lineRule="auto"/>
        <w:jc w:val="center"/>
        <w:rPr>
          <w:noProof/>
          <w:lang w:val="hr-HR"/>
        </w:rPr>
      </w:pPr>
      <w:r w:rsidRPr="001B572C">
        <w:rPr>
          <w:noProof/>
          <w:sz w:val="28"/>
          <w:lang w:val="hr-HR"/>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F43F7" w:rsidRPr="001B572C">
        <w:trPr>
          <w:cantSplit/>
        </w:trPr>
        <w:tc>
          <w:tcPr>
            <w:tcW w:w="70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Račun iz rač. plana</w:t>
            </w:r>
          </w:p>
        </w:tc>
        <w:tc>
          <w:tcPr>
            <w:tcW w:w="318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Opis stavke</w:t>
            </w:r>
          </w:p>
        </w:tc>
        <w:tc>
          <w:tcPr>
            <w:tcW w:w="70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Šifra</w:t>
            </w:r>
          </w:p>
        </w:tc>
        <w:tc>
          <w:tcPr>
            <w:tcW w:w="186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Ostvareno u izvještajnom razdoblju prethodne godine</w:t>
            </w:r>
          </w:p>
        </w:tc>
        <w:tc>
          <w:tcPr>
            <w:tcW w:w="186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Ostvareno u izvještajnom razdoblju tekuće godine</w:t>
            </w:r>
          </w:p>
        </w:tc>
        <w:tc>
          <w:tcPr>
            <w:tcW w:w="70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Indeks (%)</w:t>
            </w:r>
          </w:p>
        </w:tc>
      </w:tr>
      <w:tr w:rsidR="00FF43F7" w:rsidRPr="001B572C">
        <w:trPr>
          <w:cantSplit/>
          <w:trHeight w:val="560"/>
        </w:trPr>
        <w:tc>
          <w:tcPr>
            <w:tcW w:w="700" w:type="dxa"/>
            <w:tcMar>
              <w:top w:w="0" w:type="dxa"/>
              <w:bottom w:w="0" w:type="dxa"/>
            </w:tcMar>
            <w:vAlign w:val="center"/>
          </w:tcPr>
          <w:p w:rsidR="00FF43F7" w:rsidRPr="001B572C" w:rsidRDefault="00117A29">
            <w:pPr>
              <w:keepNext/>
              <w:keepLines/>
              <w:spacing w:after="0" w:line="240" w:lineRule="auto"/>
              <w:rPr>
                <w:noProof/>
                <w:lang w:val="hr-HR"/>
              </w:rPr>
            </w:pPr>
            <w:r w:rsidRPr="001B572C">
              <w:rPr>
                <w:noProof/>
                <w:sz w:val="18"/>
                <w:lang w:val="hr-HR"/>
              </w:rPr>
              <w:t>11</w:t>
            </w:r>
          </w:p>
        </w:tc>
        <w:tc>
          <w:tcPr>
            <w:tcW w:w="3180" w:type="dxa"/>
            <w:tcMar>
              <w:top w:w="0" w:type="dxa"/>
              <w:bottom w:w="0" w:type="dxa"/>
            </w:tcMar>
            <w:vAlign w:val="center"/>
          </w:tcPr>
          <w:p w:rsidR="00FF43F7" w:rsidRPr="001B572C" w:rsidRDefault="00117A29">
            <w:pPr>
              <w:keepNext/>
              <w:keepLines/>
              <w:spacing w:after="0" w:line="240" w:lineRule="auto"/>
              <w:rPr>
                <w:noProof/>
                <w:lang w:val="hr-HR"/>
              </w:rPr>
            </w:pPr>
            <w:r w:rsidRPr="001B572C">
              <w:rPr>
                <w:noProof/>
                <w:sz w:val="18"/>
                <w:lang w:val="hr-HR"/>
              </w:rPr>
              <w:t>Stanje novčanih sredstava na kraju izvještajnog razdoblja (šifre 11P + '11-dugov.' - '11-potraž.')</w:t>
            </w:r>
          </w:p>
        </w:tc>
        <w:tc>
          <w:tcPr>
            <w:tcW w:w="700" w:type="dxa"/>
            <w:tcMar>
              <w:top w:w="0" w:type="dxa"/>
              <w:bottom w:w="0" w:type="dxa"/>
            </w:tcMar>
            <w:vAlign w:val="center"/>
          </w:tcPr>
          <w:p w:rsidR="00FF43F7" w:rsidRPr="001B572C" w:rsidRDefault="00117A29">
            <w:pPr>
              <w:keepNext/>
              <w:keepLines/>
              <w:spacing w:after="0" w:line="240" w:lineRule="auto"/>
              <w:rPr>
                <w:noProof/>
                <w:lang w:val="hr-HR"/>
              </w:rPr>
            </w:pPr>
            <w:r w:rsidRPr="001B572C">
              <w:rPr>
                <w:noProof/>
                <w:sz w:val="18"/>
                <w:lang w:val="hr-HR"/>
              </w:rPr>
              <w:t>11K</w:t>
            </w:r>
          </w:p>
        </w:tc>
        <w:tc>
          <w:tcPr>
            <w:tcW w:w="1860" w:type="dxa"/>
            <w:tcMar>
              <w:top w:w="0" w:type="dxa"/>
              <w:bottom w:w="0" w:type="dxa"/>
            </w:tcMar>
            <w:vAlign w:val="center"/>
          </w:tcPr>
          <w:p w:rsidR="00FF43F7" w:rsidRPr="001B572C" w:rsidRDefault="00117A29">
            <w:pPr>
              <w:keepNext/>
              <w:keepLines/>
              <w:spacing w:after="0" w:line="240" w:lineRule="auto"/>
              <w:jc w:val="right"/>
              <w:rPr>
                <w:noProof/>
                <w:lang w:val="hr-HR"/>
              </w:rPr>
            </w:pPr>
            <w:r w:rsidRPr="001B572C">
              <w:rPr>
                <w:noProof/>
                <w:sz w:val="18"/>
                <w:lang w:val="hr-HR"/>
              </w:rPr>
              <w:t>48.876.180,56</w:t>
            </w:r>
          </w:p>
        </w:tc>
        <w:tc>
          <w:tcPr>
            <w:tcW w:w="1860" w:type="dxa"/>
            <w:tcMar>
              <w:top w:w="0" w:type="dxa"/>
              <w:bottom w:w="0" w:type="dxa"/>
            </w:tcMar>
            <w:vAlign w:val="center"/>
          </w:tcPr>
          <w:p w:rsidR="00FF43F7" w:rsidRPr="001B572C" w:rsidRDefault="00117A29">
            <w:pPr>
              <w:keepNext/>
              <w:keepLines/>
              <w:spacing w:after="0" w:line="240" w:lineRule="auto"/>
              <w:jc w:val="right"/>
              <w:rPr>
                <w:noProof/>
                <w:lang w:val="hr-HR"/>
              </w:rPr>
            </w:pPr>
            <w:r w:rsidRPr="001B572C">
              <w:rPr>
                <w:noProof/>
                <w:sz w:val="18"/>
                <w:lang w:val="hr-HR"/>
              </w:rPr>
              <w:t>45.903.541,98</w:t>
            </w:r>
          </w:p>
        </w:tc>
        <w:tc>
          <w:tcPr>
            <w:tcW w:w="700" w:type="dxa"/>
            <w:tcMar>
              <w:top w:w="0" w:type="dxa"/>
              <w:bottom w:w="0" w:type="dxa"/>
            </w:tcMar>
            <w:vAlign w:val="center"/>
          </w:tcPr>
          <w:p w:rsidR="00FF43F7" w:rsidRPr="001B572C" w:rsidRDefault="00117A29">
            <w:pPr>
              <w:keepNext/>
              <w:keepLines/>
              <w:spacing w:after="0" w:line="240" w:lineRule="auto"/>
              <w:jc w:val="right"/>
              <w:rPr>
                <w:noProof/>
                <w:lang w:val="hr-HR"/>
              </w:rPr>
            </w:pPr>
            <w:r w:rsidRPr="001B572C">
              <w:rPr>
                <w:noProof/>
                <w:sz w:val="18"/>
                <w:lang w:val="hr-HR"/>
              </w:rPr>
              <w:t>93,9</w:t>
            </w:r>
          </w:p>
        </w:tc>
      </w:tr>
    </w:tbl>
    <w:p w:rsidR="00FF43F7" w:rsidRPr="001B572C" w:rsidRDefault="00FF43F7">
      <w:pPr>
        <w:spacing w:after="0"/>
        <w:rPr>
          <w:noProof/>
          <w:lang w:val="hr-HR"/>
        </w:rPr>
      </w:pPr>
    </w:p>
    <w:p w:rsidR="00FF43F7" w:rsidRPr="001B572C" w:rsidRDefault="00117A29" w:rsidP="00542EF0">
      <w:pPr>
        <w:jc w:val="both"/>
        <w:rPr>
          <w:noProof/>
          <w:lang w:val="hr-HR"/>
        </w:rPr>
      </w:pPr>
      <w:r w:rsidRPr="001B572C">
        <w:rPr>
          <w:noProof/>
          <w:lang w:val="hr-HR"/>
        </w:rPr>
        <w:t xml:space="preserve">Na kraju izvještajnog razdoblja ukupno stanje novčanih sredstava na svim računima (jedinstveni račun riznice Grada Rijeka, računi </w:t>
      </w:r>
      <w:r w:rsidR="00542E07" w:rsidRPr="001B572C">
        <w:rPr>
          <w:noProof/>
          <w:lang w:val="hr-HR"/>
        </w:rPr>
        <w:t xml:space="preserve">proračunskih </w:t>
      </w:r>
      <w:r w:rsidRPr="001B572C">
        <w:rPr>
          <w:noProof/>
          <w:lang w:val="hr-HR"/>
        </w:rPr>
        <w:t>korisnika, računi depozita i posebne namjene</w:t>
      </w:r>
      <w:r w:rsidR="00542E07" w:rsidRPr="001B572C">
        <w:rPr>
          <w:noProof/>
          <w:lang w:val="hr-HR"/>
        </w:rPr>
        <w:t>, blagajne</w:t>
      </w:r>
      <w:r w:rsidRPr="001B572C">
        <w:rPr>
          <w:noProof/>
          <w:lang w:val="hr-HR"/>
        </w:rPr>
        <w:t xml:space="preserve">) iznosi 45.903.541,98 eura.  Stanje novčanih sredstava na jedinstvenom računu riznice, koji sadrži sve uplate i isplate Grada i proračunskih korisnika iznosi 40.090.547,86 eura. Stanje </w:t>
      </w:r>
      <w:r w:rsidR="00091794" w:rsidRPr="001B572C">
        <w:rPr>
          <w:noProof/>
          <w:lang w:val="hr-HR"/>
        </w:rPr>
        <w:t xml:space="preserve">novčanih sredstava </w:t>
      </w:r>
      <w:r w:rsidRPr="001B572C">
        <w:rPr>
          <w:noProof/>
          <w:lang w:val="hr-HR"/>
        </w:rPr>
        <w:t xml:space="preserve">na računima </w:t>
      </w:r>
      <w:r w:rsidR="00542E07" w:rsidRPr="001B572C">
        <w:rPr>
          <w:noProof/>
          <w:lang w:val="hr-HR"/>
        </w:rPr>
        <w:t xml:space="preserve">proračunskih </w:t>
      </w:r>
      <w:r w:rsidRPr="001B572C">
        <w:rPr>
          <w:noProof/>
          <w:lang w:val="hr-HR"/>
        </w:rPr>
        <w:t>korisnika</w:t>
      </w:r>
      <w:r w:rsidR="00A8798D" w:rsidRPr="001B572C">
        <w:rPr>
          <w:noProof/>
          <w:lang w:val="hr-HR"/>
        </w:rPr>
        <w:t>,</w:t>
      </w:r>
      <w:r w:rsidRPr="001B572C">
        <w:rPr>
          <w:noProof/>
          <w:lang w:val="hr-HR"/>
        </w:rPr>
        <w:t xml:space="preserve"> </w:t>
      </w:r>
      <w:r w:rsidR="00A8798D" w:rsidRPr="001B572C">
        <w:rPr>
          <w:noProof/>
          <w:lang w:val="hr-HR"/>
        </w:rPr>
        <w:t>koji na 31.12.2025. imaju otvoren račun</w:t>
      </w:r>
      <w:r w:rsidR="003B5981" w:rsidRPr="001B572C">
        <w:rPr>
          <w:noProof/>
          <w:lang w:val="hr-HR"/>
        </w:rPr>
        <w:t xml:space="preserve"> u banci</w:t>
      </w:r>
      <w:r w:rsidR="00A8798D" w:rsidRPr="001B572C">
        <w:rPr>
          <w:noProof/>
          <w:lang w:val="hr-HR"/>
        </w:rPr>
        <w:t xml:space="preserve">, </w:t>
      </w:r>
      <w:r w:rsidRPr="001B572C">
        <w:rPr>
          <w:noProof/>
          <w:lang w:val="hr-HR"/>
        </w:rPr>
        <w:t>iznosi 2.3</w:t>
      </w:r>
      <w:r w:rsidR="003B5981" w:rsidRPr="001B572C">
        <w:rPr>
          <w:noProof/>
          <w:lang w:val="hr-HR"/>
        </w:rPr>
        <w:t>62.651,52</w:t>
      </w:r>
      <w:r w:rsidRPr="001B572C">
        <w:rPr>
          <w:noProof/>
          <w:lang w:val="hr-HR"/>
        </w:rPr>
        <w:t xml:space="preserve"> eura.</w:t>
      </w:r>
    </w:p>
    <w:p w:rsidR="00FF43F7" w:rsidRPr="001B572C" w:rsidRDefault="00FF43F7">
      <w:pPr>
        <w:rPr>
          <w:noProof/>
          <w:lang w:val="hr-HR"/>
        </w:rPr>
      </w:pPr>
    </w:p>
    <w:p w:rsidR="00FF43F7" w:rsidRPr="001B572C" w:rsidRDefault="00117A29">
      <w:pPr>
        <w:keepNext/>
        <w:spacing w:line="240" w:lineRule="auto"/>
        <w:jc w:val="center"/>
        <w:rPr>
          <w:noProof/>
          <w:lang w:val="hr-HR"/>
        </w:rPr>
      </w:pPr>
      <w:r w:rsidRPr="001B572C">
        <w:rPr>
          <w:b/>
          <w:noProof/>
          <w:sz w:val="28"/>
          <w:lang w:val="hr-HR"/>
        </w:rPr>
        <w:lastRenderedPageBreak/>
        <w:t>Bilanca</w:t>
      </w:r>
    </w:p>
    <w:p w:rsidR="00FF43F7" w:rsidRPr="001B572C" w:rsidRDefault="00117A29">
      <w:pPr>
        <w:keepNext/>
        <w:spacing w:line="240" w:lineRule="auto"/>
        <w:jc w:val="center"/>
        <w:rPr>
          <w:noProof/>
          <w:lang w:val="hr-HR"/>
        </w:rPr>
      </w:pPr>
      <w:r w:rsidRPr="001B572C">
        <w:rPr>
          <w:noProof/>
          <w:sz w:val="28"/>
          <w:lang w:val="hr-HR"/>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F43F7" w:rsidRPr="001B572C">
        <w:trPr>
          <w:cantSplit/>
        </w:trPr>
        <w:tc>
          <w:tcPr>
            <w:tcW w:w="70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Račun iz rač. plana</w:t>
            </w:r>
          </w:p>
        </w:tc>
        <w:tc>
          <w:tcPr>
            <w:tcW w:w="318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Opis stavke</w:t>
            </w:r>
          </w:p>
        </w:tc>
        <w:tc>
          <w:tcPr>
            <w:tcW w:w="70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Šifra</w:t>
            </w:r>
          </w:p>
        </w:tc>
        <w:tc>
          <w:tcPr>
            <w:tcW w:w="186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Stanje 1. siječnja</w:t>
            </w:r>
          </w:p>
        </w:tc>
        <w:tc>
          <w:tcPr>
            <w:tcW w:w="186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Stanje 31. prosinca</w:t>
            </w:r>
          </w:p>
        </w:tc>
        <w:tc>
          <w:tcPr>
            <w:tcW w:w="70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Indeks (%)</w:t>
            </w:r>
          </w:p>
        </w:tc>
      </w:tr>
      <w:tr w:rsidR="00FF43F7" w:rsidRPr="001B572C">
        <w:trPr>
          <w:cantSplit/>
          <w:trHeight w:val="560"/>
        </w:trPr>
        <w:tc>
          <w:tcPr>
            <w:tcW w:w="700" w:type="dxa"/>
            <w:tcMar>
              <w:top w:w="0" w:type="dxa"/>
              <w:bottom w:w="0" w:type="dxa"/>
            </w:tcMar>
            <w:vAlign w:val="center"/>
          </w:tcPr>
          <w:p w:rsidR="00FF43F7" w:rsidRPr="001B572C" w:rsidRDefault="00FF43F7">
            <w:pPr>
              <w:keepNext/>
              <w:keepLines/>
              <w:spacing w:after="0" w:line="240" w:lineRule="auto"/>
              <w:rPr>
                <w:noProof/>
                <w:lang w:val="hr-HR"/>
              </w:rPr>
            </w:pPr>
          </w:p>
        </w:tc>
        <w:tc>
          <w:tcPr>
            <w:tcW w:w="3180" w:type="dxa"/>
            <w:tcMar>
              <w:top w:w="0" w:type="dxa"/>
              <w:bottom w:w="0" w:type="dxa"/>
            </w:tcMar>
            <w:vAlign w:val="center"/>
          </w:tcPr>
          <w:p w:rsidR="00FF43F7" w:rsidRPr="001B572C" w:rsidRDefault="00117A29">
            <w:pPr>
              <w:keepNext/>
              <w:keepLines/>
              <w:spacing w:after="0" w:line="240" w:lineRule="auto"/>
              <w:rPr>
                <w:noProof/>
                <w:lang w:val="hr-HR"/>
              </w:rPr>
            </w:pPr>
            <w:r w:rsidRPr="001B572C">
              <w:rPr>
                <w:noProof/>
                <w:sz w:val="18"/>
                <w:lang w:val="hr-HR"/>
              </w:rPr>
              <w:t>IMOVINA (šifre B002+1)</w:t>
            </w:r>
          </w:p>
        </w:tc>
        <w:tc>
          <w:tcPr>
            <w:tcW w:w="700" w:type="dxa"/>
            <w:tcMar>
              <w:top w:w="0" w:type="dxa"/>
              <w:bottom w:w="0" w:type="dxa"/>
            </w:tcMar>
            <w:vAlign w:val="center"/>
          </w:tcPr>
          <w:p w:rsidR="00FF43F7" w:rsidRPr="001B572C" w:rsidRDefault="00117A29">
            <w:pPr>
              <w:keepNext/>
              <w:keepLines/>
              <w:spacing w:after="0" w:line="240" w:lineRule="auto"/>
              <w:rPr>
                <w:noProof/>
                <w:lang w:val="hr-HR"/>
              </w:rPr>
            </w:pPr>
            <w:r w:rsidRPr="001B572C">
              <w:rPr>
                <w:noProof/>
                <w:sz w:val="18"/>
                <w:lang w:val="hr-HR"/>
              </w:rPr>
              <w:t>B001</w:t>
            </w:r>
          </w:p>
        </w:tc>
        <w:tc>
          <w:tcPr>
            <w:tcW w:w="1860" w:type="dxa"/>
            <w:tcMar>
              <w:top w:w="0" w:type="dxa"/>
              <w:bottom w:w="0" w:type="dxa"/>
            </w:tcMar>
            <w:vAlign w:val="center"/>
          </w:tcPr>
          <w:p w:rsidR="00FF43F7" w:rsidRPr="001B572C" w:rsidRDefault="00117A29">
            <w:pPr>
              <w:keepNext/>
              <w:keepLines/>
              <w:spacing w:after="0" w:line="240" w:lineRule="auto"/>
              <w:jc w:val="right"/>
              <w:rPr>
                <w:noProof/>
                <w:lang w:val="hr-HR"/>
              </w:rPr>
            </w:pPr>
            <w:r w:rsidRPr="001B572C">
              <w:rPr>
                <w:noProof/>
                <w:sz w:val="18"/>
                <w:lang w:val="hr-HR"/>
              </w:rPr>
              <w:t>1.245.401.675,60</w:t>
            </w:r>
          </w:p>
        </w:tc>
        <w:tc>
          <w:tcPr>
            <w:tcW w:w="1860" w:type="dxa"/>
            <w:tcMar>
              <w:top w:w="0" w:type="dxa"/>
              <w:bottom w:w="0" w:type="dxa"/>
            </w:tcMar>
            <w:vAlign w:val="center"/>
          </w:tcPr>
          <w:p w:rsidR="00FF43F7" w:rsidRPr="001B572C" w:rsidRDefault="00117A29">
            <w:pPr>
              <w:keepNext/>
              <w:keepLines/>
              <w:spacing w:after="0" w:line="240" w:lineRule="auto"/>
              <w:jc w:val="right"/>
              <w:rPr>
                <w:noProof/>
                <w:lang w:val="hr-HR"/>
              </w:rPr>
            </w:pPr>
            <w:r w:rsidRPr="001B572C">
              <w:rPr>
                <w:noProof/>
                <w:sz w:val="18"/>
                <w:lang w:val="hr-HR"/>
              </w:rPr>
              <w:t>1.250.080.956,14</w:t>
            </w:r>
          </w:p>
        </w:tc>
        <w:tc>
          <w:tcPr>
            <w:tcW w:w="700" w:type="dxa"/>
            <w:tcMar>
              <w:top w:w="0" w:type="dxa"/>
              <w:bottom w:w="0" w:type="dxa"/>
            </w:tcMar>
            <w:vAlign w:val="center"/>
          </w:tcPr>
          <w:p w:rsidR="00FF43F7" w:rsidRPr="001B572C" w:rsidRDefault="00117A29">
            <w:pPr>
              <w:keepNext/>
              <w:keepLines/>
              <w:spacing w:after="0" w:line="240" w:lineRule="auto"/>
              <w:jc w:val="right"/>
              <w:rPr>
                <w:noProof/>
                <w:lang w:val="hr-HR"/>
              </w:rPr>
            </w:pPr>
            <w:r w:rsidRPr="001B572C">
              <w:rPr>
                <w:noProof/>
                <w:sz w:val="18"/>
                <w:lang w:val="hr-HR"/>
              </w:rPr>
              <w:t>100,4</w:t>
            </w:r>
          </w:p>
        </w:tc>
      </w:tr>
    </w:tbl>
    <w:p w:rsidR="00FF43F7" w:rsidRPr="001B572C" w:rsidRDefault="00FF43F7">
      <w:pPr>
        <w:spacing w:after="0"/>
        <w:rPr>
          <w:noProof/>
          <w:lang w:val="hr-HR"/>
        </w:rPr>
      </w:pPr>
    </w:p>
    <w:p w:rsidR="00FF43F7" w:rsidRPr="001B572C" w:rsidRDefault="00117A29">
      <w:pPr>
        <w:jc w:val="both"/>
        <w:rPr>
          <w:noProof/>
          <w:lang w:val="hr-HR"/>
        </w:rPr>
      </w:pPr>
      <w:r w:rsidRPr="001B572C">
        <w:rPr>
          <w:noProof/>
          <w:lang w:val="hr-HR"/>
        </w:rPr>
        <w:t>Vrijednost ukupne aktive konsolidirane grupe iznosi 1.250.080.956,14 eura na dan 31. prosinca 2025. godine. U odnosu na stanje 1. siječnja o</w:t>
      </w:r>
      <w:r w:rsidR="00B67E34">
        <w:rPr>
          <w:noProof/>
          <w:lang w:val="hr-HR"/>
        </w:rPr>
        <w:t>ve godine</w:t>
      </w:r>
      <w:r w:rsidRPr="001B572C">
        <w:rPr>
          <w:noProof/>
          <w:lang w:val="hr-HR"/>
        </w:rPr>
        <w:t xml:space="preserve"> ukupna vrijednost imovine povećana je za 4.679.280,54 eura ili 0,4%. </w:t>
      </w:r>
    </w:p>
    <w:p w:rsidR="00FF43F7" w:rsidRPr="001B572C" w:rsidRDefault="00FF43F7">
      <w:pPr>
        <w:rPr>
          <w:noProof/>
          <w:lang w:val="hr-HR"/>
        </w:rPr>
      </w:pPr>
    </w:p>
    <w:p w:rsidR="00FF43F7" w:rsidRPr="001B572C" w:rsidRDefault="00117A29">
      <w:pPr>
        <w:keepNext/>
        <w:spacing w:line="240" w:lineRule="auto"/>
        <w:jc w:val="center"/>
        <w:rPr>
          <w:noProof/>
          <w:lang w:val="hr-HR"/>
        </w:rPr>
      </w:pPr>
      <w:r w:rsidRPr="001B572C">
        <w:rPr>
          <w:noProof/>
          <w:sz w:val="28"/>
          <w:lang w:val="hr-HR"/>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F43F7" w:rsidRPr="001B572C">
        <w:trPr>
          <w:cantSplit/>
        </w:trPr>
        <w:tc>
          <w:tcPr>
            <w:tcW w:w="70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Račun iz rač. plana</w:t>
            </w:r>
          </w:p>
        </w:tc>
        <w:tc>
          <w:tcPr>
            <w:tcW w:w="318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Opis stavke</w:t>
            </w:r>
          </w:p>
        </w:tc>
        <w:tc>
          <w:tcPr>
            <w:tcW w:w="70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Šifra</w:t>
            </w:r>
          </w:p>
        </w:tc>
        <w:tc>
          <w:tcPr>
            <w:tcW w:w="186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Stanje 1. siječnja</w:t>
            </w:r>
          </w:p>
        </w:tc>
        <w:tc>
          <w:tcPr>
            <w:tcW w:w="186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Stanje 31. prosinca</w:t>
            </w:r>
          </w:p>
        </w:tc>
        <w:tc>
          <w:tcPr>
            <w:tcW w:w="70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Indeks (%)</w:t>
            </w:r>
          </w:p>
        </w:tc>
      </w:tr>
      <w:tr w:rsidR="00FF43F7" w:rsidRPr="001B572C">
        <w:trPr>
          <w:cantSplit/>
          <w:trHeight w:val="560"/>
        </w:trPr>
        <w:tc>
          <w:tcPr>
            <w:tcW w:w="700" w:type="dxa"/>
            <w:tcMar>
              <w:top w:w="0" w:type="dxa"/>
              <w:bottom w:w="0" w:type="dxa"/>
            </w:tcMar>
            <w:vAlign w:val="center"/>
          </w:tcPr>
          <w:p w:rsidR="00FF43F7" w:rsidRPr="001B572C" w:rsidRDefault="00117A29">
            <w:pPr>
              <w:keepNext/>
              <w:keepLines/>
              <w:spacing w:after="0" w:line="240" w:lineRule="auto"/>
              <w:rPr>
                <w:noProof/>
                <w:lang w:val="hr-HR"/>
              </w:rPr>
            </w:pPr>
            <w:r w:rsidRPr="001B572C">
              <w:rPr>
                <w:noProof/>
                <w:sz w:val="18"/>
                <w:lang w:val="hr-HR"/>
              </w:rPr>
              <w:t>0</w:t>
            </w:r>
          </w:p>
        </w:tc>
        <w:tc>
          <w:tcPr>
            <w:tcW w:w="3180" w:type="dxa"/>
            <w:tcMar>
              <w:top w:w="0" w:type="dxa"/>
              <w:bottom w:w="0" w:type="dxa"/>
            </w:tcMar>
            <w:vAlign w:val="center"/>
          </w:tcPr>
          <w:p w:rsidR="00FF43F7" w:rsidRPr="001B572C" w:rsidRDefault="00117A29">
            <w:pPr>
              <w:keepNext/>
              <w:keepLines/>
              <w:spacing w:after="0" w:line="240" w:lineRule="auto"/>
              <w:rPr>
                <w:noProof/>
                <w:lang w:val="hr-HR"/>
              </w:rPr>
            </w:pPr>
            <w:r w:rsidRPr="001B572C">
              <w:rPr>
                <w:noProof/>
                <w:sz w:val="18"/>
                <w:lang w:val="hr-HR"/>
              </w:rPr>
              <w:t>Nefinancijska imovina (šifre 01+02+03+04+05+06)</w:t>
            </w:r>
          </w:p>
        </w:tc>
        <w:tc>
          <w:tcPr>
            <w:tcW w:w="700" w:type="dxa"/>
            <w:tcMar>
              <w:top w:w="0" w:type="dxa"/>
              <w:bottom w:w="0" w:type="dxa"/>
            </w:tcMar>
            <w:vAlign w:val="center"/>
          </w:tcPr>
          <w:p w:rsidR="00FF43F7" w:rsidRPr="001B572C" w:rsidRDefault="00117A29">
            <w:pPr>
              <w:keepNext/>
              <w:keepLines/>
              <w:spacing w:after="0" w:line="240" w:lineRule="auto"/>
              <w:rPr>
                <w:noProof/>
                <w:lang w:val="hr-HR"/>
              </w:rPr>
            </w:pPr>
            <w:r w:rsidRPr="001B572C">
              <w:rPr>
                <w:noProof/>
                <w:sz w:val="18"/>
                <w:lang w:val="hr-HR"/>
              </w:rPr>
              <w:t>B002</w:t>
            </w:r>
          </w:p>
        </w:tc>
        <w:tc>
          <w:tcPr>
            <w:tcW w:w="1860" w:type="dxa"/>
            <w:tcMar>
              <w:top w:w="0" w:type="dxa"/>
              <w:bottom w:w="0" w:type="dxa"/>
            </w:tcMar>
            <w:vAlign w:val="center"/>
          </w:tcPr>
          <w:p w:rsidR="00FF43F7" w:rsidRPr="001B572C" w:rsidRDefault="00117A29">
            <w:pPr>
              <w:keepNext/>
              <w:keepLines/>
              <w:spacing w:after="0" w:line="240" w:lineRule="auto"/>
              <w:jc w:val="right"/>
              <w:rPr>
                <w:noProof/>
                <w:lang w:val="hr-HR"/>
              </w:rPr>
            </w:pPr>
            <w:r w:rsidRPr="001B572C">
              <w:rPr>
                <w:noProof/>
                <w:sz w:val="18"/>
                <w:lang w:val="hr-HR"/>
              </w:rPr>
              <w:t>1.029.012.869,47</w:t>
            </w:r>
          </w:p>
        </w:tc>
        <w:tc>
          <w:tcPr>
            <w:tcW w:w="1860" w:type="dxa"/>
            <w:tcMar>
              <w:top w:w="0" w:type="dxa"/>
              <w:bottom w:w="0" w:type="dxa"/>
            </w:tcMar>
            <w:vAlign w:val="center"/>
          </w:tcPr>
          <w:p w:rsidR="00FF43F7" w:rsidRPr="001B572C" w:rsidRDefault="00117A29">
            <w:pPr>
              <w:keepNext/>
              <w:keepLines/>
              <w:spacing w:after="0" w:line="240" w:lineRule="auto"/>
              <w:jc w:val="right"/>
              <w:rPr>
                <w:noProof/>
                <w:lang w:val="hr-HR"/>
              </w:rPr>
            </w:pPr>
            <w:r w:rsidRPr="001B572C">
              <w:rPr>
                <w:noProof/>
                <w:sz w:val="18"/>
                <w:lang w:val="hr-HR"/>
              </w:rPr>
              <w:t>1.037.597.618,26</w:t>
            </w:r>
          </w:p>
        </w:tc>
        <w:tc>
          <w:tcPr>
            <w:tcW w:w="700" w:type="dxa"/>
            <w:tcMar>
              <w:top w:w="0" w:type="dxa"/>
              <w:bottom w:w="0" w:type="dxa"/>
            </w:tcMar>
            <w:vAlign w:val="center"/>
          </w:tcPr>
          <w:p w:rsidR="00FF43F7" w:rsidRPr="001B572C" w:rsidRDefault="00117A29">
            <w:pPr>
              <w:keepNext/>
              <w:keepLines/>
              <w:spacing w:after="0" w:line="240" w:lineRule="auto"/>
              <w:jc w:val="right"/>
              <w:rPr>
                <w:noProof/>
                <w:lang w:val="hr-HR"/>
              </w:rPr>
            </w:pPr>
            <w:r w:rsidRPr="001B572C">
              <w:rPr>
                <w:noProof/>
                <w:sz w:val="18"/>
                <w:lang w:val="hr-HR"/>
              </w:rPr>
              <w:t>100,8</w:t>
            </w:r>
          </w:p>
        </w:tc>
      </w:tr>
    </w:tbl>
    <w:p w:rsidR="00FF43F7" w:rsidRPr="001B572C" w:rsidRDefault="00FF43F7">
      <w:pPr>
        <w:spacing w:after="0"/>
        <w:rPr>
          <w:noProof/>
          <w:lang w:val="hr-HR"/>
        </w:rPr>
      </w:pPr>
    </w:p>
    <w:p w:rsidR="00FF43F7" w:rsidRDefault="00117A29" w:rsidP="00B67E34">
      <w:pPr>
        <w:jc w:val="both"/>
        <w:rPr>
          <w:noProof/>
          <w:lang w:val="hr-HR"/>
        </w:rPr>
      </w:pPr>
      <w:r w:rsidRPr="001B572C">
        <w:rPr>
          <w:noProof/>
          <w:lang w:val="hr-HR"/>
        </w:rPr>
        <w:t xml:space="preserve">Ukupna nefinancijska imovina iznosi 1.037.597.618,26 eura, 83% ukupne aktive. Vrijednost nefinancijske imovine Grada iznosi 1.006.753.029,44 eura ili 97,03%, a </w:t>
      </w:r>
      <w:r w:rsidR="007E350F" w:rsidRPr="001B572C">
        <w:rPr>
          <w:noProof/>
          <w:lang w:val="hr-HR"/>
        </w:rPr>
        <w:t xml:space="preserve">vrijednost </w:t>
      </w:r>
      <w:r w:rsidRPr="001B572C">
        <w:rPr>
          <w:noProof/>
          <w:lang w:val="hr-HR"/>
        </w:rPr>
        <w:t>nefinancijsk</w:t>
      </w:r>
      <w:r w:rsidR="007E350F" w:rsidRPr="001B572C">
        <w:rPr>
          <w:noProof/>
          <w:lang w:val="hr-HR"/>
        </w:rPr>
        <w:t>e</w:t>
      </w:r>
      <w:r w:rsidRPr="001B572C">
        <w:rPr>
          <w:noProof/>
          <w:lang w:val="hr-HR"/>
        </w:rPr>
        <w:t xml:space="preserve"> imovin</w:t>
      </w:r>
      <w:r w:rsidR="007E350F" w:rsidRPr="001B572C">
        <w:rPr>
          <w:noProof/>
          <w:lang w:val="hr-HR"/>
        </w:rPr>
        <w:t>e</w:t>
      </w:r>
      <w:r w:rsidRPr="001B572C">
        <w:rPr>
          <w:noProof/>
          <w:lang w:val="hr-HR"/>
        </w:rPr>
        <w:t xml:space="preserve"> svih proračunskih korisnika 30.844.588,82 eura ili 2,97% ukupne nefinancijske imovine. </w:t>
      </w:r>
    </w:p>
    <w:p w:rsidR="00B67E34" w:rsidRPr="002B4A35" w:rsidRDefault="00B67E34" w:rsidP="00B67E34">
      <w:pPr>
        <w:jc w:val="both"/>
        <w:rPr>
          <w:szCs w:val="24"/>
          <w:lang w:val="hr-HR" w:eastAsia="hr-HR"/>
        </w:rPr>
      </w:pPr>
      <w:r w:rsidRPr="00834536">
        <w:rPr>
          <w:noProof/>
          <w:lang w:val="hr-HR"/>
        </w:rPr>
        <w:t>Nefinancijska imovina s naj</w:t>
      </w:r>
      <w:r w:rsidR="008A6161" w:rsidRPr="00834536">
        <w:rPr>
          <w:noProof/>
          <w:lang w:val="hr-HR"/>
        </w:rPr>
        <w:t xml:space="preserve">značajnijom ukupnom </w:t>
      </w:r>
      <w:r w:rsidRPr="00834536">
        <w:rPr>
          <w:noProof/>
          <w:lang w:val="hr-HR"/>
        </w:rPr>
        <w:t xml:space="preserve">vrijednosti </w:t>
      </w:r>
      <w:r w:rsidR="002B4A35" w:rsidRPr="00834536">
        <w:rPr>
          <w:noProof/>
          <w:lang w:val="hr-HR"/>
        </w:rPr>
        <w:t>u bilanci je</w:t>
      </w:r>
      <w:r w:rsidRPr="00834536">
        <w:rPr>
          <w:noProof/>
          <w:lang w:val="hr-HR"/>
        </w:rPr>
        <w:t xml:space="preserve">su gradska zemljišta </w:t>
      </w:r>
      <w:r w:rsidRPr="00834536">
        <w:rPr>
          <w:noProof/>
          <w:szCs w:val="24"/>
          <w:lang w:val="hr-HR"/>
        </w:rPr>
        <w:t>(</w:t>
      </w:r>
      <w:r w:rsidRPr="00834536">
        <w:rPr>
          <w:szCs w:val="24"/>
          <w:lang w:val="hr-HR" w:eastAsia="hr-HR"/>
        </w:rPr>
        <w:t>678.137.854,98 eura)</w:t>
      </w:r>
      <w:r w:rsidR="008A6161" w:rsidRPr="00834536">
        <w:rPr>
          <w:szCs w:val="24"/>
          <w:lang w:val="hr-HR" w:eastAsia="hr-HR"/>
        </w:rPr>
        <w:t xml:space="preserve"> i </w:t>
      </w:r>
      <w:r w:rsidRPr="00834536">
        <w:rPr>
          <w:szCs w:val="24"/>
          <w:lang w:val="hr-HR" w:eastAsia="hr-HR"/>
        </w:rPr>
        <w:t>poslovni objekti (311.086.705,06</w:t>
      </w:r>
      <w:r w:rsidR="002B4A35" w:rsidRPr="00834536">
        <w:rPr>
          <w:szCs w:val="24"/>
          <w:lang w:val="hr-HR" w:eastAsia="hr-HR"/>
        </w:rPr>
        <w:t xml:space="preserve"> eura</w:t>
      </w:r>
      <w:r w:rsidRPr="00834536">
        <w:rPr>
          <w:szCs w:val="24"/>
          <w:lang w:val="hr-HR" w:eastAsia="hr-HR"/>
        </w:rPr>
        <w:t>)</w:t>
      </w:r>
      <w:r w:rsidR="002B4A35" w:rsidRPr="00834536">
        <w:rPr>
          <w:szCs w:val="24"/>
          <w:lang w:val="hr-HR" w:eastAsia="hr-HR"/>
        </w:rPr>
        <w:t>.</w:t>
      </w:r>
    </w:p>
    <w:p w:rsidR="00FF43F7" w:rsidRPr="001B572C" w:rsidRDefault="00FF43F7" w:rsidP="00AE5307">
      <w:pPr>
        <w:jc w:val="both"/>
        <w:rPr>
          <w:noProof/>
          <w:lang w:val="hr-HR"/>
        </w:rPr>
      </w:pPr>
    </w:p>
    <w:p w:rsidR="00FF43F7" w:rsidRPr="001B572C" w:rsidRDefault="00117A29">
      <w:pPr>
        <w:keepNext/>
        <w:spacing w:line="240" w:lineRule="auto"/>
        <w:jc w:val="center"/>
        <w:rPr>
          <w:noProof/>
          <w:lang w:val="hr-HR"/>
        </w:rPr>
      </w:pPr>
      <w:r w:rsidRPr="001B572C">
        <w:rPr>
          <w:noProof/>
          <w:sz w:val="28"/>
          <w:lang w:val="hr-HR"/>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F43F7" w:rsidRPr="001B572C">
        <w:trPr>
          <w:cantSplit/>
        </w:trPr>
        <w:tc>
          <w:tcPr>
            <w:tcW w:w="70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Račun iz rač. plana</w:t>
            </w:r>
          </w:p>
        </w:tc>
        <w:tc>
          <w:tcPr>
            <w:tcW w:w="318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Opis stavke</w:t>
            </w:r>
          </w:p>
        </w:tc>
        <w:tc>
          <w:tcPr>
            <w:tcW w:w="70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Šifra</w:t>
            </w:r>
          </w:p>
        </w:tc>
        <w:tc>
          <w:tcPr>
            <w:tcW w:w="186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Stanje 1. siječnja</w:t>
            </w:r>
          </w:p>
        </w:tc>
        <w:tc>
          <w:tcPr>
            <w:tcW w:w="186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Stanje 31. prosinca</w:t>
            </w:r>
          </w:p>
        </w:tc>
        <w:tc>
          <w:tcPr>
            <w:tcW w:w="70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Indeks (%)</w:t>
            </w:r>
          </w:p>
        </w:tc>
      </w:tr>
      <w:tr w:rsidR="00FF43F7" w:rsidRPr="001B572C">
        <w:trPr>
          <w:cantSplit/>
          <w:trHeight w:val="560"/>
        </w:trPr>
        <w:tc>
          <w:tcPr>
            <w:tcW w:w="700" w:type="dxa"/>
            <w:tcMar>
              <w:top w:w="0" w:type="dxa"/>
              <w:bottom w:w="0" w:type="dxa"/>
            </w:tcMar>
            <w:vAlign w:val="center"/>
          </w:tcPr>
          <w:p w:rsidR="00FF43F7" w:rsidRPr="001B572C" w:rsidRDefault="00117A29">
            <w:pPr>
              <w:keepNext/>
              <w:keepLines/>
              <w:spacing w:after="0" w:line="240" w:lineRule="auto"/>
              <w:rPr>
                <w:noProof/>
                <w:lang w:val="hr-HR"/>
              </w:rPr>
            </w:pPr>
            <w:r w:rsidRPr="001B572C">
              <w:rPr>
                <w:noProof/>
                <w:sz w:val="18"/>
                <w:lang w:val="hr-HR"/>
              </w:rPr>
              <w:t>1</w:t>
            </w:r>
          </w:p>
        </w:tc>
        <w:tc>
          <w:tcPr>
            <w:tcW w:w="3180" w:type="dxa"/>
            <w:tcMar>
              <w:top w:w="0" w:type="dxa"/>
              <w:bottom w:w="0" w:type="dxa"/>
            </w:tcMar>
            <w:vAlign w:val="center"/>
          </w:tcPr>
          <w:p w:rsidR="00FF43F7" w:rsidRPr="001B572C" w:rsidRDefault="00117A29">
            <w:pPr>
              <w:keepNext/>
              <w:keepLines/>
              <w:spacing w:after="0" w:line="240" w:lineRule="auto"/>
              <w:rPr>
                <w:noProof/>
                <w:lang w:val="hr-HR"/>
              </w:rPr>
            </w:pPr>
            <w:r w:rsidRPr="001B572C">
              <w:rPr>
                <w:noProof/>
                <w:sz w:val="18"/>
                <w:lang w:val="hr-HR"/>
              </w:rPr>
              <w:t>Financijska imovina (šifre 11+12+13+14+15+16+17+19)</w:t>
            </w:r>
          </w:p>
        </w:tc>
        <w:tc>
          <w:tcPr>
            <w:tcW w:w="700" w:type="dxa"/>
            <w:tcMar>
              <w:top w:w="0" w:type="dxa"/>
              <w:bottom w:w="0" w:type="dxa"/>
            </w:tcMar>
            <w:vAlign w:val="center"/>
          </w:tcPr>
          <w:p w:rsidR="00FF43F7" w:rsidRPr="001B572C" w:rsidRDefault="00117A29">
            <w:pPr>
              <w:keepNext/>
              <w:keepLines/>
              <w:spacing w:after="0" w:line="240" w:lineRule="auto"/>
              <w:rPr>
                <w:noProof/>
                <w:lang w:val="hr-HR"/>
              </w:rPr>
            </w:pPr>
            <w:r w:rsidRPr="001B572C">
              <w:rPr>
                <w:noProof/>
                <w:sz w:val="18"/>
                <w:lang w:val="hr-HR"/>
              </w:rPr>
              <w:t>1</w:t>
            </w:r>
          </w:p>
        </w:tc>
        <w:tc>
          <w:tcPr>
            <w:tcW w:w="1860" w:type="dxa"/>
            <w:tcMar>
              <w:top w:w="0" w:type="dxa"/>
              <w:bottom w:w="0" w:type="dxa"/>
            </w:tcMar>
            <w:vAlign w:val="center"/>
          </w:tcPr>
          <w:p w:rsidR="00FF43F7" w:rsidRPr="001B572C" w:rsidRDefault="00117A29">
            <w:pPr>
              <w:keepNext/>
              <w:keepLines/>
              <w:spacing w:after="0" w:line="240" w:lineRule="auto"/>
              <w:jc w:val="right"/>
              <w:rPr>
                <w:noProof/>
                <w:lang w:val="hr-HR"/>
              </w:rPr>
            </w:pPr>
            <w:r w:rsidRPr="001B572C">
              <w:rPr>
                <w:noProof/>
                <w:sz w:val="18"/>
                <w:lang w:val="hr-HR"/>
              </w:rPr>
              <w:t>216.388.806,13</w:t>
            </w:r>
          </w:p>
        </w:tc>
        <w:tc>
          <w:tcPr>
            <w:tcW w:w="1860" w:type="dxa"/>
            <w:tcMar>
              <w:top w:w="0" w:type="dxa"/>
              <w:bottom w:w="0" w:type="dxa"/>
            </w:tcMar>
            <w:vAlign w:val="center"/>
          </w:tcPr>
          <w:p w:rsidR="00FF43F7" w:rsidRPr="001B572C" w:rsidRDefault="00117A29">
            <w:pPr>
              <w:keepNext/>
              <w:keepLines/>
              <w:spacing w:after="0" w:line="240" w:lineRule="auto"/>
              <w:jc w:val="right"/>
              <w:rPr>
                <w:noProof/>
                <w:lang w:val="hr-HR"/>
              </w:rPr>
            </w:pPr>
            <w:r w:rsidRPr="001B572C">
              <w:rPr>
                <w:noProof/>
                <w:sz w:val="18"/>
                <w:lang w:val="hr-HR"/>
              </w:rPr>
              <w:t>212.483.337,88</w:t>
            </w:r>
          </w:p>
        </w:tc>
        <w:tc>
          <w:tcPr>
            <w:tcW w:w="700" w:type="dxa"/>
            <w:tcMar>
              <w:top w:w="0" w:type="dxa"/>
              <w:bottom w:w="0" w:type="dxa"/>
            </w:tcMar>
            <w:vAlign w:val="center"/>
          </w:tcPr>
          <w:p w:rsidR="00FF43F7" w:rsidRPr="001B572C" w:rsidRDefault="00117A29">
            <w:pPr>
              <w:keepNext/>
              <w:keepLines/>
              <w:spacing w:after="0" w:line="240" w:lineRule="auto"/>
              <w:jc w:val="right"/>
              <w:rPr>
                <w:noProof/>
                <w:lang w:val="hr-HR"/>
              </w:rPr>
            </w:pPr>
            <w:r w:rsidRPr="001B572C">
              <w:rPr>
                <w:noProof/>
                <w:sz w:val="18"/>
                <w:lang w:val="hr-HR"/>
              </w:rPr>
              <w:t>98,2</w:t>
            </w:r>
          </w:p>
        </w:tc>
      </w:tr>
    </w:tbl>
    <w:p w:rsidR="00FF43F7" w:rsidRPr="001B572C" w:rsidRDefault="00FF43F7">
      <w:pPr>
        <w:spacing w:after="0"/>
        <w:rPr>
          <w:noProof/>
          <w:lang w:val="hr-HR"/>
        </w:rPr>
      </w:pPr>
    </w:p>
    <w:p w:rsidR="00FF43F7" w:rsidRPr="001B572C" w:rsidRDefault="00117A29" w:rsidP="003A68B3">
      <w:pPr>
        <w:jc w:val="both"/>
        <w:rPr>
          <w:noProof/>
          <w:lang w:val="hr-HR"/>
        </w:rPr>
      </w:pPr>
      <w:r w:rsidRPr="001B572C">
        <w:rPr>
          <w:noProof/>
          <w:lang w:val="hr-HR"/>
        </w:rPr>
        <w:t>Financijska imovina konsolidirane grupe u ovom se izvještaju iskazuje nakon propisane eliminacij</w:t>
      </w:r>
      <w:r w:rsidR="003A68B3">
        <w:rPr>
          <w:noProof/>
          <w:lang w:val="hr-HR"/>
        </w:rPr>
        <w:t xml:space="preserve">e međusobnih </w:t>
      </w:r>
      <w:r w:rsidRPr="001B572C">
        <w:rPr>
          <w:noProof/>
          <w:lang w:val="hr-HR"/>
        </w:rPr>
        <w:t xml:space="preserve">potraživanja i obveza između Grada i proračunskih korisnika (računi 16721 i 129 prebijaju se s odgovarajućim obvezama na računima 2741 i 2761). Ukupno je sa računa potraživanja 16721 eliminirano 4.102.645,07 eura, a s računa podskupine 129 iznos 82.310,26 eura). Osim navedenog, eliminirani su i iznosi međusobnih potraživanja i obveza Grada i APOS-a na računima 1373-APOS i 2673-Grad u iznosu od 742.296,35 eura (radi se o robnom zajmu za kupnju dviju stambenih zgrada na POS Rujevica I faza) i na računima 2673-APOS i 1373-Grad u iznosu od 1.170.608,88 eura (radi se o ulaganjima Grada Rijeke u društveno poticanu stanogradnju </w:t>
      </w:r>
      <w:r w:rsidRPr="001B572C">
        <w:rPr>
          <w:noProof/>
          <w:lang w:val="hr-HR"/>
        </w:rPr>
        <w:lastRenderedPageBreak/>
        <w:t>za projekt POS Rujevica II faza, POS Donja Drenova, POS Hostov breg I faza, POS Martinkovac I faza i POS Zamet). Eliminirani su iznosi međusobnih potraživanja kod osnovn</w:t>
      </w:r>
      <w:r w:rsidR="003A68B3">
        <w:rPr>
          <w:noProof/>
          <w:lang w:val="hr-HR"/>
        </w:rPr>
        <w:t>ih</w:t>
      </w:r>
      <w:r w:rsidRPr="001B572C">
        <w:rPr>
          <w:noProof/>
          <w:lang w:val="hr-HR"/>
        </w:rPr>
        <w:t xml:space="preserve"> škol</w:t>
      </w:r>
      <w:r w:rsidR="003A68B3">
        <w:rPr>
          <w:noProof/>
          <w:lang w:val="hr-HR"/>
        </w:rPr>
        <w:t>a</w:t>
      </w:r>
      <w:r w:rsidRPr="001B572C">
        <w:rPr>
          <w:noProof/>
          <w:lang w:val="hr-HR"/>
        </w:rPr>
        <w:t xml:space="preserve"> i Grada u iznosu od 25.124,33 eura, a radi se o neisplaćenim sredstvima prehrane i najma dvorana za 12. mjesec 2025. godine.</w:t>
      </w:r>
    </w:p>
    <w:p w:rsidR="00FF43F7" w:rsidRPr="001B572C" w:rsidRDefault="00117A29" w:rsidP="003A68B3">
      <w:pPr>
        <w:jc w:val="both"/>
        <w:rPr>
          <w:noProof/>
          <w:lang w:val="hr-HR"/>
        </w:rPr>
      </w:pPr>
      <w:r w:rsidRPr="001B572C">
        <w:rPr>
          <w:noProof/>
          <w:lang w:val="hr-HR"/>
        </w:rPr>
        <w:t>Vrijednost financijske imovine konsolidirane grupe prije umanjenja/eliminacija iznosi 218.606.322,77 eura, a nakon umanjenja/eliminacija iznosi 212.483.337,88 eura. Vrijednost financijske</w:t>
      </w:r>
      <w:r w:rsidR="003A68B3">
        <w:rPr>
          <w:noProof/>
          <w:lang w:val="hr-HR"/>
        </w:rPr>
        <w:t xml:space="preserve"> imovine Grada bez eliminacije </w:t>
      </w:r>
      <w:r w:rsidRPr="001B572C">
        <w:rPr>
          <w:noProof/>
          <w:lang w:val="hr-HR"/>
        </w:rPr>
        <w:t>iznosi 202.645.065,63 eura ili 92,7% (umanjeno za iznos računa 129=82.310,26 eura i iznos na računu 1373</w:t>
      </w:r>
      <w:r w:rsidR="003A68B3">
        <w:rPr>
          <w:noProof/>
          <w:lang w:val="hr-HR"/>
        </w:rPr>
        <w:t>=</w:t>
      </w:r>
      <w:r w:rsidRPr="001B572C">
        <w:rPr>
          <w:noProof/>
          <w:lang w:val="hr-HR"/>
        </w:rPr>
        <w:t>1.170.608,88 eura, ukupno umanjeno 1.252.919,14 eura) i iznosi 201.392.146,49 eura. Korisnici participiraju u vr</w:t>
      </w:r>
      <w:r w:rsidR="003A68B3">
        <w:rPr>
          <w:noProof/>
          <w:lang w:val="hr-HR"/>
        </w:rPr>
        <w:t>ijednosti financijske imovine (</w:t>
      </w:r>
      <w:r w:rsidRPr="001B572C">
        <w:rPr>
          <w:noProof/>
          <w:lang w:val="hr-HR"/>
        </w:rPr>
        <w:t xml:space="preserve">s eliminacijom računa 16721=4.102.645,07 eura, </w:t>
      </w:r>
      <w:r w:rsidR="003A68B3">
        <w:rPr>
          <w:noProof/>
          <w:lang w:val="hr-HR"/>
        </w:rPr>
        <w:t xml:space="preserve"> </w:t>
      </w:r>
      <w:r w:rsidRPr="001B572C">
        <w:rPr>
          <w:noProof/>
          <w:lang w:val="hr-HR"/>
        </w:rPr>
        <w:t>računa 1372 APOS u iznosu os 742.296,35 eura, 1652=23.740,33 eur</w:t>
      </w:r>
      <w:r w:rsidR="003A68B3">
        <w:rPr>
          <w:noProof/>
          <w:lang w:val="hr-HR"/>
        </w:rPr>
        <w:t xml:space="preserve">a i 1615=1.384,00 eura) s ukupno </w:t>
      </w:r>
      <w:r w:rsidRPr="001B572C">
        <w:rPr>
          <w:noProof/>
          <w:lang w:val="hr-HR"/>
        </w:rPr>
        <w:t>11.091.191,39 eura ili 7,3% ukupne vrijednosti financijske imovine konsolidirane grupe. U odnosu na stanje 1. siječnja 2025. godine vrijednost ukupne financijske imovine krajem izvještajnog razdoblja je gotovo na istoj razini.</w:t>
      </w:r>
    </w:p>
    <w:p w:rsidR="00FF43F7" w:rsidRPr="001B572C" w:rsidRDefault="00117A29" w:rsidP="003A68B3">
      <w:pPr>
        <w:jc w:val="both"/>
        <w:rPr>
          <w:noProof/>
          <w:lang w:val="hr-HR"/>
        </w:rPr>
      </w:pPr>
      <w:r w:rsidRPr="001B572C">
        <w:rPr>
          <w:noProof/>
          <w:lang w:val="hr-HR"/>
        </w:rPr>
        <w:t>Financijsku imovinu proračunskih korisnika čini: novac u banci i blagajni (11) 2.377.149,56 eura (najveći dio odnosi se na korisnike koji su izuzeti od obveze uplate vlastitih prihoda na račun jedinstvenog računa riznice Grada Rijeke: Psihijatrijska bo</w:t>
      </w:r>
      <w:r w:rsidR="00B537CC">
        <w:rPr>
          <w:noProof/>
          <w:lang w:val="hr-HR"/>
        </w:rPr>
        <w:t>lnica Lopača =2.144.675,69 eura</w:t>
      </w:r>
      <w:r w:rsidRPr="001B572C">
        <w:rPr>
          <w:noProof/>
          <w:lang w:val="hr-HR"/>
        </w:rPr>
        <w:t>, APOS=219.148,54 eur</w:t>
      </w:r>
      <w:r w:rsidR="0098253D">
        <w:rPr>
          <w:noProof/>
          <w:lang w:val="hr-HR"/>
        </w:rPr>
        <w:t xml:space="preserve">a i Dom mladih 12.019,44 eura); </w:t>
      </w:r>
      <w:r w:rsidRPr="001B572C">
        <w:rPr>
          <w:noProof/>
          <w:lang w:val="hr-HR"/>
        </w:rPr>
        <w:t>potraživanja za jamčevne pologe, od zaposlenih te za više plaćene poreze i ostalo (12) 730.887,24 eura; potraživanje za dane zajmove u APOS-u (13) 2.919.536,34 eura; vrijednosni papiri (14) 20.730,27 eura; dionice i udjeli u glavnici (15) 29,33 eura; potraživanja za prihode poslovanja (16) 4.884.068,47 eura; potraživanja od prodaje nefinancijske imovine (17) 35.953,53 eura te rashodi budućih razdoblja i nedospjela naplata prihoda (19) 122.836,65 eura.</w:t>
      </w:r>
    </w:p>
    <w:p w:rsidR="00FF43F7" w:rsidRPr="001B572C" w:rsidRDefault="00FF43F7" w:rsidP="003A68B3">
      <w:pPr>
        <w:jc w:val="both"/>
        <w:rPr>
          <w:noProof/>
          <w:lang w:val="hr-HR"/>
        </w:rPr>
      </w:pPr>
    </w:p>
    <w:p w:rsidR="00FF43F7" w:rsidRPr="001B572C" w:rsidRDefault="00117A29">
      <w:pPr>
        <w:keepNext/>
        <w:spacing w:line="240" w:lineRule="auto"/>
        <w:jc w:val="center"/>
        <w:rPr>
          <w:noProof/>
          <w:lang w:val="hr-HR"/>
        </w:rPr>
      </w:pPr>
      <w:r w:rsidRPr="001B572C">
        <w:rPr>
          <w:noProof/>
          <w:sz w:val="28"/>
          <w:lang w:val="hr-HR"/>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F43F7" w:rsidRPr="001B572C">
        <w:trPr>
          <w:cantSplit/>
        </w:trPr>
        <w:tc>
          <w:tcPr>
            <w:tcW w:w="70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Račun iz rač. plana</w:t>
            </w:r>
          </w:p>
        </w:tc>
        <w:tc>
          <w:tcPr>
            <w:tcW w:w="318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Opis stavke</w:t>
            </w:r>
          </w:p>
        </w:tc>
        <w:tc>
          <w:tcPr>
            <w:tcW w:w="70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Šifra</w:t>
            </w:r>
          </w:p>
        </w:tc>
        <w:tc>
          <w:tcPr>
            <w:tcW w:w="186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Stanje 1. siječnja</w:t>
            </w:r>
          </w:p>
        </w:tc>
        <w:tc>
          <w:tcPr>
            <w:tcW w:w="186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Stanje 31. prosinca</w:t>
            </w:r>
          </w:p>
        </w:tc>
        <w:tc>
          <w:tcPr>
            <w:tcW w:w="70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Indeks (%)</w:t>
            </w:r>
          </w:p>
        </w:tc>
      </w:tr>
      <w:tr w:rsidR="00FF43F7" w:rsidRPr="001B572C">
        <w:trPr>
          <w:cantSplit/>
          <w:trHeight w:val="560"/>
        </w:trPr>
        <w:tc>
          <w:tcPr>
            <w:tcW w:w="700" w:type="dxa"/>
            <w:tcMar>
              <w:top w:w="0" w:type="dxa"/>
              <w:bottom w:w="0" w:type="dxa"/>
            </w:tcMar>
            <w:vAlign w:val="center"/>
          </w:tcPr>
          <w:p w:rsidR="00FF43F7" w:rsidRPr="001B572C" w:rsidRDefault="00117A29">
            <w:pPr>
              <w:keepNext/>
              <w:keepLines/>
              <w:spacing w:after="0" w:line="240" w:lineRule="auto"/>
              <w:rPr>
                <w:noProof/>
                <w:lang w:val="hr-HR"/>
              </w:rPr>
            </w:pPr>
            <w:r w:rsidRPr="001B572C">
              <w:rPr>
                <w:noProof/>
                <w:sz w:val="18"/>
                <w:lang w:val="hr-HR"/>
              </w:rPr>
              <w:t>2</w:t>
            </w:r>
          </w:p>
        </w:tc>
        <w:tc>
          <w:tcPr>
            <w:tcW w:w="3180" w:type="dxa"/>
            <w:tcMar>
              <w:top w:w="0" w:type="dxa"/>
              <w:bottom w:w="0" w:type="dxa"/>
            </w:tcMar>
            <w:vAlign w:val="center"/>
          </w:tcPr>
          <w:p w:rsidR="00FF43F7" w:rsidRPr="001B572C" w:rsidRDefault="00117A29">
            <w:pPr>
              <w:keepNext/>
              <w:keepLines/>
              <w:spacing w:after="0" w:line="240" w:lineRule="auto"/>
              <w:rPr>
                <w:noProof/>
                <w:lang w:val="hr-HR"/>
              </w:rPr>
            </w:pPr>
            <w:r w:rsidRPr="001B572C">
              <w:rPr>
                <w:noProof/>
                <w:sz w:val="18"/>
                <w:lang w:val="hr-HR"/>
              </w:rPr>
              <w:t>Obveze (šifre 23+24+25+26+27+29)</w:t>
            </w:r>
          </w:p>
        </w:tc>
        <w:tc>
          <w:tcPr>
            <w:tcW w:w="700" w:type="dxa"/>
            <w:tcMar>
              <w:top w:w="0" w:type="dxa"/>
              <w:bottom w:w="0" w:type="dxa"/>
            </w:tcMar>
            <w:vAlign w:val="center"/>
          </w:tcPr>
          <w:p w:rsidR="00FF43F7" w:rsidRPr="001B572C" w:rsidRDefault="00117A29">
            <w:pPr>
              <w:keepNext/>
              <w:keepLines/>
              <w:spacing w:after="0" w:line="240" w:lineRule="auto"/>
              <w:rPr>
                <w:noProof/>
                <w:lang w:val="hr-HR"/>
              </w:rPr>
            </w:pPr>
            <w:r w:rsidRPr="001B572C">
              <w:rPr>
                <w:noProof/>
                <w:sz w:val="18"/>
                <w:lang w:val="hr-HR"/>
              </w:rPr>
              <w:t>2</w:t>
            </w:r>
          </w:p>
        </w:tc>
        <w:tc>
          <w:tcPr>
            <w:tcW w:w="1860" w:type="dxa"/>
            <w:tcMar>
              <w:top w:w="0" w:type="dxa"/>
              <w:bottom w:w="0" w:type="dxa"/>
            </w:tcMar>
            <w:vAlign w:val="center"/>
          </w:tcPr>
          <w:p w:rsidR="00FF43F7" w:rsidRPr="001B572C" w:rsidRDefault="00117A29">
            <w:pPr>
              <w:keepNext/>
              <w:keepLines/>
              <w:spacing w:after="0" w:line="240" w:lineRule="auto"/>
              <w:jc w:val="right"/>
              <w:rPr>
                <w:noProof/>
                <w:lang w:val="hr-HR"/>
              </w:rPr>
            </w:pPr>
            <w:r w:rsidRPr="001B572C">
              <w:rPr>
                <w:noProof/>
                <w:sz w:val="18"/>
                <w:lang w:val="hr-HR"/>
              </w:rPr>
              <w:t>70.081.382,12</w:t>
            </w:r>
          </w:p>
        </w:tc>
        <w:tc>
          <w:tcPr>
            <w:tcW w:w="1860" w:type="dxa"/>
            <w:tcMar>
              <w:top w:w="0" w:type="dxa"/>
              <w:bottom w:w="0" w:type="dxa"/>
            </w:tcMar>
            <w:vAlign w:val="center"/>
          </w:tcPr>
          <w:p w:rsidR="00FF43F7" w:rsidRPr="001B572C" w:rsidRDefault="00117A29">
            <w:pPr>
              <w:keepNext/>
              <w:keepLines/>
              <w:spacing w:after="0" w:line="240" w:lineRule="auto"/>
              <w:jc w:val="right"/>
              <w:rPr>
                <w:noProof/>
                <w:lang w:val="hr-HR"/>
              </w:rPr>
            </w:pPr>
            <w:r w:rsidRPr="001B572C">
              <w:rPr>
                <w:noProof/>
                <w:sz w:val="18"/>
                <w:lang w:val="hr-HR"/>
              </w:rPr>
              <w:t>67.606.876,97</w:t>
            </w:r>
          </w:p>
        </w:tc>
        <w:tc>
          <w:tcPr>
            <w:tcW w:w="700" w:type="dxa"/>
            <w:tcMar>
              <w:top w:w="0" w:type="dxa"/>
              <w:bottom w:w="0" w:type="dxa"/>
            </w:tcMar>
            <w:vAlign w:val="center"/>
          </w:tcPr>
          <w:p w:rsidR="00FF43F7" w:rsidRPr="001B572C" w:rsidRDefault="00117A29">
            <w:pPr>
              <w:keepNext/>
              <w:keepLines/>
              <w:spacing w:after="0" w:line="240" w:lineRule="auto"/>
              <w:jc w:val="right"/>
              <w:rPr>
                <w:noProof/>
                <w:lang w:val="hr-HR"/>
              </w:rPr>
            </w:pPr>
            <w:r w:rsidRPr="001B572C">
              <w:rPr>
                <w:noProof/>
                <w:sz w:val="18"/>
                <w:lang w:val="hr-HR"/>
              </w:rPr>
              <w:t>96,5</w:t>
            </w:r>
          </w:p>
        </w:tc>
      </w:tr>
    </w:tbl>
    <w:p w:rsidR="00FF43F7" w:rsidRPr="001B572C" w:rsidRDefault="00FF43F7">
      <w:pPr>
        <w:spacing w:after="0"/>
        <w:rPr>
          <w:noProof/>
          <w:lang w:val="hr-HR"/>
        </w:rPr>
      </w:pPr>
    </w:p>
    <w:p w:rsidR="00FF43F7" w:rsidRPr="001B572C" w:rsidRDefault="00117A29" w:rsidP="00787F3B">
      <w:pPr>
        <w:jc w:val="both"/>
        <w:rPr>
          <w:noProof/>
          <w:lang w:val="hr-HR"/>
        </w:rPr>
      </w:pPr>
      <w:r w:rsidRPr="001B572C">
        <w:rPr>
          <w:noProof/>
          <w:lang w:val="hr-HR"/>
        </w:rPr>
        <w:t>Nakon propisane eliminacije obveza (na računima 2741 =4.102.645,07 eura, 2761 =82.310,26 eura, 2673=1.912.905,23 eura</w:t>
      </w:r>
      <w:r w:rsidR="00787F3B">
        <w:rPr>
          <w:noProof/>
          <w:lang w:val="hr-HR"/>
        </w:rPr>
        <w:t>,</w:t>
      </w:r>
      <w:r w:rsidR="00830B1A">
        <w:rPr>
          <w:noProof/>
          <w:lang w:val="hr-HR"/>
        </w:rPr>
        <w:t xml:space="preserve"> </w:t>
      </w:r>
      <w:r w:rsidRPr="001B572C">
        <w:rPr>
          <w:noProof/>
          <w:lang w:val="hr-HR"/>
        </w:rPr>
        <w:t>2372=23.740,33 eura i 2323=1.384,00 eura</w:t>
      </w:r>
      <w:r w:rsidR="00830B1A">
        <w:rPr>
          <w:noProof/>
          <w:lang w:val="hr-HR"/>
        </w:rPr>
        <w:t>,</w:t>
      </w:r>
      <w:r w:rsidR="00344B18">
        <w:rPr>
          <w:noProof/>
          <w:lang w:val="hr-HR"/>
        </w:rPr>
        <w:t xml:space="preserve"> </w:t>
      </w:r>
      <w:r w:rsidRPr="001B572C">
        <w:rPr>
          <w:noProof/>
          <w:lang w:val="hr-HR"/>
        </w:rPr>
        <w:t>sveukupno 6.122.984,89 eura), iskazuje se podatak o stanju obveza konsolidirane grupe:</w:t>
      </w:r>
    </w:p>
    <w:p w:rsidR="00FF43F7" w:rsidRPr="001B572C" w:rsidRDefault="00787F3B" w:rsidP="00787F3B">
      <w:pPr>
        <w:jc w:val="both"/>
        <w:rPr>
          <w:noProof/>
          <w:lang w:val="hr-HR"/>
        </w:rPr>
      </w:pPr>
      <w:r>
        <w:rPr>
          <w:noProof/>
          <w:lang w:val="hr-HR"/>
        </w:rPr>
        <w:t>S</w:t>
      </w:r>
      <w:r w:rsidR="00117A29" w:rsidRPr="001B572C">
        <w:rPr>
          <w:noProof/>
          <w:lang w:val="hr-HR"/>
        </w:rPr>
        <w:t>tanje ukupnih obveza u bilanci iznosi 67.606.876,97 eura i u odnosu na prethodn</w:t>
      </w:r>
      <w:r>
        <w:rPr>
          <w:noProof/>
          <w:lang w:val="hr-HR"/>
        </w:rPr>
        <w:t>u</w:t>
      </w:r>
      <w:r w:rsidR="00117A29" w:rsidRPr="001B572C">
        <w:rPr>
          <w:noProof/>
          <w:lang w:val="hr-HR"/>
        </w:rPr>
        <w:t xml:space="preserve"> godin</w:t>
      </w:r>
      <w:r>
        <w:rPr>
          <w:noProof/>
          <w:lang w:val="hr-HR"/>
        </w:rPr>
        <w:t>u manje</w:t>
      </w:r>
      <w:r w:rsidR="00344B18">
        <w:rPr>
          <w:noProof/>
          <w:lang w:val="hr-HR"/>
        </w:rPr>
        <w:t xml:space="preserve"> je</w:t>
      </w:r>
      <w:r>
        <w:rPr>
          <w:noProof/>
          <w:lang w:val="hr-HR"/>
        </w:rPr>
        <w:t xml:space="preserve"> </w:t>
      </w:r>
      <w:r w:rsidR="00117A29" w:rsidRPr="001B572C">
        <w:rPr>
          <w:noProof/>
          <w:lang w:val="hr-HR"/>
        </w:rPr>
        <w:t>za 2.474.505,15 eura ili 3,5%. Ukupne obveze Grada, nakon eliminacije unutargrupnih transakcija, iznose 49.947.551,24 eura ili 73,9%. Ukupne obveze korisnika iznose 17.659.325,73 eura ili preostalih 26,1%. </w:t>
      </w:r>
    </w:p>
    <w:p w:rsidR="00FF43F7" w:rsidRPr="001B572C" w:rsidRDefault="00117A29" w:rsidP="00787F3B">
      <w:pPr>
        <w:jc w:val="both"/>
        <w:rPr>
          <w:noProof/>
          <w:lang w:val="hr-HR"/>
        </w:rPr>
      </w:pPr>
      <w:r w:rsidRPr="001B572C">
        <w:rPr>
          <w:noProof/>
          <w:lang w:val="hr-HR"/>
        </w:rPr>
        <w:t>Usporedbom stanja obveza u obrascu Bilanca (67.606.876,97 eura ) i u obrascu Obveze (67.446.258,97 eura) vidljiva je razlika od 160.61</w:t>
      </w:r>
      <w:r w:rsidR="00344B18">
        <w:rPr>
          <w:noProof/>
          <w:lang w:val="hr-HR"/>
        </w:rPr>
        <w:t>8,00 eura (Grad 157.276,27 eura</w:t>
      </w:r>
      <w:r w:rsidRPr="001B572C">
        <w:rPr>
          <w:noProof/>
          <w:lang w:val="hr-HR"/>
        </w:rPr>
        <w:t xml:space="preserve">, ustanove </w:t>
      </w:r>
      <w:r w:rsidRPr="001B572C">
        <w:rPr>
          <w:noProof/>
          <w:lang w:val="hr-HR"/>
        </w:rPr>
        <w:lastRenderedPageBreak/>
        <w:t>kulture 3.078,57 eura i APOS 263,16 eura) za iznos stanja na računu 29 – odgođeno plaćanje rashoda i prihodi budućih razdoblja koji se, u skladu s propisima iskazuje u obrascu Bilanca dok se u obrascu Obveze se ne iskazuje. </w:t>
      </w:r>
    </w:p>
    <w:p w:rsidR="00FF43F7" w:rsidRPr="001B572C" w:rsidRDefault="00117A29" w:rsidP="00787F3B">
      <w:pPr>
        <w:jc w:val="both"/>
        <w:rPr>
          <w:noProof/>
          <w:lang w:val="hr-HR"/>
        </w:rPr>
      </w:pPr>
      <w:r w:rsidRPr="001B572C">
        <w:rPr>
          <w:noProof/>
          <w:lang w:val="hr-HR"/>
        </w:rPr>
        <w:t>Stanje obveza kod korisnika evidentirano je po sljedećim vrstama rashoda i izdataka: obveze za rashode poslovanja 9.133.164,98 eura (23), obveze za nabavu nefinancijske imovine 269.282,75 eura (24), obveze za kredite i zajmove 4.570.247,95 eura (26), obveze za predujmove, depozite, jamčevne pologe i tuđe prihode 3.683.288,32 (27) te odgođeno priznavanje rashoda i prihoda budućih razdoblja 3.341,73 eura (29).</w:t>
      </w:r>
    </w:p>
    <w:p w:rsidR="00FF43F7" w:rsidRPr="001B572C" w:rsidRDefault="00FF43F7">
      <w:pPr>
        <w:rPr>
          <w:noProof/>
          <w:lang w:val="hr-HR"/>
        </w:rPr>
      </w:pPr>
    </w:p>
    <w:p w:rsidR="00FF43F7" w:rsidRPr="001B572C" w:rsidRDefault="00117A29">
      <w:pPr>
        <w:keepNext/>
        <w:spacing w:line="240" w:lineRule="auto"/>
        <w:jc w:val="center"/>
        <w:rPr>
          <w:noProof/>
          <w:lang w:val="hr-HR"/>
        </w:rPr>
      </w:pPr>
      <w:r w:rsidRPr="001B572C">
        <w:rPr>
          <w:noProof/>
          <w:sz w:val="28"/>
          <w:lang w:val="hr-HR"/>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F43F7" w:rsidRPr="001B572C">
        <w:trPr>
          <w:cantSplit/>
        </w:trPr>
        <w:tc>
          <w:tcPr>
            <w:tcW w:w="70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Račun iz rač. plana</w:t>
            </w:r>
          </w:p>
        </w:tc>
        <w:tc>
          <w:tcPr>
            <w:tcW w:w="318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Opis stavke</w:t>
            </w:r>
          </w:p>
        </w:tc>
        <w:tc>
          <w:tcPr>
            <w:tcW w:w="70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Šifra</w:t>
            </w:r>
          </w:p>
        </w:tc>
        <w:tc>
          <w:tcPr>
            <w:tcW w:w="186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Stanje 1. siječnja</w:t>
            </w:r>
          </w:p>
        </w:tc>
        <w:tc>
          <w:tcPr>
            <w:tcW w:w="186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Stanje 31. prosinca</w:t>
            </w:r>
          </w:p>
        </w:tc>
        <w:tc>
          <w:tcPr>
            <w:tcW w:w="70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Indeks (%)</w:t>
            </w:r>
          </w:p>
        </w:tc>
      </w:tr>
      <w:tr w:rsidR="00FF43F7" w:rsidRPr="001B572C">
        <w:trPr>
          <w:cantSplit/>
          <w:trHeight w:val="560"/>
        </w:trPr>
        <w:tc>
          <w:tcPr>
            <w:tcW w:w="700" w:type="dxa"/>
            <w:tcMar>
              <w:top w:w="0" w:type="dxa"/>
              <w:bottom w:w="0" w:type="dxa"/>
            </w:tcMar>
            <w:vAlign w:val="center"/>
          </w:tcPr>
          <w:p w:rsidR="00FF43F7" w:rsidRPr="001B572C" w:rsidRDefault="00117A29">
            <w:pPr>
              <w:keepNext/>
              <w:keepLines/>
              <w:spacing w:after="0" w:line="240" w:lineRule="auto"/>
              <w:rPr>
                <w:noProof/>
                <w:lang w:val="hr-HR"/>
              </w:rPr>
            </w:pPr>
            <w:r w:rsidRPr="001B572C">
              <w:rPr>
                <w:noProof/>
                <w:sz w:val="18"/>
                <w:lang w:val="hr-HR"/>
              </w:rPr>
              <w:t>922</w:t>
            </w:r>
          </w:p>
        </w:tc>
        <w:tc>
          <w:tcPr>
            <w:tcW w:w="3180" w:type="dxa"/>
            <w:tcMar>
              <w:top w:w="0" w:type="dxa"/>
              <w:bottom w:w="0" w:type="dxa"/>
            </w:tcMar>
            <w:vAlign w:val="center"/>
          </w:tcPr>
          <w:p w:rsidR="00FF43F7" w:rsidRPr="001B572C" w:rsidRDefault="00117A29">
            <w:pPr>
              <w:keepNext/>
              <w:keepLines/>
              <w:spacing w:after="0" w:line="240" w:lineRule="auto"/>
              <w:rPr>
                <w:noProof/>
                <w:lang w:val="hr-HR"/>
              </w:rPr>
            </w:pPr>
            <w:r w:rsidRPr="001B572C">
              <w:rPr>
                <w:noProof/>
                <w:sz w:val="18"/>
                <w:lang w:val="hr-HR"/>
              </w:rPr>
              <w:t>Rezultat - višak/manjak (šifre 9221-9222)</w:t>
            </w:r>
          </w:p>
        </w:tc>
        <w:tc>
          <w:tcPr>
            <w:tcW w:w="700" w:type="dxa"/>
            <w:tcMar>
              <w:top w:w="0" w:type="dxa"/>
              <w:bottom w:w="0" w:type="dxa"/>
            </w:tcMar>
            <w:vAlign w:val="center"/>
          </w:tcPr>
          <w:p w:rsidR="00FF43F7" w:rsidRPr="001B572C" w:rsidRDefault="00117A29">
            <w:pPr>
              <w:keepNext/>
              <w:keepLines/>
              <w:spacing w:after="0" w:line="240" w:lineRule="auto"/>
              <w:rPr>
                <w:noProof/>
                <w:lang w:val="hr-HR"/>
              </w:rPr>
            </w:pPr>
            <w:r w:rsidRPr="001B572C">
              <w:rPr>
                <w:noProof/>
                <w:sz w:val="18"/>
                <w:lang w:val="hr-HR"/>
              </w:rPr>
              <w:t>922</w:t>
            </w:r>
          </w:p>
        </w:tc>
        <w:tc>
          <w:tcPr>
            <w:tcW w:w="1860" w:type="dxa"/>
            <w:tcMar>
              <w:top w:w="0" w:type="dxa"/>
              <w:bottom w:w="0" w:type="dxa"/>
            </w:tcMar>
            <w:vAlign w:val="center"/>
          </w:tcPr>
          <w:p w:rsidR="00FF43F7" w:rsidRPr="001B572C" w:rsidRDefault="00117A29">
            <w:pPr>
              <w:keepNext/>
              <w:keepLines/>
              <w:spacing w:after="0" w:line="240" w:lineRule="auto"/>
              <w:jc w:val="right"/>
              <w:rPr>
                <w:noProof/>
                <w:lang w:val="hr-HR"/>
              </w:rPr>
            </w:pPr>
            <w:r w:rsidRPr="001B572C">
              <w:rPr>
                <w:noProof/>
                <w:sz w:val="18"/>
                <w:lang w:val="hr-HR"/>
              </w:rPr>
              <w:t>25.259.484,31</w:t>
            </w:r>
          </w:p>
        </w:tc>
        <w:tc>
          <w:tcPr>
            <w:tcW w:w="1860" w:type="dxa"/>
            <w:tcMar>
              <w:top w:w="0" w:type="dxa"/>
              <w:bottom w:w="0" w:type="dxa"/>
            </w:tcMar>
            <w:vAlign w:val="center"/>
          </w:tcPr>
          <w:p w:rsidR="00FF43F7" w:rsidRPr="001B572C" w:rsidRDefault="00117A29">
            <w:pPr>
              <w:keepNext/>
              <w:keepLines/>
              <w:spacing w:after="0" w:line="240" w:lineRule="auto"/>
              <w:jc w:val="right"/>
              <w:rPr>
                <w:noProof/>
                <w:lang w:val="hr-HR"/>
              </w:rPr>
            </w:pPr>
            <w:r w:rsidRPr="001B572C">
              <w:rPr>
                <w:noProof/>
                <w:sz w:val="18"/>
                <w:lang w:val="hr-HR"/>
              </w:rPr>
              <w:t>16.556.581,48</w:t>
            </w:r>
          </w:p>
        </w:tc>
        <w:tc>
          <w:tcPr>
            <w:tcW w:w="700" w:type="dxa"/>
            <w:tcMar>
              <w:top w:w="0" w:type="dxa"/>
              <w:bottom w:w="0" w:type="dxa"/>
            </w:tcMar>
            <w:vAlign w:val="center"/>
          </w:tcPr>
          <w:p w:rsidR="00FF43F7" w:rsidRPr="001B572C" w:rsidRDefault="00117A29">
            <w:pPr>
              <w:keepNext/>
              <w:keepLines/>
              <w:spacing w:after="0" w:line="240" w:lineRule="auto"/>
              <w:jc w:val="right"/>
              <w:rPr>
                <w:noProof/>
                <w:lang w:val="hr-HR"/>
              </w:rPr>
            </w:pPr>
            <w:r w:rsidRPr="001B572C">
              <w:rPr>
                <w:noProof/>
                <w:sz w:val="18"/>
                <w:lang w:val="hr-HR"/>
              </w:rPr>
              <w:t>65,5</w:t>
            </w:r>
          </w:p>
        </w:tc>
      </w:tr>
    </w:tbl>
    <w:p w:rsidR="00FF43F7" w:rsidRPr="001B572C" w:rsidRDefault="00FF43F7">
      <w:pPr>
        <w:spacing w:after="0"/>
        <w:rPr>
          <w:noProof/>
          <w:lang w:val="hr-HR"/>
        </w:rPr>
      </w:pPr>
    </w:p>
    <w:p w:rsidR="00FF43F7" w:rsidRPr="001B572C" w:rsidRDefault="00117A29" w:rsidP="00566D56">
      <w:pPr>
        <w:jc w:val="both"/>
        <w:rPr>
          <w:noProof/>
          <w:lang w:val="hr-HR"/>
        </w:rPr>
      </w:pPr>
      <w:r w:rsidRPr="001B572C">
        <w:rPr>
          <w:noProof/>
          <w:lang w:val="hr-HR"/>
        </w:rPr>
        <w:t>Konsolidirani višak prihoda i primitaka raspoloživ u sljedećem razdoblju iznosi 16.556.581,48 eura. </w:t>
      </w:r>
      <w:r w:rsidR="004D2E6D" w:rsidRPr="001B572C">
        <w:rPr>
          <w:noProof/>
          <w:lang w:val="hr-HR"/>
        </w:rPr>
        <w:t xml:space="preserve">Više o strukturi </w:t>
      </w:r>
      <w:r w:rsidR="00566D56">
        <w:rPr>
          <w:noProof/>
          <w:lang w:val="hr-HR"/>
        </w:rPr>
        <w:t xml:space="preserve">financijskog </w:t>
      </w:r>
      <w:r w:rsidR="004D2E6D" w:rsidRPr="001B572C">
        <w:rPr>
          <w:noProof/>
          <w:lang w:val="hr-HR"/>
        </w:rPr>
        <w:t>rezultata</w:t>
      </w:r>
      <w:r w:rsidR="00566D56">
        <w:rPr>
          <w:noProof/>
          <w:lang w:val="hr-HR"/>
        </w:rPr>
        <w:t xml:space="preserve"> </w:t>
      </w:r>
      <w:r w:rsidR="004D2E6D" w:rsidRPr="001B572C">
        <w:rPr>
          <w:noProof/>
          <w:lang w:val="hr-HR"/>
        </w:rPr>
        <w:t xml:space="preserve">pod Bilješkom broj </w:t>
      </w:r>
      <w:r w:rsidR="00566D56">
        <w:rPr>
          <w:noProof/>
          <w:lang w:val="hr-HR"/>
        </w:rPr>
        <w:t>25.</w:t>
      </w:r>
    </w:p>
    <w:p w:rsidR="008731CC" w:rsidRDefault="008731CC" w:rsidP="00566D56">
      <w:pPr>
        <w:spacing w:after="0" w:line="240" w:lineRule="auto"/>
        <w:jc w:val="both"/>
        <w:rPr>
          <w:rFonts w:ascii="Calibri" w:hAnsi="Calibri" w:cs="Calibri"/>
          <w:b/>
          <w:bCs/>
          <w:noProof/>
          <w:color w:val="000000"/>
          <w:sz w:val="22"/>
          <w:szCs w:val="22"/>
          <w:lang w:val="hr-HR" w:eastAsia="hr-HR"/>
        </w:rPr>
      </w:pPr>
      <w:r w:rsidRPr="001B572C">
        <w:rPr>
          <w:noProof/>
          <w:lang w:val="hr-HR"/>
        </w:rPr>
        <w:t xml:space="preserve">Dio konsolidiranog iznosa viška prihoda i primitaka u iznosu od </w:t>
      </w:r>
      <w:r w:rsidRPr="001B572C">
        <w:rPr>
          <w:bCs/>
          <w:noProof/>
          <w:color w:val="000000"/>
          <w:szCs w:val="24"/>
          <w:lang w:val="hr-HR" w:eastAsia="hr-HR"/>
        </w:rPr>
        <w:t xml:space="preserve">13.855.055 eura </w:t>
      </w:r>
      <w:r w:rsidRPr="001B572C">
        <w:rPr>
          <w:noProof/>
          <w:szCs w:val="24"/>
          <w:lang w:val="hr-HR"/>
        </w:rPr>
        <w:t>planiran</w:t>
      </w:r>
      <w:r w:rsidRPr="001B572C">
        <w:rPr>
          <w:noProof/>
          <w:lang w:val="hr-HR"/>
        </w:rPr>
        <w:t xml:space="preserve"> je za korištenje u Proračunu Grada Rijeke za 2026. godinu.</w:t>
      </w:r>
    </w:p>
    <w:p w:rsidR="00566D56" w:rsidRPr="00566D56" w:rsidRDefault="00566D56" w:rsidP="00566D56">
      <w:pPr>
        <w:spacing w:after="0" w:line="240" w:lineRule="auto"/>
        <w:jc w:val="both"/>
        <w:rPr>
          <w:rFonts w:ascii="Calibri" w:hAnsi="Calibri" w:cs="Calibri"/>
          <w:b/>
          <w:bCs/>
          <w:noProof/>
          <w:color w:val="000000"/>
          <w:sz w:val="22"/>
          <w:szCs w:val="22"/>
          <w:lang w:val="hr-HR" w:eastAsia="hr-HR"/>
        </w:rPr>
      </w:pPr>
    </w:p>
    <w:p w:rsidR="00763364" w:rsidRPr="001B572C" w:rsidRDefault="00763364" w:rsidP="00566D56">
      <w:pPr>
        <w:jc w:val="both"/>
        <w:rPr>
          <w:noProof/>
          <w:lang w:val="hr-HR"/>
        </w:rPr>
      </w:pPr>
      <w:r w:rsidRPr="001B572C">
        <w:rPr>
          <w:noProof/>
          <w:lang w:val="hr-HR"/>
        </w:rPr>
        <w:t>Pregled strukture viška/manjka, dospjelih obveza i stanja novčanih sre</w:t>
      </w:r>
      <w:r w:rsidR="00566D56">
        <w:rPr>
          <w:noProof/>
          <w:lang w:val="hr-HR"/>
        </w:rPr>
        <w:t>d</w:t>
      </w:r>
      <w:r w:rsidRPr="001B572C">
        <w:rPr>
          <w:noProof/>
          <w:lang w:val="hr-HR"/>
        </w:rPr>
        <w:t xml:space="preserve">stava po proračunskim korisnicima na 31.12.2025. iskazan je u </w:t>
      </w:r>
      <w:r w:rsidR="00B15B20" w:rsidRPr="001B572C">
        <w:rPr>
          <w:noProof/>
          <w:lang w:val="hr-HR"/>
        </w:rPr>
        <w:t>t</w:t>
      </w:r>
      <w:r w:rsidRPr="001B572C">
        <w:rPr>
          <w:noProof/>
          <w:lang w:val="hr-HR"/>
        </w:rPr>
        <w:t xml:space="preserve">ablici u </w:t>
      </w:r>
      <w:r w:rsidR="00B15B20" w:rsidRPr="001B572C">
        <w:rPr>
          <w:noProof/>
          <w:lang w:val="hr-HR"/>
        </w:rPr>
        <w:t>P</w:t>
      </w:r>
      <w:r w:rsidRPr="001B572C">
        <w:rPr>
          <w:noProof/>
          <w:lang w:val="hr-HR"/>
        </w:rPr>
        <w:t xml:space="preserve">rilogu ovih Bilješki.  </w:t>
      </w:r>
    </w:p>
    <w:p w:rsidR="00763364" w:rsidRPr="001B572C" w:rsidRDefault="00117A29" w:rsidP="00566D56">
      <w:pPr>
        <w:jc w:val="both"/>
        <w:rPr>
          <w:noProof/>
          <w:lang w:val="hr-HR"/>
        </w:rPr>
      </w:pPr>
      <w:r w:rsidRPr="001B572C">
        <w:rPr>
          <w:noProof/>
          <w:lang w:val="hr-HR"/>
        </w:rPr>
        <w:t>  </w:t>
      </w:r>
    </w:p>
    <w:p w:rsidR="00FF43F7" w:rsidRPr="001B572C" w:rsidRDefault="00117A29">
      <w:pPr>
        <w:rPr>
          <w:noProof/>
          <w:lang w:val="hr-HR"/>
        </w:rPr>
      </w:pPr>
      <w:r w:rsidRPr="001B572C">
        <w:rPr>
          <w:noProof/>
          <w:lang w:val="hr-HR"/>
        </w:rPr>
        <w:t> </w:t>
      </w:r>
    </w:p>
    <w:p w:rsidR="00FF43F7" w:rsidRPr="001B572C" w:rsidRDefault="00117A29">
      <w:pPr>
        <w:keepNext/>
        <w:spacing w:line="240" w:lineRule="auto"/>
        <w:jc w:val="center"/>
        <w:rPr>
          <w:noProof/>
          <w:lang w:val="hr-HR"/>
        </w:rPr>
      </w:pPr>
      <w:r w:rsidRPr="001B572C">
        <w:rPr>
          <w:b/>
          <w:noProof/>
          <w:sz w:val="28"/>
          <w:lang w:val="hr-HR"/>
        </w:rPr>
        <w:t>Promjene u vrijednosti i obujmu imovine i obveza</w:t>
      </w:r>
    </w:p>
    <w:p w:rsidR="00FF43F7" w:rsidRPr="001B572C" w:rsidRDefault="00117A29">
      <w:pPr>
        <w:keepNext/>
        <w:spacing w:line="240" w:lineRule="auto"/>
        <w:jc w:val="center"/>
        <w:rPr>
          <w:noProof/>
          <w:lang w:val="hr-HR"/>
        </w:rPr>
      </w:pPr>
      <w:r w:rsidRPr="001B572C">
        <w:rPr>
          <w:noProof/>
          <w:sz w:val="28"/>
          <w:lang w:val="hr-HR"/>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F43F7" w:rsidRPr="001B572C">
        <w:trPr>
          <w:cantSplit/>
        </w:trPr>
        <w:tc>
          <w:tcPr>
            <w:tcW w:w="70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Račun iz rač. plana</w:t>
            </w:r>
          </w:p>
        </w:tc>
        <w:tc>
          <w:tcPr>
            <w:tcW w:w="318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Opis stavke</w:t>
            </w:r>
          </w:p>
        </w:tc>
        <w:tc>
          <w:tcPr>
            <w:tcW w:w="70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Šifra</w:t>
            </w:r>
          </w:p>
        </w:tc>
        <w:tc>
          <w:tcPr>
            <w:tcW w:w="186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Iznos povećanja</w:t>
            </w:r>
          </w:p>
        </w:tc>
        <w:tc>
          <w:tcPr>
            <w:tcW w:w="186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Iznos smanjenja</w:t>
            </w:r>
          </w:p>
        </w:tc>
        <w:tc>
          <w:tcPr>
            <w:tcW w:w="70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Indeks (%)</w:t>
            </w:r>
          </w:p>
        </w:tc>
      </w:tr>
      <w:tr w:rsidR="00FF43F7" w:rsidRPr="001B572C">
        <w:trPr>
          <w:cantSplit/>
          <w:trHeight w:val="560"/>
        </w:trPr>
        <w:tc>
          <w:tcPr>
            <w:tcW w:w="700" w:type="dxa"/>
            <w:tcMar>
              <w:top w:w="0" w:type="dxa"/>
              <w:bottom w:w="0" w:type="dxa"/>
            </w:tcMar>
            <w:vAlign w:val="center"/>
          </w:tcPr>
          <w:p w:rsidR="00FF43F7" w:rsidRPr="001B572C" w:rsidRDefault="00117A29">
            <w:pPr>
              <w:keepNext/>
              <w:keepLines/>
              <w:spacing w:after="0" w:line="240" w:lineRule="auto"/>
              <w:rPr>
                <w:noProof/>
                <w:lang w:val="hr-HR"/>
              </w:rPr>
            </w:pPr>
            <w:r w:rsidRPr="001B572C">
              <w:rPr>
                <w:noProof/>
                <w:sz w:val="18"/>
                <w:lang w:val="hr-HR"/>
              </w:rPr>
              <w:t>9151</w:t>
            </w:r>
          </w:p>
        </w:tc>
        <w:tc>
          <w:tcPr>
            <w:tcW w:w="3180" w:type="dxa"/>
            <w:tcMar>
              <w:top w:w="0" w:type="dxa"/>
              <w:bottom w:w="0" w:type="dxa"/>
            </w:tcMar>
            <w:vAlign w:val="center"/>
          </w:tcPr>
          <w:p w:rsidR="00FF43F7" w:rsidRPr="001B572C" w:rsidRDefault="00117A29">
            <w:pPr>
              <w:keepNext/>
              <w:keepLines/>
              <w:spacing w:after="0" w:line="240" w:lineRule="auto"/>
              <w:rPr>
                <w:noProof/>
                <w:lang w:val="hr-HR"/>
              </w:rPr>
            </w:pPr>
            <w:r w:rsidRPr="001B572C">
              <w:rPr>
                <w:noProof/>
                <w:sz w:val="18"/>
                <w:lang w:val="hr-HR"/>
              </w:rPr>
              <w:t>Promjene u vrijednosti i obujmu imovine (šifre 91511+91512)</w:t>
            </w:r>
          </w:p>
        </w:tc>
        <w:tc>
          <w:tcPr>
            <w:tcW w:w="700" w:type="dxa"/>
            <w:tcMar>
              <w:top w:w="0" w:type="dxa"/>
              <w:bottom w:w="0" w:type="dxa"/>
            </w:tcMar>
            <w:vAlign w:val="center"/>
          </w:tcPr>
          <w:p w:rsidR="00FF43F7" w:rsidRPr="001B572C" w:rsidRDefault="00117A29">
            <w:pPr>
              <w:keepNext/>
              <w:keepLines/>
              <w:spacing w:after="0" w:line="240" w:lineRule="auto"/>
              <w:rPr>
                <w:noProof/>
                <w:lang w:val="hr-HR"/>
              </w:rPr>
            </w:pPr>
            <w:r w:rsidRPr="001B572C">
              <w:rPr>
                <w:noProof/>
                <w:sz w:val="18"/>
                <w:lang w:val="hr-HR"/>
              </w:rPr>
              <w:t>9151</w:t>
            </w:r>
          </w:p>
        </w:tc>
        <w:tc>
          <w:tcPr>
            <w:tcW w:w="1860" w:type="dxa"/>
            <w:tcMar>
              <w:top w:w="0" w:type="dxa"/>
              <w:bottom w:w="0" w:type="dxa"/>
            </w:tcMar>
            <w:vAlign w:val="center"/>
          </w:tcPr>
          <w:p w:rsidR="00FF43F7" w:rsidRPr="001B572C" w:rsidRDefault="00117A29">
            <w:pPr>
              <w:keepNext/>
              <w:keepLines/>
              <w:spacing w:after="0" w:line="240" w:lineRule="auto"/>
              <w:jc w:val="right"/>
              <w:rPr>
                <w:noProof/>
                <w:lang w:val="hr-HR"/>
              </w:rPr>
            </w:pPr>
            <w:r w:rsidRPr="001B572C">
              <w:rPr>
                <w:noProof/>
                <w:sz w:val="18"/>
                <w:lang w:val="hr-HR"/>
              </w:rPr>
              <w:t>10.367.389,20</w:t>
            </w:r>
          </w:p>
        </w:tc>
        <w:tc>
          <w:tcPr>
            <w:tcW w:w="1860" w:type="dxa"/>
            <w:tcMar>
              <w:top w:w="0" w:type="dxa"/>
              <w:bottom w:w="0" w:type="dxa"/>
            </w:tcMar>
            <w:vAlign w:val="center"/>
          </w:tcPr>
          <w:p w:rsidR="00FF43F7" w:rsidRPr="001B572C" w:rsidRDefault="00117A29">
            <w:pPr>
              <w:keepNext/>
              <w:keepLines/>
              <w:spacing w:after="0" w:line="240" w:lineRule="auto"/>
              <w:jc w:val="right"/>
              <w:rPr>
                <w:noProof/>
                <w:lang w:val="hr-HR"/>
              </w:rPr>
            </w:pPr>
            <w:r w:rsidRPr="001B572C">
              <w:rPr>
                <w:noProof/>
                <w:sz w:val="18"/>
                <w:lang w:val="hr-HR"/>
              </w:rPr>
              <w:t>15.153.441,71</w:t>
            </w:r>
          </w:p>
        </w:tc>
        <w:tc>
          <w:tcPr>
            <w:tcW w:w="700" w:type="dxa"/>
            <w:tcMar>
              <w:top w:w="0" w:type="dxa"/>
              <w:bottom w:w="0" w:type="dxa"/>
            </w:tcMar>
            <w:vAlign w:val="center"/>
          </w:tcPr>
          <w:p w:rsidR="00FF43F7" w:rsidRPr="001B572C" w:rsidRDefault="00117A29">
            <w:pPr>
              <w:keepNext/>
              <w:keepLines/>
              <w:spacing w:after="0" w:line="240" w:lineRule="auto"/>
              <w:jc w:val="right"/>
              <w:rPr>
                <w:noProof/>
                <w:lang w:val="hr-HR"/>
              </w:rPr>
            </w:pPr>
            <w:r w:rsidRPr="001B572C">
              <w:rPr>
                <w:noProof/>
                <w:sz w:val="18"/>
                <w:lang w:val="hr-HR"/>
              </w:rPr>
              <w:t>146,2</w:t>
            </w:r>
          </w:p>
        </w:tc>
      </w:tr>
    </w:tbl>
    <w:p w:rsidR="00FF43F7" w:rsidRPr="001B572C" w:rsidRDefault="00FF43F7">
      <w:pPr>
        <w:rPr>
          <w:noProof/>
          <w:lang w:val="hr-HR"/>
        </w:rPr>
      </w:pPr>
    </w:p>
    <w:p w:rsidR="009C41D3" w:rsidRPr="001B572C" w:rsidRDefault="009C41D3" w:rsidP="00315035">
      <w:pPr>
        <w:jc w:val="both"/>
        <w:rPr>
          <w:noProof/>
          <w:lang w:val="hr-HR"/>
        </w:rPr>
      </w:pPr>
      <w:r w:rsidRPr="001B572C">
        <w:rPr>
          <w:noProof/>
          <w:lang w:val="hr-HR"/>
        </w:rPr>
        <w:t xml:space="preserve">U obrascu P-VRIO iskazane su promjene u vrijednosti i obujmu imovine i obveza koje nisu rezultat financijskih aktivnosti, odnosno transakcija (nisu posljedica prihoda, rashoda niti novčanog tijeka). </w:t>
      </w:r>
    </w:p>
    <w:p w:rsidR="00FF43F7" w:rsidRPr="001B572C" w:rsidRDefault="00117A29">
      <w:pPr>
        <w:keepNext/>
        <w:spacing w:line="240" w:lineRule="auto"/>
        <w:jc w:val="center"/>
        <w:rPr>
          <w:noProof/>
          <w:lang w:val="hr-HR"/>
        </w:rPr>
      </w:pPr>
      <w:r w:rsidRPr="001B572C">
        <w:rPr>
          <w:noProof/>
          <w:sz w:val="28"/>
          <w:lang w:val="hr-HR"/>
        </w:rPr>
        <w:lastRenderedPageBreak/>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F43F7" w:rsidRPr="001B572C">
        <w:trPr>
          <w:cantSplit/>
        </w:trPr>
        <w:tc>
          <w:tcPr>
            <w:tcW w:w="70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Račun iz rač. plana</w:t>
            </w:r>
          </w:p>
        </w:tc>
        <w:tc>
          <w:tcPr>
            <w:tcW w:w="318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Opis stavke</w:t>
            </w:r>
          </w:p>
        </w:tc>
        <w:tc>
          <w:tcPr>
            <w:tcW w:w="70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Šifra</w:t>
            </w:r>
          </w:p>
        </w:tc>
        <w:tc>
          <w:tcPr>
            <w:tcW w:w="186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Iznos povećanja</w:t>
            </w:r>
          </w:p>
        </w:tc>
        <w:tc>
          <w:tcPr>
            <w:tcW w:w="186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Iznos smanjenja</w:t>
            </w:r>
          </w:p>
        </w:tc>
        <w:tc>
          <w:tcPr>
            <w:tcW w:w="70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Indeks (%)</w:t>
            </w:r>
          </w:p>
        </w:tc>
      </w:tr>
      <w:tr w:rsidR="00FF43F7" w:rsidRPr="001B572C">
        <w:trPr>
          <w:cantSplit/>
          <w:trHeight w:val="560"/>
        </w:trPr>
        <w:tc>
          <w:tcPr>
            <w:tcW w:w="700" w:type="dxa"/>
            <w:tcMar>
              <w:top w:w="0" w:type="dxa"/>
              <w:bottom w:w="0" w:type="dxa"/>
            </w:tcMar>
            <w:vAlign w:val="center"/>
          </w:tcPr>
          <w:p w:rsidR="00FF43F7" w:rsidRPr="001B572C" w:rsidRDefault="00117A29">
            <w:pPr>
              <w:keepNext/>
              <w:keepLines/>
              <w:spacing w:after="0" w:line="240" w:lineRule="auto"/>
              <w:rPr>
                <w:noProof/>
                <w:lang w:val="hr-HR"/>
              </w:rPr>
            </w:pPr>
            <w:r w:rsidRPr="001B572C">
              <w:rPr>
                <w:noProof/>
                <w:sz w:val="18"/>
                <w:lang w:val="hr-HR"/>
              </w:rPr>
              <w:t>91512</w:t>
            </w:r>
          </w:p>
        </w:tc>
        <w:tc>
          <w:tcPr>
            <w:tcW w:w="3180" w:type="dxa"/>
            <w:tcMar>
              <w:top w:w="0" w:type="dxa"/>
              <w:bottom w:w="0" w:type="dxa"/>
            </w:tcMar>
            <w:vAlign w:val="center"/>
          </w:tcPr>
          <w:p w:rsidR="00FF43F7" w:rsidRPr="001B572C" w:rsidRDefault="00117A29">
            <w:pPr>
              <w:keepNext/>
              <w:keepLines/>
              <w:spacing w:after="0" w:line="240" w:lineRule="auto"/>
              <w:rPr>
                <w:noProof/>
                <w:lang w:val="hr-HR"/>
              </w:rPr>
            </w:pPr>
            <w:r w:rsidRPr="001B572C">
              <w:rPr>
                <w:noProof/>
                <w:sz w:val="18"/>
                <w:lang w:val="hr-HR"/>
              </w:rPr>
              <w:t>Promjene u obujmu imovine (šifre P016+P023)</w:t>
            </w:r>
          </w:p>
        </w:tc>
        <w:tc>
          <w:tcPr>
            <w:tcW w:w="700" w:type="dxa"/>
            <w:tcMar>
              <w:top w:w="0" w:type="dxa"/>
              <w:bottom w:w="0" w:type="dxa"/>
            </w:tcMar>
            <w:vAlign w:val="center"/>
          </w:tcPr>
          <w:p w:rsidR="00FF43F7" w:rsidRPr="001B572C" w:rsidRDefault="00117A29">
            <w:pPr>
              <w:keepNext/>
              <w:keepLines/>
              <w:spacing w:after="0" w:line="240" w:lineRule="auto"/>
              <w:rPr>
                <w:noProof/>
                <w:lang w:val="hr-HR"/>
              </w:rPr>
            </w:pPr>
            <w:r w:rsidRPr="001B572C">
              <w:rPr>
                <w:noProof/>
                <w:sz w:val="18"/>
                <w:lang w:val="hr-HR"/>
              </w:rPr>
              <w:t>91512</w:t>
            </w:r>
          </w:p>
        </w:tc>
        <w:tc>
          <w:tcPr>
            <w:tcW w:w="1860" w:type="dxa"/>
            <w:tcMar>
              <w:top w:w="0" w:type="dxa"/>
              <w:bottom w:w="0" w:type="dxa"/>
            </w:tcMar>
            <w:vAlign w:val="center"/>
          </w:tcPr>
          <w:p w:rsidR="00FF43F7" w:rsidRPr="001B572C" w:rsidRDefault="00117A29">
            <w:pPr>
              <w:keepNext/>
              <w:keepLines/>
              <w:spacing w:after="0" w:line="240" w:lineRule="auto"/>
              <w:jc w:val="right"/>
              <w:rPr>
                <w:noProof/>
                <w:lang w:val="hr-HR"/>
              </w:rPr>
            </w:pPr>
            <w:r w:rsidRPr="001B572C">
              <w:rPr>
                <w:noProof/>
                <w:sz w:val="18"/>
                <w:lang w:val="hr-HR"/>
              </w:rPr>
              <w:t>2.683.264,77</w:t>
            </w:r>
          </w:p>
        </w:tc>
        <w:tc>
          <w:tcPr>
            <w:tcW w:w="1860" w:type="dxa"/>
            <w:tcMar>
              <w:top w:w="0" w:type="dxa"/>
              <w:bottom w:w="0" w:type="dxa"/>
            </w:tcMar>
            <w:vAlign w:val="center"/>
          </w:tcPr>
          <w:p w:rsidR="00FF43F7" w:rsidRPr="001B572C" w:rsidRDefault="00117A29">
            <w:pPr>
              <w:keepNext/>
              <w:keepLines/>
              <w:spacing w:after="0" w:line="240" w:lineRule="auto"/>
              <w:jc w:val="right"/>
              <w:rPr>
                <w:noProof/>
                <w:lang w:val="hr-HR"/>
              </w:rPr>
            </w:pPr>
            <w:r w:rsidRPr="001B572C">
              <w:rPr>
                <w:noProof/>
                <w:sz w:val="18"/>
                <w:lang w:val="hr-HR"/>
              </w:rPr>
              <w:t>2.626.146,22</w:t>
            </w:r>
          </w:p>
        </w:tc>
        <w:tc>
          <w:tcPr>
            <w:tcW w:w="700" w:type="dxa"/>
            <w:tcMar>
              <w:top w:w="0" w:type="dxa"/>
              <w:bottom w:w="0" w:type="dxa"/>
            </w:tcMar>
            <w:vAlign w:val="center"/>
          </w:tcPr>
          <w:p w:rsidR="00FF43F7" w:rsidRPr="001B572C" w:rsidRDefault="00117A29">
            <w:pPr>
              <w:keepNext/>
              <w:keepLines/>
              <w:spacing w:after="0" w:line="240" w:lineRule="auto"/>
              <w:jc w:val="right"/>
              <w:rPr>
                <w:noProof/>
                <w:lang w:val="hr-HR"/>
              </w:rPr>
            </w:pPr>
            <w:r w:rsidRPr="001B572C">
              <w:rPr>
                <w:noProof/>
                <w:sz w:val="18"/>
                <w:lang w:val="hr-HR"/>
              </w:rPr>
              <w:t>97,9</w:t>
            </w:r>
          </w:p>
        </w:tc>
      </w:tr>
    </w:tbl>
    <w:p w:rsidR="00FF43F7" w:rsidRPr="001B572C" w:rsidRDefault="00FF43F7">
      <w:pPr>
        <w:spacing w:after="0"/>
        <w:rPr>
          <w:noProof/>
          <w:lang w:val="hr-HR"/>
        </w:rPr>
      </w:pPr>
    </w:p>
    <w:p w:rsidR="00FF43F7" w:rsidRPr="001B572C" w:rsidRDefault="00117A29" w:rsidP="00315035">
      <w:pPr>
        <w:jc w:val="both"/>
        <w:rPr>
          <w:noProof/>
          <w:lang w:val="hr-HR"/>
        </w:rPr>
      </w:pPr>
      <w:r w:rsidRPr="001B572C">
        <w:rPr>
          <w:noProof/>
          <w:lang w:val="hr-HR"/>
        </w:rPr>
        <w:t xml:space="preserve">Zbog prijenosa proizvedene dugotrajne imovine Grada na </w:t>
      </w:r>
      <w:r w:rsidR="009C41D3" w:rsidRPr="001B572C">
        <w:rPr>
          <w:noProof/>
          <w:lang w:val="hr-HR"/>
        </w:rPr>
        <w:t xml:space="preserve">proračunske </w:t>
      </w:r>
      <w:r w:rsidRPr="001B572C">
        <w:rPr>
          <w:noProof/>
          <w:lang w:val="hr-HR"/>
        </w:rPr>
        <w:t xml:space="preserve">korisnike, u procesu konsolidacije eliminiran je iznos od 5.466,04 eura na </w:t>
      </w:r>
      <w:r w:rsidR="009C41D3" w:rsidRPr="001B572C">
        <w:rPr>
          <w:noProof/>
          <w:lang w:val="hr-HR"/>
        </w:rPr>
        <w:t xml:space="preserve">računu </w:t>
      </w:r>
      <w:r w:rsidRPr="001B572C">
        <w:rPr>
          <w:noProof/>
          <w:lang w:val="hr-HR"/>
        </w:rPr>
        <w:t>91512</w:t>
      </w:r>
      <w:r w:rsidR="009C41D3" w:rsidRPr="001B572C">
        <w:rPr>
          <w:noProof/>
          <w:lang w:val="hr-HR"/>
        </w:rPr>
        <w:t xml:space="preserve"> </w:t>
      </w:r>
      <w:r w:rsidRPr="001B572C">
        <w:rPr>
          <w:noProof/>
          <w:lang w:val="hr-HR"/>
        </w:rPr>
        <w:t>- promjene u obujmu proizvedene imovine. Grad je prenio Dječjem vrtiću Rijeka dječje sprave u ukupnom iznosu od 5.000,00 eura i Gradskoj knjižnici Rijeka uredski namještaj u iznosu od 466,04 eura.</w:t>
      </w:r>
    </w:p>
    <w:p w:rsidR="00FF43F7" w:rsidRPr="001B572C" w:rsidRDefault="00FF43F7">
      <w:pPr>
        <w:rPr>
          <w:noProof/>
          <w:lang w:val="hr-HR"/>
        </w:rPr>
      </w:pPr>
    </w:p>
    <w:p w:rsidR="00FF43F7" w:rsidRPr="001B572C" w:rsidRDefault="00117A29">
      <w:pPr>
        <w:keepNext/>
        <w:spacing w:line="240" w:lineRule="auto"/>
        <w:jc w:val="center"/>
        <w:rPr>
          <w:noProof/>
          <w:lang w:val="hr-HR"/>
        </w:rPr>
      </w:pPr>
      <w:r w:rsidRPr="001B572C">
        <w:rPr>
          <w:noProof/>
          <w:sz w:val="28"/>
          <w:lang w:val="hr-HR"/>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F43F7" w:rsidRPr="001B572C">
        <w:trPr>
          <w:cantSplit/>
        </w:trPr>
        <w:tc>
          <w:tcPr>
            <w:tcW w:w="70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Račun iz rač. plana</w:t>
            </w:r>
          </w:p>
        </w:tc>
        <w:tc>
          <w:tcPr>
            <w:tcW w:w="318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Opis stavke</w:t>
            </w:r>
          </w:p>
        </w:tc>
        <w:tc>
          <w:tcPr>
            <w:tcW w:w="70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Šifra</w:t>
            </w:r>
          </w:p>
        </w:tc>
        <w:tc>
          <w:tcPr>
            <w:tcW w:w="186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Iznos povećanja</w:t>
            </w:r>
          </w:p>
        </w:tc>
        <w:tc>
          <w:tcPr>
            <w:tcW w:w="186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Iznos smanjenja</w:t>
            </w:r>
          </w:p>
        </w:tc>
        <w:tc>
          <w:tcPr>
            <w:tcW w:w="70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Indeks (%)</w:t>
            </w:r>
          </w:p>
        </w:tc>
      </w:tr>
      <w:tr w:rsidR="00FF43F7" w:rsidRPr="001B572C">
        <w:trPr>
          <w:cantSplit/>
          <w:trHeight w:val="560"/>
        </w:trPr>
        <w:tc>
          <w:tcPr>
            <w:tcW w:w="700" w:type="dxa"/>
            <w:tcMar>
              <w:top w:w="0" w:type="dxa"/>
              <w:bottom w:w="0" w:type="dxa"/>
            </w:tcMar>
            <w:vAlign w:val="center"/>
          </w:tcPr>
          <w:p w:rsidR="00FF43F7" w:rsidRPr="001B572C" w:rsidRDefault="00117A29">
            <w:pPr>
              <w:keepNext/>
              <w:keepLines/>
              <w:spacing w:after="0" w:line="240" w:lineRule="auto"/>
              <w:rPr>
                <w:noProof/>
                <w:lang w:val="hr-HR"/>
              </w:rPr>
            </w:pPr>
            <w:r w:rsidRPr="001B572C">
              <w:rPr>
                <w:noProof/>
                <w:sz w:val="18"/>
                <w:lang w:val="hr-HR"/>
              </w:rPr>
              <w:t>9152</w:t>
            </w:r>
          </w:p>
        </w:tc>
        <w:tc>
          <w:tcPr>
            <w:tcW w:w="3180" w:type="dxa"/>
            <w:tcMar>
              <w:top w:w="0" w:type="dxa"/>
              <w:bottom w:w="0" w:type="dxa"/>
            </w:tcMar>
            <w:vAlign w:val="center"/>
          </w:tcPr>
          <w:p w:rsidR="00FF43F7" w:rsidRPr="001B572C" w:rsidRDefault="00117A29">
            <w:pPr>
              <w:keepNext/>
              <w:keepLines/>
              <w:spacing w:after="0" w:line="240" w:lineRule="auto"/>
              <w:rPr>
                <w:noProof/>
                <w:lang w:val="hr-HR"/>
              </w:rPr>
            </w:pPr>
            <w:r w:rsidRPr="001B572C">
              <w:rPr>
                <w:noProof/>
                <w:sz w:val="18"/>
                <w:lang w:val="hr-HR"/>
              </w:rPr>
              <w:t>Promjene u vrijednosti i obujmu obveza (šifre 91521+91522)</w:t>
            </w:r>
          </w:p>
        </w:tc>
        <w:tc>
          <w:tcPr>
            <w:tcW w:w="700" w:type="dxa"/>
            <w:tcMar>
              <w:top w:w="0" w:type="dxa"/>
              <w:bottom w:w="0" w:type="dxa"/>
            </w:tcMar>
            <w:vAlign w:val="center"/>
          </w:tcPr>
          <w:p w:rsidR="00FF43F7" w:rsidRPr="001B572C" w:rsidRDefault="00117A29">
            <w:pPr>
              <w:keepNext/>
              <w:keepLines/>
              <w:spacing w:after="0" w:line="240" w:lineRule="auto"/>
              <w:rPr>
                <w:noProof/>
                <w:lang w:val="hr-HR"/>
              </w:rPr>
            </w:pPr>
            <w:r w:rsidRPr="001B572C">
              <w:rPr>
                <w:noProof/>
                <w:sz w:val="18"/>
                <w:lang w:val="hr-HR"/>
              </w:rPr>
              <w:t>9152</w:t>
            </w:r>
          </w:p>
        </w:tc>
        <w:tc>
          <w:tcPr>
            <w:tcW w:w="1860" w:type="dxa"/>
            <w:tcMar>
              <w:top w:w="0" w:type="dxa"/>
              <w:bottom w:w="0" w:type="dxa"/>
            </w:tcMar>
            <w:vAlign w:val="center"/>
          </w:tcPr>
          <w:p w:rsidR="00FF43F7" w:rsidRPr="001B572C" w:rsidRDefault="00117A29">
            <w:pPr>
              <w:keepNext/>
              <w:keepLines/>
              <w:spacing w:after="0" w:line="240" w:lineRule="auto"/>
              <w:jc w:val="right"/>
              <w:rPr>
                <w:noProof/>
                <w:lang w:val="hr-HR"/>
              </w:rPr>
            </w:pPr>
            <w:r w:rsidRPr="001B572C">
              <w:rPr>
                <w:noProof/>
                <w:sz w:val="18"/>
                <w:lang w:val="hr-HR"/>
              </w:rPr>
              <w:t>82.720,89</w:t>
            </w:r>
          </w:p>
        </w:tc>
        <w:tc>
          <w:tcPr>
            <w:tcW w:w="1860" w:type="dxa"/>
            <w:tcMar>
              <w:top w:w="0" w:type="dxa"/>
              <w:bottom w:w="0" w:type="dxa"/>
            </w:tcMar>
            <w:vAlign w:val="center"/>
          </w:tcPr>
          <w:p w:rsidR="00FF43F7" w:rsidRPr="001B572C" w:rsidRDefault="00117A29">
            <w:pPr>
              <w:keepNext/>
              <w:keepLines/>
              <w:spacing w:after="0" w:line="240" w:lineRule="auto"/>
              <w:jc w:val="right"/>
              <w:rPr>
                <w:noProof/>
                <w:lang w:val="hr-HR"/>
              </w:rPr>
            </w:pPr>
            <w:r w:rsidRPr="001B572C">
              <w:rPr>
                <w:noProof/>
                <w:sz w:val="18"/>
                <w:lang w:val="hr-HR"/>
              </w:rPr>
              <w:t>36,63</w:t>
            </w:r>
          </w:p>
        </w:tc>
        <w:tc>
          <w:tcPr>
            <w:tcW w:w="700" w:type="dxa"/>
            <w:tcMar>
              <w:top w:w="0" w:type="dxa"/>
              <w:bottom w:w="0" w:type="dxa"/>
            </w:tcMar>
            <w:vAlign w:val="center"/>
          </w:tcPr>
          <w:p w:rsidR="00FF43F7" w:rsidRPr="001B572C" w:rsidRDefault="00117A29">
            <w:pPr>
              <w:keepNext/>
              <w:keepLines/>
              <w:spacing w:after="0" w:line="240" w:lineRule="auto"/>
              <w:jc w:val="right"/>
              <w:rPr>
                <w:noProof/>
                <w:lang w:val="hr-HR"/>
              </w:rPr>
            </w:pPr>
            <w:r w:rsidRPr="001B572C">
              <w:rPr>
                <w:noProof/>
                <w:sz w:val="18"/>
                <w:lang w:val="hr-HR"/>
              </w:rPr>
              <w:t>0,0</w:t>
            </w:r>
          </w:p>
        </w:tc>
      </w:tr>
    </w:tbl>
    <w:p w:rsidR="00FF43F7" w:rsidRPr="001B572C" w:rsidRDefault="00FF43F7">
      <w:pPr>
        <w:spacing w:after="0"/>
        <w:rPr>
          <w:noProof/>
          <w:lang w:val="hr-HR"/>
        </w:rPr>
      </w:pPr>
    </w:p>
    <w:p w:rsidR="00FF43F7" w:rsidRPr="001B572C" w:rsidRDefault="00117A29">
      <w:pPr>
        <w:rPr>
          <w:noProof/>
          <w:lang w:val="hr-HR"/>
        </w:rPr>
      </w:pPr>
      <w:r w:rsidRPr="001B572C">
        <w:rPr>
          <w:noProof/>
          <w:lang w:val="hr-HR"/>
        </w:rPr>
        <w:t xml:space="preserve">Povećanje u vrijednosti obveza u iznosu od 82.720,89 eura </w:t>
      </w:r>
      <w:r w:rsidR="00533C43" w:rsidRPr="001B572C">
        <w:rPr>
          <w:noProof/>
          <w:lang w:val="hr-HR"/>
        </w:rPr>
        <w:t xml:space="preserve">evidentirano je </w:t>
      </w:r>
      <w:r w:rsidRPr="001B572C">
        <w:rPr>
          <w:noProof/>
          <w:lang w:val="hr-HR"/>
        </w:rPr>
        <w:t xml:space="preserve">kod APOS-a, a odnosi se na </w:t>
      </w:r>
      <w:r w:rsidR="0060123C" w:rsidRPr="001B572C">
        <w:rPr>
          <w:noProof/>
          <w:lang w:val="hr-HR"/>
        </w:rPr>
        <w:t>povećanje obveze za primljene zajmove od državnih i gradskih proračuna</w:t>
      </w:r>
      <w:r w:rsidRPr="001B572C">
        <w:rPr>
          <w:noProof/>
          <w:lang w:val="hr-HR"/>
        </w:rPr>
        <w:t>.</w:t>
      </w:r>
    </w:p>
    <w:p w:rsidR="00FF43F7" w:rsidRPr="001B572C" w:rsidRDefault="00117A29">
      <w:pPr>
        <w:rPr>
          <w:noProof/>
          <w:lang w:val="hr-HR"/>
        </w:rPr>
      </w:pPr>
      <w:r w:rsidRPr="001B572C">
        <w:rPr>
          <w:noProof/>
          <w:lang w:val="hr-HR"/>
        </w:rPr>
        <w:t> </w:t>
      </w:r>
    </w:p>
    <w:p w:rsidR="00FF43F7" w:rsidRPr="001B572C" w:rsidRDefault="00117A29">
      <w:pPr>
        <w:rPr>
          <w:noProof/>
          <w:lang w:val="hr-HR"/>
        </w:rPr>
      </w:pPr>
      <w:r w:rsidRPr="001B572C">
        <w:rPr>
          <w:noProof/>
          <w:lang w:val="hr-HR"/>
        </w:rPr>
        <w:t> </w:t>
      </w:r>
    </w:p>
    <w:p w:rsidR="00FF43F7" w:rsidRPr="001B572C" w:rsidRDefault="00117A29">
      <w:pPr>
        <w:keepNext/>
        <w:spacing w:line="240" w:lineRule="auto"/>
        <w:jc w:val="center"/>
        <w:rPr>
          <w:noProof/>
          <w:lang w:val="hr-HR"/>
        </w:rPr>
      </w:pPr>
      <w:r w:rsidRPr="001B572C">
        <w:rPr>
          <w:b/>
          <w:noProof/>
          <w:sz w:val="28"/>
          <w:lang w:val="hr-HR"/>
        </w:rPr>
        <w:t>Izvještaj o obvezama</w:t>
      </w:r>
    </w:p>
    <w:p w:rsidR="00FF43F7" w:rsidRPr="001B572C" w:rsidRDefault="00117A29">
      <w:pPr>
        <w:keepNext/>
        <w:spacing w:line="240" w:lineRule="auto"/>
        <w:jc w:val="center"/>
        <w:rPr>
          <w:noProof/>
          <w:lang w:val="hr-HR"/>
        </w:rPr>
      </w:pPr>
      <w:r w:rsidRPr="001B572C">
        <w:rPr>
          <w:noProof/>
          <w:sz w:val="28"/>
          <w:lang w:val="hr-HR"/>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FF43F7" w:rsidRPr="001B572C">
        <w:trPr>
          <w:cantSplit/>
        </w:trPr>
        <w:tc>
          <w:tcPr>
            <w:tcW w:w="70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Račun iz rač. plana</w:t>
            </w:r>
          </w:p>
        </w:tc>
        <w:tc>
          <w:tcPr>
            <w:tcW w:w="318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Opis stavke</w:t>
            </w:r>
          </w:p>
        </w:tc>
        <w:tc>
          <w:tcPr>
            <w:tcW w:w="70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Šifra</w:t>
            </w:r>
          </w:p>
        </w:tc>
        <w:tc>
          <w:tcPr>
            <w:tcW w:w="186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Iznos</w:t>
            </w:r>
          </w:p>
        </w:tc>
        <w:tc>
          <w:tcPr>
            <w:tcW w:w="700" w:type="dxa"/>
            <w:shd w:val="clear" w:color="auto" w:fill="E7F0F9"/>
            <w:tcMar>
              <w:top w:w="0" w:type="dxa"/>
              <w:bottom w:w="0" w:type="dxa"/>
            </w:tcMar>
            <w:vAlign w:val="center"/>
          </w:tcPr>
          <w:p w:rsidR="00FF43F7" w:rsidRPr="001B572C" w:rsidRDefault="00117A29">
            <w:pPr>
              <w:keepNext/>
              <w:keepLines/>
              <w:spacing w:after="0" w:line="240" w:lineRule="auto"/>
              <w:jc w:val="center"/>
              <w:rPr>
                <w:noProof/>
                <w:lang w:val="hr-HR"/>
              </w:rPr>
            </w:pPr>
            <w:r w:rsidRPr="001B572C">
              <w:rPr>
                <w:b/>
                <w:noProof/>
                <w:sz w:val="18"/>
                <w:lang w:val="hr-HR"/>
              </w:rPr>
              <w:t>Indeks (%)</w:t>
            </w:r>
          </w:p>
        </w:tc>
      </w:tr>
      <w:tr w:rsidR="00FF43F7" w:rsidRPr="001B572C">
        <w:trPr>
          <w:cantSplit/>
          <w:trHeight w:val="560"/>
        </w:trPr>
        <w:tc>
          <w:tcPr>
            <w:tcW w:w="700" w:type="dxa"/>
            <w:tcMar>
              <w:top w:w="0" w:type="dxa"/>
              <w:bottom w:w="0" w:type="dxa"/>
            </w:tcMar>
            <w:vAlign w:val="center"/>
          </w:tcPr>
          <w:p w:rsidR="00FF43F7" w:rsidRPr="001B572C" w:rsidRDefault="00FF43F7">
            <w:pPr>
              <w:keepNext/>
              <w:keepLines/>
              <w:spacing w:after="0" w:line="240" w:lineRule="auto"/>
              <w:rPr>
                <w:noProof/>
                <w:lang w:val="hr-HR"/>
              </w:rPr>
            </w:pPr>
          </w:p>
        </w:tc>
        <w:tc>
          <w:tcPr>
            <w:tcW w:w="3180" w:type="dxa"/>
            <w:tcMar>
              <w:top w:w="0" w:type="dxa"/>
              <w:bottom w:w="0" w:type="dxa"/>
            </w:tcMar>
            <w:vAlign w:val="center"/>
          </w:tcPr>
          <w:p w:rsidR="00FF43F7" w:rsidRPr="001B572C" w:rsidRDefault="00117A29">
            <w:pPr>
              <w:keepNext/>
              <w:keepLines/>
              <w:spacing w:after="0" w:line="240" w:lineRule="auto"/>
              <w:rPr>
                <w:noProof/>
                <w:lang w:val="hr-HR"/>
              </w:rPr>
            </w:pPr>
            <w:r w:rsidRPr="001B572C">
              <w:rPr>
                <w:noProof/>
                <w:sz w:val="18"/>
                <w:lang w:val="hr-HR"/>
              </w:rPr>
              <w:t>Stanje dospjelih obveza na kraju izvještajnog razdoblja (šifre V008+D23+D24 + 'D dio 25,26' + D27)</w:t>
            </w:r>
          </w:p>
        </w:tc>
        <w:tc>
          <w:tcPr>
            <w:tcW w:w="700" w:type="dxa"/>
            <w:tcMar>
              <w:top w:w="0" w:type="dxa"/>
              <w:bottom w:w="0" w:type="dxa"/>
            </w:tcMar>
            <w:vAlign w:val="center"/>
          </w:tcPr>
          <w:p w:rsidR="00FF43F7" w:rsidRPr="001B572C" w:rsidRDefault="00117A29">
            <w:pPr>
              <w:keepNext/>
              <w:keepLines/>
              <w:spacing w:after="0" w:line="240" w:lineRule="auto"/>
              <w:rPr>
                <w:noProof/>
                <w:lang w:val="hr-HR"/>
              </w:rPr>
            </w:pPr>
            <w:r w:rsidRPr="001B572C">
              <w:rPr>
                <w:noProof/>
                <w:sz w:val="18"/>
                <w:lang w:val="hr-HR"/>
              </w:rPr>
              <w:t>V007</w:t>
            </w:r>
          </w:p>
        </w:tc>
        <w:tc>
          <w:tcPr>
            <w:tcW w:w="1860" w:type="dxa"/>
            <w:tcMar>
              <w:top w:w="0" w:type="dxa"/>
              <w:bottom w:w="0" w:type="dxa"/>
            </w:tcMar>
            <w:vAlign w:val="center"/>
          </w:tcPr>
          <w:p w:rsidR="00FF43F7" w:rsidRPr="001B572C" w:rsidRDefault="00117A29">
            <w:pPr>
              <w:keepNext/>
              <w:keepLines/>
              <w:spacing w:after="0" w:line="240" w:lineRule="auto"/>
              <w:jc w:val="right"/>
              <w:rPr>
                <w:noProof/>
                <w:lang w:val="hr-HR"/>
              </w:rPr>
            </w:pPr>
            <w:r w:rsidRPr="001B572C">
              <w:rPr>
                <w:noProof/>
                <w:sz w:val="18"/>
                <w:lang w:val="hr-HR"/>
              </w:rPr>
              <w:t>5.970.244,38</w:t>
            </w:r>
          </w:p>
        </w:tc>
        <w:tc>
          <w:tcPr>
            <w:tcW w:w="700" w:type="dxa"/>
            <w:tcMar>
              <w:top w:w="0" w:type="dxa"/>
              <w:bottom w:w="0" w:type="dxa"/>
            </w:tcMar>
            <w:vAlign w:val="center"/>
          </w:tcPr>
          <w:p w:rsidR="00FF43F7" w:rsidRPr="001B572C" w:rsidRDefault="00117A29">
            <w:pPr>
              <w:keepNext/>
              <w:keepLines/>
              <w:spacing w:after="0" w:line="240" w:lineRule="auto"/>
              <w:jc w:val="right"/>
              <w:rPr>
                <w:noProof/>
                <w:lang w:val="hr-HR"/>
              </w:rPr>
            </w:pPr>
            <w:r w:rsidRPr="001B572C">
              <w:rPr>
                <w:noProof/>
                <w:sz w:val="18"/>
                <w:lang w:val="hr-HR"/>
              </w:rPr>
              <w:t>-</w:t>
            </w:r>
          </w:p>
        </w:tc>
      </w:tr>
    </w:tbl>
    <w:p w:rsidR="00FF43F7" w:rsidRPr="001B572C" w:rsidRDefault="00FF43F7">
      <w:pPr>
        <w:spacing w:after="0"/>
        <w:rPr>
          <w:noProof/>
          <w:lang w:val="hr-HR"/>
        </w:rPr>
      </w:pPr>
    </w:p>
    <w:p w:rsidR="00FF43F7" w:rsidRPr="001B572C" w:rsidRDefault="00117A29" w:rsidP="006E4F7A">
      <w:pPr>
        <w:jc w:val="both"/>
        <w:rPr>
          <w:noProof/>
          <w:lang w:val="hr-HR"/>
        </w:rPr>
      </w:pPr>
      <w:r w:rsidRPr="001B572C">
        <w:rPr>
          <w:noProof/>
          <w:lang w:val="hr-HR"/>
        </w:rPr>
        <w:t>Stanje dospjelih obveza konsolidirane grupe, na kraju izvještajnog razdoblja I-XII 2025. godine, iznosi 5.970.244,38 eura (šifra V007).  </w:t>
      </w:r>
      <w:r w:rsidR="00CD7A88" w:rsidRPr="001B572C">
        <w:rPr>
          <w:noProof/>
          <w:lang w:val="hr-HR"/>
        </w:rPr>
        <w:t xml:space="preserve">Dospjele obveze Grada iznose 4.362.963,28 eura ili 73%, a ukupno svih proračunskih korisnika 1.607.281,10 eura ili 27%. Stanje ukupno dospjelih obveza je 1,98% veće u odnosu na isto izvještajno razdoblje 2024. godine kada su iznosile 5.854.566,47 eura. </w:t>
      </w:r>
      <w:r w:rsidR="006F2804" w:rsidRPr="001B572C">
        <w:rPr>
          <w:noProof/>
          <w:lang w:val="hr-HR"/>
        </w:rPr>
        <w:t>P</w:t>
      </w:r>
      <w:r w:rsidR="00CD7A88" w:rsidRPr="001B572C">
        <w:rPr>
          <w:noProof/>
          <w:lang w:val="hr-HR"/>
        </w:rPr>
        <w:t>ovećanje dospjelih obveza bilježi se u Gradu (</w:t>
      </w:r>
      <w:r w:rsidR="00CE2B92">
        <w:rPr>
          <w:noProof/>
          <w:lang w:val="hr-HR"/>
        </w:rPr>
        <w:t>+</w:t>
      </w:r>
      <w:r w:rsidR="00CD7A88" w:rsidRPr="001B572C">
        <w:rPr>
          <w:noProof/>
          <w:lang w:val="hr-HR"/>
        </w:rPr>
        <w:t>7,39%)</w:t>
      </w:r>
      <w:r w:rsidR="006F2804" w:rsidRPr="001B572C">
        <w:rPr>
          <w:noProof/>
          <w:lang w:val="hr-HR"/>
        </w:rPr>
        <w:t xml:space="preserve"> i evidentirano je kod obveza za usluge tekućeg i investicijskog održavanja </w:t>
      </w:r>
      <w:r w:rsidR="00B024E8" w:rsidRPr="001B572C">
        <w:rPr>
          <w:noProof/>
          <w:lang w:val="hr-HR"/>
        </w:rPr>
        <w:t xml:space="preserve">i </w:t>
      </w:r>
      <w:r w:rsidR="00010F47" w:rsidRPr="001B572C">
        <w:rPr>
          <w:noProof/>
          <w:lang w:val="hr-HR"/>
        </w:rPr>
        <w:t xml:space="preserve">dijela </w:t>
      </w:r>
      <w:r w:rsidR="00B024E8" w:rsidRPr="001B572C">
        <w:rPr>
          <w:noProof/>
          <w:lang w:val="hr-HR"/>
        </w:rPr>
        <w:t>obveza za nabavu nefinancijske imovine (</w:t>
      </w:r>
      <w:r w:rsidR="004817A7" w:rsidRPr="001B572C">
        <w:rPr>
          <w:noProof/>
          <w:lang w:val="hr-HR"/>
        </w:rPr>
        <w:t xml:space="preserve">ceste i ostali prometni </w:t>
      </w:r>
      <w:r w:rsidR="00B024E8" w:rsidRPr="001B572C">
        <w:rPr>
          <w:noProof/>
          <w:lang w:val="hr-HR"/>
        </w:rPr>
        <w:t>objekti</w:t>
      </w:r>
      <w:r w:rsidR="004817A7" w:rsidRPr="001B572C">
        <w:rPr>
          <w:noProof/>
          <w:lang w:val="hr-HR"/>
        </w:rPr>
        <w:t>: rekonstrukcija mosta Žakalj i premještanje kolosijeka Žabica</w:t>
      </w:r>
      <w:r w:rsidR="00B024E8" w:rsidRPr="001B572C">
        <w:rPr>
          <w:noProof/>
          <w:lang w:val="hr-HR"/>
        </w:rPr>
        <w:t>)</w:t>
      </w:r>
      <w:r w:rsidR="00CD7A88" w:rsidRPr="001B572C">
        <w:rPr>
          <w:noProof/>
          <w:lang w:val="hr-HR"/>
        </w:rPr>
        <w:t xml:space="preserve"> dok se znatno smanjenje</w:t>
      </w:r>
      <w:r w:rsidR="006F2804" w:rsidRPr="001B572C">
        <w:rPr>
          <w:noProof/>
          <w:lang w:val="hr-HR"/>
        </w:rPr>
        <w:t xml:space="preserve"> (</w:t>
      </w:r>
      <w:r w:rsidR="00CE2B92">
        <w:rPr>
          <w:noProof/>
          <w:lang w:val="hr-HR"/>
        </w:rPr>
        <w:t>-</w:t>
      </w:r>
      <w:r w:rsidR="006F2804" w:rsidRPr="001B572C">
        <w:rPr>
          <w:noProof/>
          <w:lang w:val="hr-HR"/>
        </w:rPr>
        <w:t>94,7%)</w:t>
      </w:r>
      <w:r w:rsidR="00CD7A88" w:rsidRPr="001B572C">
        <w:rPr>
          <w:noProof/>
          <w:lang w:val="hr-HR"/>
        </w:rPr>
        <w:t xml:space="preserve"> dospjelih obveza bilježi kod ustanova kulture</w:t>
      </w:r>
      <w:r w:rsidR="006F2804" w:rsidRPr="001B572C">
        <w:rPr>
          <w:noProof/>
          <w:lang w:val="hr-HR"/>
        </w:rPr>
        <w:t xml:space="preserve">. </w:t>
      </w:r>
      <w:r w:rsidR="00CD7A88" w:rsidRPr="001B572C">
        <w:rPr>
          <w:noProof/>
          <w:lang w:val="hr-HR"/>
        </w:rPr>
        <w:t xml:space="preserve">  </w:t>
      </w:r>
    </w:p>
    <w:p w:rsidR="00BC15AB" w:rsidRPr="001B572C" w:rsidRDefault="00117A29" w:rsidP="006E4F7A">
      <w:pPr>
        <w:jc w:val="both"/>
        <w:rPr>
          <w:noProof/>
          <w:lang w:val="hr-HR"/>
        </w:rPr>
      </w:pPr>
      <w:r w:rsidRPr="001B572C">
        <w:rPr>
          <w:noProof/>
          <w:lang w:val="hr-HR"/>
        </w:rPr>
        <w:lastRenderedPageBreak/>
        <w:t>U strukturi dospjelih obveza, unutar 60 dana dospjelo je na plaćanje 1.979.657,87 eura, unutar narednih 61-180 dana dospjelo je 40.527,69 eura, od 181-360 dana dospjelo je 76.471,15 eura, a preko 360 dana dospjelo je 3.590.146,97 eura. Kod obveza s prekoračenjem dospijeća plaćanja od 1-180 dana</w:t>
      </w:r>
      <w:r w:rsidR="00BC15AB" w:rsidRPr="001B572C">
        <w:rPr>
          <w:noProof/>
          <w:lang w:val="hr-HR"/>
        </w:rPr>
        <w:t xml:space="preserve"> (</w:t>
      </w:r>
      <w:r w:rsidR="0047362F" w:rsidRPr="001B572C">
        <w:rPr>
          <w:noProof/>
          <w:lang w:val="hr-HR"/>
        </w:rPr>
        <w:t>2.020.185,56 eura)</w:t>
      </w:r>
      <w:r w:rsidRPr="001B572C">
        <w:rPr>
          <w:noProof/>
          <w:lang w:val="hr-HR"/>
        </w:rPr>
        <w:t>, u najvećem</w:t>
      </w:r>
      <w:r w:rsidR="00010F47" w:rsidRPr="001B572C">
        <w:rPr>
          <w:noProof/>
          <w:lang w:val="hr-HR"/>
        </w:rPr>
        <w:t xml:space="preserve"> se </w:t>
      </w:r>
      <w:r w:rsidRPr="001B572C">
        <w:rPr>
          <w:noProof/>
          <w:lang w:val="hr-HR"/>
        </w:rPr>
        <w:t xml:space="preserve">dijelu radi o </w:t>
      </w:r>
      <w:r w:rsidR="0047362F" w:rsidRPr="001B572C">
        <w:rPr>
          <w:noProof/>
          <w:lang w:val="hr-HR"/>
        </w:rPr>
        <w:t xml:space="preserve">obvezama za </w:t>
      </w:r>
      <w:r w:rsidRPr="001B572C">
        <w:rPr>
          <w:noProof/>
          <w:lang w:val="hr-HR"/>
        </w:rPr>
        <w:t>materijaln</w:t>
      </w:r>
      <w:r w:rsidR="0047362F" w:rsidRPr="001B572C">
        <w:rPr>
          <w:noProof/>
          <w:lang w:val="hr-HR"/>
        </w:rPr>
        <w:t>e</w:t>
      </w:r>
      <w:r w:rsidRPr="001B572C">
        <w:rPr>
          <w:noProof/>
          <w:lang w:val="hr-HR"/>
        </w:rPr>
        <w:t xml:space="preserve"> rashod</w:t>
      </w:r>
      <w:r w:rsidR="0047362F" w:rsidRPr="001B572C">
        <w:rPr>
          <w:noProof/>
          <w:lang w:val="hr-HR"/>
        </w:rPr>
        <w:t>e</w:t>
      </w:r>
      <w:r w:rsidRPr="001B572C">
        <w:rPr>
          <w:noProof/>
          <w:lang w:val="hr-HR"/>
        </w:rPr>
        <w:t xml:space="preserve"> (usluge tekućeg održavanja, komunalne usluge</w:t>
      </w:r>
      <w:r w:rsidR="00010F47" w:rsidRPr="001B572C">
        <w:rPr>
          <w:noProof/>
          <w:lang w:val="hr-HR"/>
        </w:rPr>
        <w:t xml:space="preserve"> i</w:t>
      </w:r>
      <w:r w:rsidRPr="001B572C">
        <w:rPr>
          <w:noProof/>
          <w:lang w:val="hr-HR"/>
        </w:rPr>
        <w:t xml:space="preserve"> energija) i obvezama za nefinancijsku imovinu. Ove obveze evidentirane su temeljem računa dobavljača za izvršenu isporuku roba i usluga do 31. prosinca 2025.</w:t>
      </w:r>
      <w:r w:rsidR="00010F47" w:rsidRPr="001B572C">
        <w:rPr>
          <w:noProof/>
          <w:lang w:val="hr-HR"/>
        </w:rPr>
        <w:t>, a</w:t>
      </w:r>
      <w:r w:rsidRPr="001B572C">
        <w:rPr>
          <w:noProof/>
          <w:lang w:val="hr-HR"/>
        </w:rPr>
        <w:t xml:space="preserve"> koji su zaprimljeni nakon izvještajnog datuma. Do dana sastavljanja ovih Bilješki navedene obveze su podmirene. </w:t>
      </w:r>
    </w:p>
    <w:p w:rsidR="0025451F" w:rsidRPr="001B572C" w:rsidRDefault="00117A29" w:rsidP="006E4F7A">
      <w:pPr>
        <w:jc w:val="both"/>
        <w:rPr>
          <w:noProof/>
          <w:lang w:val="hr-HR"/>
        </w:rPr>
      </w:pPr>
      <w:r w:rsidRPr="001B572C">
        <w:rPr>
          <w:noProof/>
          <w:lang w:val="hr-HR"/>
        </w:rPr>
        <w:t xml:space="preserve">Najveći udjel u obvezama s dospijećem preko 360 dana odnose </w:t>
      </w:r>
      <w:r w:rsidR="0025451F" w:rsidRPr="001B572C">
        <w:rPr>
          <w:noProof/>
          <w:lang w:val="hr-HR"/>
        </w:rPr>
        <w:t xml:space="preserve">se </w:t>
      </w:r>
      <w:r w:rsidRPr="001B572C">
        <w:rPr>
          <w:noProof/>
          <w:lang w:val="hr-HR"/>
        </w:rPr>
        <w:t>na obveze Grad</w:t>
      </w:r>
      <w:r w:rsidR="0025451F" w:rsidRPr="001B572C">
        <w:rPr>
          <w:noProof/>
          <w:lang w:val="hr-HR"/>
        </w:rPr>
        <w:t>a</w:t>
      </w:r>
      <w:r w:rsidRPr="001B572C">
        <w:rPr>
          <w:noProof/>
          <w:lang w:val="hr-HR"/>
        </w:rPr>
        <w:t xml:space="preserve"> prema Državnom proračunu za 55% naplaćenih prihoda od prodaje stanova sa stanarskim pravom u visini od 3.329.342,60 eura. Radi se o dugovanju koje se planira podmiriti ustupanjem nekretnina u vlasništvu Grada Rijeke Republici Hrvatskoj. U cilju podmirenja </w:t>
      </w:r>
      <w:r w:rsidR="00CE2B92">
        <w:rPr>
          <w:noProof/>
          <w:lang w:val="hr-HR"/>
        </w:rPr>
        <w:t>ovog</w:t>
      </w:r>
      <w:r w:rsidRPr="001B572C">
        <w:rPr>
          <w:noProof/>
          <w:lang w:val="hr-HR"/>
        </w:rPr>
        <w:t xml:space="preserve"> dugovanja Grad se od 2019. godine u više navrata obraća nadležnom </w:t>
      </w:r>
      <w:r w:rsidR="008F0801" w:rsidRPr="001B572C">
        <w:rPr>
          <w:noProof/>
          <w:lang w:val="hr-HR"/>
        </w:rPr>
        <w:t>m</w:t>
      </w:r>
      <w:r w:rsidRPr="001B572C">
        <w:rPr>
          <w:noProof/>
          <w:lang w:val="hr-HR"/>
        </w:rPr>
        <w:t>inistarstvu</w:t>
      </w:r>
      <w:r w:rsidR="00CE2B92">
        <w:rPr>
          <w:noProof/>
          <w:lang w:val="hr-HR"/>
        </w:rPr>
        <w:t xml:space="preserve"> kako bi se postigao </w:t>
      </w:r>
      <w:r w:rsidR="009253C2" w:rsidRPr="001B572C">
        <w:rPr>
          <w:noProof/>
          <w:lang w:val="hr-HR"/>
        </w:rPr>
        <w:t>dogovor</w:t>
      </w:r>
      <w:r w:rsidR="008F0801" w:rsidRPr="001B572C">
        <w:rPr>
          <w:noProof/>
          <w:lang w:val="hr-HR"/>
        </w:rPr>
        <w:t xml:space="preserve">. </w:t>
      </w:r>
      <w:r w:rsidR="0025451F" w:rsidRPr="001B572C">
        <w:rPr>
          <w:noProof/>
          <w:lang w:val="hr-HR"/>
        </w:rPr>
        <w:t>O</w:t>
      </w:r>
      <w:r w:rsidRPr="001B572C">
        <w:rPr>
          <w:noProof/>
          <w:lang w:val="hr-HR"/>
        </w:rPr>
        <w:t>čekuje</w:t>
      </w:r>
      <w:r w:rsidR="0025451F" w:rsidRPr="001B572C">
        <w:rPr>
          <w:noProof/>
          <w:lang w:val="hr-HR"/>
        </w:rPr>
        <w:t xml:space="preserve"> se</w:t>
      </w:r>
      <w:r w:rsidRPr="001B572C">
        <w:rPr>
          <w:noProof/>
          <w:lang w:val="hr-HR"/>
        </w:rPr>
        <w:t xml:space="preserve"> nastavak pregovora radi postizanja konačnog dogovora o načinu podmirenja preostalog dugovanja prema Republici Hrvatskoj.</w:t>
      </w:r>
      <w:r w:rsidR="0025451F" w:rsidRPr="001B572C">
        <w:rPr>
          <w:noProof/>
          <w:lang w:val="hr-HR"/>
        </w:rPr>
        <w:t xml:space="preserve"> </w:t>
      </w:r>
    </w:p>
    <w:p w:rsidR="0025451F" w:rsidRPr="001B572C" w:rsidRDefault="0025451F" w:rsidP="006E4F7A">
      <w:pPr>
        <w:jc w:val="both"/>
        <w:rPr>
          <w:noProof/>
          <w:lang w:val="hr-HR"/>
        </w:rPr>
      </w:pPr>
      <w:r w:rsidRPr="001B572C">
        <w:rPr>
          <w:noProof/>
          <w:lang w:val="hr-HR"/>
        </w:rPr>
        <w:t>Grad</w:t>
      </w:r>
      <w:r w:rsidR="00117A29" w:rsidRPr="001B572C">
        <w:rPr>
          <w:noProof/>
          <w:lang w:val="hr-HR"/>
        </w:rPr>
        <w:t xml:space="preserve"> od 2018. godine redovno i u dospijeću podmiruje tekuće obveze za 55% naplaćenih prihoda od prodaje stanova sa stanarskim pravom na račun Državnog proračuna te je u razdoblju od 2018. do 31. prosinca 2025. godine ukupno podmireno 4.386.843,84 eura.</w:t>
      </w:r>
    </w:p>
    <w:p w:rsidR="009253C2" w:rsidRPr="001B572C" w:rsidRDefault="009253C2">
      <w:pPr>
        <w:rPr>
          <w:noProof/>
          <w:lang w:val="hr-HR"/>
        </w:rPr>
      </w:pPr>
    </w:p>
    <w:p w:rsidR="00FF43F7" w:rsidRPr="001B572C" w:rsidRDefault="00117A29">
      <w:pPr>
        <w:keepNext/>
        <w:spacing w:line="240" w:lineRule="auto"/>
        <w:jc w:val="center"/>
        <w:rPr>
          <w:noProof/>
          <w:lang w:val="hr-HR"/>
        </w:rPr>
      </w:pPr>
      <w:r w:rsidRPr="001B572C">
        <w:rPr>
          <w:noProof/>
          <w:sz w:val="28"/>
          <w:lang w:val="hr-HR"/>
        </w:rPr>
        <w:t>Bilješka 25.</w:t>
      </w:r>
    </w:p>
    <w:p w:rsidR="002200B6" w:rsidRDefault="00117A29" w:rsidP="00C345B1">
      <w:pPr>
        <w:spacing w:line="240" w:lineRule="auto"/>
        <w:jc w:val="both"/>
        <w:rPr>
          <w:noProof/>
          <w:lang w:val="hr-HR"/>
        </w:rPr>
      </w:pPr>
      <w:r w:rsidRPr="001B572C">
        <w:rPr>
          <w:b/>
          <w:noProof/>
          <w:lang w:val="hr-HR"/>
        </w:rPr>
        <w:t xml:space="preserve">Manjak ili višak u poslovanju grupe i pregled strukture manjka/viška po proračunskim korisnicima </w:t>
      </w:r>
    </w:p>
    <w:p w:rsidR="00FF43F7" w:rsidRPr="001B572C" w:rsidRDefault="00117A29" w:rsidP="00CE2B92">
      <w:pPr>
        <w:jc w:val="both"/>
        <w:rPr>
          <w:noProof/>
          <w:lang w:val="hr-HR"/>
        </w:rPr>
      </w:pPr>
      <w:r w:rsidRPr="001B572C">
        <w:rPr>
          <w:noProof/>
          <w:lang w:val="hr-HR"/>
        </w:rPr>
        <w:t>Rezultat izvještajnog razdoblja (tekući rezultat) konsolidirane grupe je manjak prihoda i primitaka u iznosu od 8.786.429,64 eura (šifra Y005). </w:t>
      </w:r>
    </w:p>
    <w:p w:rsidR="00B60194" w:rsidRPr="001B572C" w:rsidRDefault="00117A29" w:rsidP="00CE2B92">
      <w:pPr>
        <w:jc w:val="both"/>
        <w:rPr>
          <w:noProof/>
          <w:lang w:val="hr-HR"/>
        </w:rPr>
      </w:pPr>
      <w:r w:rsidRPr="001B572C">
        <w:rPr>
          <w:noProof/>
          <w:lang w:val="hr-HR"/>
        </w:rPr>
        <w:t xml:space="preserve">Na ostvarenje tekućeg manjka </w:t>
      </w:r>
      <w:r w:rsidR="00E10535" w:rsidRPr="001B572C">
        <w:rPr>
          <w:noProof/>
          <w:lang w:val="hr-HR"/>
        </w:rPr>
        <w:t>prihoda</w:t>
      </w:r>
      <w:r w:rsidRPr="001B572C">
        <w:rPr>
          <w:noProof/>
          <w:lang w:val="hr-HR"/>
        </w:rPr>
        <w:t xml:space="preserve">, između ostalog, utječe povrat poreza na dohodak po godišnjoj prijavi za 2024. </w:t>
      </w:r>
      <w:r w:rsidR="00E10535" w:rsidRPr="001B572C">
        <w:rPr>
          <w:noProof/>
          <w:lang w:val="hr-HR"/>
        </w:rPr>
        <w:t>g</w:t>
      </w:r>
      <w:r w:rsidRPr="001B572C">
        <w:rPr>
          <w:noProof/>
          <w:lang w:val="hr-HR"/>
        </w:rPr>
        <w:t>odinu</w:t>
      </w:r>
      <w:r w:rsidR="00E10535" w:rsidRPr="001B572C">
        <w:rPr>
          <w:noProof/>
          <w:lang w:val="hr-HR"/>
        </w:rPr>
        <w:t xml:space="preserve"> u visini od </w:t>
      </w:r>
      <w:r w:rsidRPr="001B572C">
        <w:rPr>
          <w:noProof/>
          <w:lang w:val="hr-HR"/>
        </w:rPr>
        <w:t>5.782.270,45 eura</w:t>
      </w:r>
      <w:r w:rsidR="00E10535" w:rsidRPr="001B572C">
        <w:rPr>
          <w:noProof/>
          <w:lang w:val="hr-HR"/>
        </w:rPr>
        <w:t xml:space="preserve"> što se posljedično odražava na manje ostvarenje prihoda od poreza na dohodak u </w:t>
      </w:r>
      <w:r w:rsidR="000B3FD9" w:rsidRPr="001B572C">
        <w:rPr>
          <w:noProof/>
          <w:lang w:val="hr-HR"/>
        </w:rPr>
        <w:t>Gradu</w:t>
      </w:r>
      <w:r w:rsidR="00E10535" w:rsidRPr="001B572C">
        <w:rPr>
          <w:noProof/>
          <w:lang w:val="hr-HR"/>
        </w:rPr>
        <w:t>.</w:t>
      </w:r>
      <w:r w:rsidRPr="001B572C">
        <w:rPr>
          <w:noProof/>
          <w:lang w:val="hr-HR"/>
        </w:rPr>
        <w:t xml:space="preserve"> </w:t>
      </w:r>
    </w:p>
    <w:p w:rsidR="000B3FD9" w:rsidRPr="00FD0B89" w:rsidRDefault="00117A29" w:rsidP="00DA7F65">
      <w:pPr>
        <w:jc w:val="both"/>
        <w:rPr>
          <w:noProof/>
          <w:lang w:val="hr-HR"/>
        </w:rPr>
      </w:pPr>
      <w:r w:rsidRPr="001B572C">
        <w:rPr>
          <w:noProof/>
          <w:lang w:val="hr-HR"/>
        </w:rPr>
        <w:t>Ukupno preneseni višak prihoda i primitaka konsolidirane grupe iznosi 25.343.011,12 eura (Grad je iskazao preneseni višak 28.618.104,66 eura, a korisnici ukupno preneseni manjak 3.275.093,54 eura). </w:t>
      </w:r>
      <w:r w:rsidR="00A07DE7" w:rsidRPr="00DA7F65">
        <w:rPr>
          <w:lang w:val="hr-HR"/>
        </w:rPr>
        <w:t xml:space="preserve">U Proračunu </w:t>
      </w:r>
      <w:r w:rsidR="00A07DE7">
        <w:rPr>
          <w:lang w:val="hr-HR"/>
        </w:rPr>
        <w:t xml:space="preserve">Grada Rijeke </w:t>
      </w:r>
      <w:r w:rsidR="00A07DE7" w:rsidRPr="00DA7F65">
        <w:rPr>
          <w:lang w:val="hr-HR"/>
        </w:rPr>
        <w:t xml:space="preserve">za 2025. godinu planirani su veći rashodi od prihoda u iznosu od </w:t>
      </w:r>
      <w:r w:rsidR="00A07DE7" w:rsidRPr="00DA7F65">
        <w:rPr>
          <w:bCs/>
          <w:color w:val="000000"/>
          <w:lang w:eastAsia="hr-HR"/>
        </w:rPr>
        <w:t xml:space="preserve">18.010.701 </w:t>
      </w:r>
      <w:r w:rsidR="00A07DE7" w:rsidRPr="00DA7F65">
        <w:rPr>
          <w:lang w:val="hr-HR"/>
        </w:rPr>
        <w:t>eura koji se pokri</w:t>
      </w:r>
      <w:r w:rsidR="00A07DE7">
        <w:rPr>
          <w:lang w:val="hr-HR"/>
        </w:rPr>
        <w:t>vaju</w:t>
      </w:r>
      <w:r w:rsidR="00A07DE7" w:rsidRPr="00DA7F65">
        <w:rPr>
          <w:lang w:val="hr-HR"/>
        </w:rPr>
        <w:t xml:space="preserve"> iz izvora Višak prihoda iz prethodnih godina.</w:t>
      </w:r>
    </w:p>
    <w:p w:rsidR="00195291" w:rsidRPr="00195291" w:rsidRDefault="00117A29" w:rsidP="00195291">
      <w:pPr>
        <w:spacing w:after="0" w:line="240" w:lineRule="auto"/>
        <w:jc w:val="both"/>
        <w:rPr>
          <w:rFonts w:ascii="Calibri" w:hAnsi="Calibri" w:cs="Calibri"/>
          <w:b/>
          <w:bCs/>
          <w:noProof/>
          <w:color w:val="000000"/>
          <w:sz w:val="22"/>
          <w:szCs w:val="22"/>
          <w:lang w:val="hr-HR" w:eastAsia="hr-HR"/>
        </w:rPr>
      </w:pPr>
      <w:r w:rsidRPr="001B572C">
        <w:rPr>
          <w:b/>
          <w:noProof/>
          <w:lang w:val="hr-HR"/>
        </w:rPr>
        <w:t>Konsolidirani višak prihoda i primitaka raspoloživ u sljedećem razdoblju (X006) iznosi 16.556.581,48 eura</w:t>
      </w:r>
      <w:r w:rsidRPr="001B572C">
        <w:rPr>
          <w:noProof/>
          <w:lang w:val="hr-HR"/>
        </w:rPr>
        <w:t xml:space="preserve">. Višak prihoda i primitaka raspoloživ u sljedećem razdoblju ostvarili su: Grad u iznosu od 22.548.645,91 eura, APOS 225.661,73 eura, 8 vijeća nacionalnih manjina i predstavnica mađarske nacionalne manjine 13.495,77 eura. </w:t>
      </w:r>
    </w:p>
    <w:p w:rsidR="00195291" w:rsidRDefault="00195291" w:rsidP="00195291">
      <w:pPr>
        <w:spacing w:after="0" w:line="240" w:lineRule="auto"/>
        <w:jc w:val="both"/>
        <w:rPr>
          <w:noProof/>
          <w:lang w:val="hr-HR"/>
        </w:rPr>
      </w:pPr>
      <w:r w:rsidRPr="001B572C">
        <w:rPr>
          <w:noProof/>
          <w:lang w:val="hr-HR"/>
        </w:rPr>
        <w:t xml:space="preserve">Dio viška prihoda i primitaka u iznosu od </w:t>
      </w:r>
      <w:r w:rsidRPr="001B572C">
        <w:rPr>
          <w:bCs/>
          <w:noProof/>
          <w:color w:val="000000"/>
          <w:szCs w:val="24"/>
          <w:lang w:val="hr-HR" w:eastAsia="hr-HR"/>
        </w:rPr>
        <w:t xml:space="preserve">13.855.055 eura </w:t>
      </w:r>
      <w:r w:rsidRPr="001B572C">
        <w:rPr>
          <w:noProof/>
          <w:szCs w:val="24"/>
          <w:lang w:val="hr-HR"/>
        </w:rPr>
        <w:t>planiran</w:t>
      </w:r>
      <w:r w:rsidRPr="001B572C">
        <w:rPr>
          <w:noProof/>
          <w:lang w:val="hr-HR"/>
        </w:rPr>
        <w:t xml:space="preserve"> je za korištenje u Proračunu Grada Rijeke za 2026. godinu.</w:t>
      </w:r>
    </w:p>
    <w:p w:rsidR="00195291" w:rsidRPr="001B572C" w:rsidRDefault="00195291" w:rsidP="00195291">
      <w:pPr>
        <w:spacing w:after="0" w:line="240" w:lineRule="auto"/>
        <w:jc w:val="both"/>
        <w:rPr>
          <w:rFonts w:ascii="Calibri" w:hAnsi="Calibri" w:cs="Calibri"/>
          <w:b/>
          <w:bCs/>
          <w:noProof/>
          <w:color w:val="000000"/>
          <w:sz w:val="22"/>
          <w:szCs w:val="22"/>
          <w:lang w:val="hr-HR" w:eastAsia="hr-HR"/>
        </w:rPr>
      </w:pPr>
    </w:p>
    <w:p w:rsidR="00FF43F7" w:rsidRPr="001B572C" w:rsidRDefault="00117A29" w:rsidP="00CE2B92">
      <w:pPr>
        <w:jc w:val="both"/>
        <w:rPr>
          <w:noProof/>
          <w:lang w:val="hr-HR"/>
        </w:rPr>
      </w:pPr>
      <w:r w:rsidRPr="001B572C">
        <w:rPr>
          <w:noProof/>
          <w:lang w:val="hr-HR"/>
        </w:rPr>
        <w:lastRenderedPageBreak/>
        <w:t>Manjak prihoda i primitaka za pokriće u sljedećem razdoblju bilježe ustanove odgoja i obrazovanja u iznosu 4.475.630,15 eura, ustanove kulture 699.541,03 eura, ustanove zdravstva 776.108,03 eura</w:t>
      </w:r>
      <w:r w:rsidR="004E2183">
        <w:rPr>
          <w:noProof/>
          <w:lang w:val="hr-HR"/>
        </w:rPr>
        <w:t xml:space="preserve">, </w:t>
      </w:r>
      <w:r w:rsidRPr="001B572C">
        <w:rPr>
          <w:noProof/>
          <w:lang w:val="hr-HR"/>
        </w:rPr>
        <w:t>JVP 276.902,23 eura i 34 mjesna odbora ukupno 3.040,49 eura. Kod korisnika koji su iskazali manjak uglavnom se radi o tzv. metodološkom manjku s obzirom da za rashode (plaća za prosinac, režijski troškovi, najamnine i dr.), na prijelaz</w:t>
      </w:r>
      <w:r w:rsidR="000B3FD9" w:rsidRPr="001B572C">
        <w:rPr>
          <w:noProof/>
          <w:lang w:val="hr-HR"/>
        </w:rPr>
        <w:t>u</w:t>
      </w:r>
      <w:r w:rsidRPr="001B572C">
        <w:rPr>
          <w:noProof/>
          <w:lang w:val="hr-HR"/>
        </w:rPr>
        <w:t xml:space="preserve"> iz jednog u drugo izvještajno razdoblje, postoji raskorak u trenu</w:t>
      </w:r>
      <w:r w:rsidR="000B3FD9" w:rsidRPr="001B572C">
        <w:rPr>
          <w:noProof/>
          <w:lang w:val="hr-HR"/>
        </w:rPr>
        <w:t>tku</w:t>
      </w:r>
      <w:r w:rsidRPr="001B572C">
        <w:rPr>
          <w:noProof/>
          <w:lang w:val="hr-HR"/>
        </w:rPr>
        <w:t xml:space="preserve"> priznavanja rashoda i prihoda).  </w:t>
      </w:r>
    </w:p>
    <w:p w:rsidR="000B3FD9" w:rsidRPr="001B572C" w:rsidRDefault="000B3FD9" w:rsidP="00CE2B92">
      <w:pPr>
        <w:jc w:val="both"/>
        <w:rPr>
          <w:noProof/>
          <w:lang w:val="hr-HR"/>
        </w:rPr>
      </w:pPr>
      <w:r w:rsidRPr="001B572C">
        <w:rPr>
          <w:noProof/>
          <w:lang w:val="hr-HR"/>
        </w:rPr>
        <w:t xml:space="preserve">Pregled strukture viška/manjka, dospjelih obveza i stanja novčanih srestava po proračunskim korisnicima na 31.12.2025. iskazan je u tablici u Prilogu ovih Bilješki.  </w:t>
      </w:r>
    </w:p>
    <w:p w:rsidR="000B3FD9" w:rsidRPr="001B572C" w:rsidRDefault="000B3FD9" w:rsidP="00CE2B92">
      <w:pPr>
        <w:jc w:val="both"/>
        <w:rPr>
          <w:noProof/>
          <w:lang w:val="hr-HR"/>
        </w:rPr>
      </w:pPr>
      <w:r w:rsidRPr="001B572C">
        <w:rPr>
          <w:noProof/>
          <w:lang w:val="hr-HR"/>
        </w:rPr>
        <w:t>  </w:t>
      </w:r>
    </w:p>
    <w:p w:rsidR="00FF43F7" w:rsidRPr="001B572C" w:rsidRDefault="00117A29">
      <w:pPr>
        <w:keepNext/>
        <w:spacing w:line="240" w:lineRule="auto"/>
        <w:jc w:val="center"/>
        <w:rPr>
          <w:noProof/>
          <w:lang w:val="hr-HR"/>
        </w:rPr>
      </w:pPr>
      <w:r w:rsidRPr="001B572C">
        <w:rPr>
          <w:noProof/>
          <w:sz w:val="28"/>
          <w:lang w:val="hr-HR"/>
        </w:rPr>
        <w:t>Bilješka 26.</w:t>
      </w:r>
    </w:p>
    <w:p w:rsidR="00FF43F7" w:rsidRPr="001B572C" w:rsidRDefault="00117A29">
      <w:pPr>
        <w:spacing w:line="240" w:lineRule="auto"/>
        <w:jc w:val="both"/>
        <w:rPr>
          <w:noProof/>
          <w:lang w:val="hr-HR"/>
        </w:rPr>
      </w:pPr>
      <w:r w:rsidRPr="001B572C">
        <w:rPr>
          <w:b/>
          <w:noProof/>
          <w:lang w:val="hr-HR"/>
        </w:rPr>
        <w:t>Unutargrupne transakcije koje su u izvještajima eliminirane</w:t>
      </w:r>
    </w:p>
    <w:p w:rsidR="00FF43F7" w:rsidRPr="001B572C" w:rsidRDefault="00117A29" w:rsidP="00CE2B92">
      <w:pPr>
        <w:jc w:val="both"/>
        <w:rPr>
          <w:noProof/>
          <w:lang w:val="hr-HR"/>
        </w:rPr>
      </w:pPr>
      <w:r w:rsidRPr="001B572C">
        <w:rPr>
          <w:noProof/>
          <w:lang w:val="hr-HR"/>
        </w:rPr>
        <w:t>U konsolidiranom Izvještaju o prihodima i rashodima, primicima i izdacima (PR-RAS) eliminirane su sljedeće unutargrupne transakcije: prijenos sredstva proračunskim korisnicima za financiranje redovne djelatnosti u iznosu od 50.793.341,0</w:t>
      </w:r>
      <w:r w:rsidR="00377A24" w:rsidRPr="001B572C">
        <w:rPr>
          <w:noProof/>
          <w:lang w:val="hr-HR"/>
        </w:rPr>
        <w:t>1</w:t>
      </w:r>
      <w:r w:rsidRPr="001B572C">
        <w:rPr>
          <w:noProof/>
          <w:lang w:val="hr-HR"/>
        </w:rPr>
        <w:t xml:space="preserve"> eura (konta 367/671) i prijenos sredstava između proračunskih korisnika u iznosu od 16.321,59 eura (konta 369/639). U konsolidirano</w:t>
      </w:r>
      <w:r w:rsidR="003803A5" w:rsidRPr="001B572C">
        <w:rPr>
          <w:noProof/>
          <w:lang w:val="hr-HR"/>
        </w:rPr>
        <w:t xml:space="preserve">m Izvještaju o obvezama </w:t>
      </w:r>
      <w:r w:rsidRPr="001B572C">
        <w:rPr>
          <w:noProof/>
          <w:lang w:val="hr-HR"/>
        </w:rPr>
        <w:t xml:space="preserve">i u </w:t>
      </w:r>
      <w:r w:rsidR="003803A5" w:rsidRPr="001B572C">
        <w:rPr>
          <w:noProof/>
          <w:lang w:val="hr-HR"/>
        </w:rPr>
        <w:t xml:space="preserve">konsolidiranoj </w:t>
      </w:r>
      <w:r w:rsidRPr="001B572C">
        <w:rPr>
          <w:noProof/>
          <w:lang w:val="hr-HR"/>
        </w:rPr>
        <w:t>B</w:t>
      </w:r>
      <w:r w:rsidR="003803A5" w:rsidRPr="001B572C">
        <w:rPr>
          <w:noProof/>
          <w:lang w:val="hr-HR"/>
        </w:rPr>
        <w:t xml:space="preserve">ilanci </w:t>
      </w:r>
      <w:r w:rsidRPr="001B572C">
        <w:rPr>
          <w:noProof/>
          <w:lang w:val="hr-HR"/>
        </w:rPr>
        <w:t>eliminirane su međusobne obveze proračuna i proračunskih korisnika u ukupnom iznosu od 6.122.984,89 eura, i to: obveze proračuna za naplaćena sredstva proračunskih korisnika (konta 2741) u iznosu od 4.102.645,07 eura, obveze proračunskih korisnika za povrat u proračun (konta 2761) u ukupnom iznosu od 82.310,26 eura, međusobne obveze Grada  prema školama za neisplaćena sredstva prehrane i  za najam dvorana u ukupnom iznosu od 25.124,33 eura te međusobne obveze Grada i proračunskog korisnika APOS (obveza Grada za robni zajam u iznosu od 742.296,35 eura i obveza APOS-a prema Gradu u iznosu od 1.170.608,88 eura (povrat ulaganja u društveno poticanu stanogradnju).</w:t>
      </w:r>
    </w:p>
    <w:p w:rsidR="00FF43F7" w:rsidRPr="001B572C" w:rsidRDefault="00117A29" w:rsidP="00CE2B92">
      <w:pPr>
        <w:jc w:val="both"/>
        <w:rPr>
          <w:noProof/>
          <w:lang w:val="hr-HR"/>
        </w:rPr>
      </w:pPr>
      <w:r w:rsidRPr="001B572C">
        <w:rPr>
          <w:noProof/>
          <w:lang w:val="hr-HR"/>
        </w:rPr>
        <w:t xml:space="preserve">Zbog prijenosa proizvedene dugotrajne imovine Grada na korisnike, u procesu konsolidacije eliminiran je iznos od 5.466,04 eura na </w:t>
      </w:r>
      <w:r w:rsidR="000B3FD9" w:rsidRPr="001B572C">
        <w:rPr>
          <w:noProof/>
          <w:lang w:val="hr-HR"/>
        </w:rPr>
        <w:t xml:space="preserve">računu </w:t>
      </w:r>
      <w:r w:rsidRPr="001B572C">
        <w:rPr>
          <w:noProof/>
          <w:lang w:val="hr-HR"/>
        </w:rPr>
        <w:t xml:space="preserve">91512- promjene u obujmu proizvedene imovine. Grad je Dječjem vrtiću Rijeka </w:t>
      </w:r>
      <w:r w:rsidR="00075C27" w:rsidRPr="001B572C">
        <w:rPr>
          <w:noProof/>
          <w:lang w:val="hr-HR"/>
        </w:rPr>
        <w:t xml:space="preserve">prenio u vlasništvo </w:t>
      </w:r>
      <w:r w:rsidRPr="001B572C">
        <w:rPr>
          <w:noProof/>
          <w:lang w:val="hr-HR"/>
        </w:rPr>
        <w:t>dječje sprave u ukupnom iznosu od 5.000,00 eura i Gradskoj knjižnici Rijeka uredski namještaj u iznosu od 466,04 eura.</w:t>
      </w:r>
    </w:p>
    <w:p w:rsidR="00FF43F7" w:rsidRPr="001B572C" w:rsidRDefault="00117A29" w:rsidP="00CE2B92">
      <w:pPr>
        <w:jc w:val="both"/>
        <w:rPr>
          <w:noProof/>
          <w:lang w:val="hr-HR"/>
        </w:rPr>
      </w:pPr>
      <w:r w:rsidRPr="001B572C">
        <w:rPr>
          <w:noProof/>
          <w:lang w:val="hr-HR"/>
        </w:rPr>
        <w:t> </w:t>
      </w:r>
    </w:p>
    <w:p w:rsidR="004C7DF5" w:rsidRPr="00861188" w:rsidRDefault="004C7DF5" w:rsidP="004C7DF5">
      <w:pPr>
        <w:spacing w:after="0" w:line="240" w:lineRule="auto"/>
        <w:rPr>
          <w:noProof/>
          <w:szCs w:val="24"/>
          <w:lang w:val="hr-HR" w:eastAsia="hr-HR"/>
        </w:rPr>
      </w:pPr>
      <w:r>
        <w:rPr>
          <w:noProof/>
          <w:szCs w:val="24"/>
          <w:lang w:val="hr-HR" w:eastAsia="hr-HR"/>
        </w:rPr>
        <w:t>U Rijeci, 27. veljače 2026</w:t>
      </w:r>
      <w:r w:rsidRPr="00861188">
        <w:rPr>
          <w:noProof/>
          <w:szCs w:val="24"/>
          <w:lang w:val="hr-HR" w:eastAsia="hr-HR"/>
        </w:rPr>
        <w:t>.</w:t>
      </w:r>
      <w:r w:rsidRPr="00861188">
        <w:rPr>
          <w:noProof/>
          <w:szCs w:val="24"/>
          <w:lang w:val="hr-HR" w:eastAsia="hr-HR"/>
        </w:rPr>
        <w:tab/>
      </w:r>
      <w:r w:rsidRPr="00861188">
        <w:rPr>
          <w:noProof/>
          <w:szCs w:val="24"/>
          <w:lang w:val="hr-HR" w:eastAsia="hr-HR"/>
        </w:rPr>
        <w:tab/>
      </w:r>
      <w:r w:rsidRPr="00861188">
        <w:rPr>
          <w:noProof/>
          <w:szCs w:val="24"/>
          <w:lang w:val="hr-HR" w:eastAsia="hr-HR"/>
        </w:rPr>
        <w:tab/>
      </w:r>
      <w:r w:rsidRPr="00861188">
        <w:rPr>
          <w:noProof/>
          <w:szCs w:val="24"/>
          <w:lang w:val="hr-HR" w:eastAsia="hr-HR"/>
        </w:rPr>
        <w:tab/>
      </w:r>
      <w:r w:rsidRPr="00861188">
        <w:rPr>
          <w:noProof/>
          <w:szCs w:val="24"/>
          <w:lang w:val="hr-HR" w:eastAsia="hr-HR"/>
        </w:rPr>
        <w:tab/>
      </w:r>
      <w:r w:rsidRPr="00861188">
        <w:rPr>
          <w:noProof/>
          <w:szCs w:val="24"/>
          <w:lang w:val="hr-HR" w:eastAsia="hr-HR"/>
        </w:rPr>
        <w:tab/>
        <w:t xml:space="preserve">           </w:t>
      </w:r>
    </w:p>
    <w:p w:rsidR="004C7DF5" w:rsidRPr="00861188" w:rsidRDefault="004C7DF5" w:rsidP="004C7DF5">
      <w:pPr>
        <w:spacing w:after="0" w:line="240" w:lineRule="auto"/>
        <w:rPr>
          <w:noProof/>
          <w:szCs w:val="24"/>
          <w:lang w:val="hr-HR" w:eastAsia="hr-HR"/>
        </w:rPr>
      </w:pPr>
      <w:r w:rsidRPr="00861188">
        <w:rPr>
          <w:noProof/>
          <w:szCs w:val="24"/>
          <w:lang w:val="hr-HR" w:eastAsia="hr-HR"/>
        </w:rPr>
        <w:tab/>
      </w:r>
      <w:r w:rsidRPr="00861188">
        <w:rPr>
          <w:noProof/>
          <w:szCs w:val="24"/>
          <w:lang w:val="hr-HR" w:eastAsia="hr-HR"/>
        </w:rPr>
        <w:tab/>
      </w:r>
      <w:r w:rsidRPr="00861188">
        <w:rPr>
          <w:noProof/>
          <w:szCs w:val="24"/>
          <w:lang w:val="hr-HR" w:eastAsia="hr-HR"/>
        </w:rPr>
        <w:tab/>
      </w:r>
      <w:r w:rsidRPr="00861188">
        <w:rPr>
          <w:noProof/>
          <w:szCs w:val="24"/>
          <w:lang w:val="hr-HR" w:eastAsia="hr-HR"/>
        </w:rPr>
        <w:tab/>
      </w:r>
      <w:r w:rsidRPr="00861188">
        <w:rPr>
          <w:noProof/>
          <w:szCs w:val="24"/>
          <w:lang w:val="hr-HR" w:eastAsia="hr-HR"/>
        </w:rPr>
        <w:tab/>
      </w:r>
      <w:r w:rsidRPr="00861188">
        <w:rPr>
          <w:noProof/>
          <w:szCs w:val="24"/>
          <w:lang w:val="hr-HR" w:eastAsia="hr-HR"/>
        </w:rPr>
        <w:tab/>
      </w:r>
      <w:r w:rsidRPr="00861188">
        <w:rPr>
          <w:noProof/>
          <w:szCs w:val="24"/>
          <w:lang w:val="hr-HR" w:eastAsia="hr-HR"/>
        </w:rPr>
        <w:tab/>
      </w:r>
      <w:r w:rsidRPr="00861188">
        <w:rPr>
          <w:noProof/>
          <w:szCs w:val="24"/>
          <w:lang w:val="hr-HR" w:eastAsia="hr-HR"/>
        </w:rPr>
        <w:tab/>
      </w:r>
      <w:r w:rsidRPr="00861188">
        <w:rPr>
          <w:noProof/>
          <w:szCs w:val="24"/>
          <w:lang w:val="hr-HR" w:eastAsia="hr-HR"/>
        </w:rPr>
        <w:tab/>
      </w:r>
      <w:r w:rsidRPr="00861188">
        <w:rPr>
          <w:noProof/>
          <w:szCs w:val="24"/>
          <w:lang w:val="hr-HR" w:eastAsia="hr-HR"/>
        </w:rPr>
        <w:tab/>
      </w:r>
    </w:p>
    <w:p w:rsidR="004C7DF5" w:rsidRDefault="004C7DF5" w:rsidP="004C7DF5">
      <w:pPr>
        <w:spacing w:after="0" w:line="240" w:lineRule="auto"/>
        <w:rPr>
          <w:noProof/>
          <w:sz w:val="22"/>
          <w:szCs w:val="22"/>
          <w:lang w:val="hr-HR" w:eastAsia="hr-HR"/>
        </w:rPr>
      </w:pPr>
    </w:p>
    <w:p w:rsidR="004C7DF5" w:rsidRPr="00861188" w:rsidRDefault="004C7DF5" w:rsidP="004C7DF5">
      <w:pPr>
        <w:spacing w:after="0" w:line="240" w:lineRule="auto"/>
        <w:rPr>
          <w:b/>
          <w:noProof/>
          <w:szCs w:val="24"/>
          <w:lang w:val="hr-HR" w:eastAsia="hr-HR"/>
        </w:rPr>
      </w:pPr>
      <w:r w:rsidRPr="00773098">
        <w:rPr>
          <w:noProof/>
          <w:sz w:val="22"/>
          <w:szCs w:val="22"/>
          <w:lang w:val="hr-HR" w:eastAsia="hr-HR"/>
        </w:rPr>
        <w:t>Bilješke sastavile:</w:t>
      </w:r>
      <w:r w:rsidRPr="00861188">
        <w:rPr>
          <w:noProof/>
          <w:szCs w:val="24"/>
          <w:lang w:val="hr-HR" w:eastAsia="hr-HR"/>
        </w:rPr>
        <w:tab/>
      </w:r>
      <w:r w:rsidRPr="00861188">
        <w:rPr>
          <w:noProof/>
          <w:szCs w:val="24"/>
          <w:lang w:val="hr-HR" w:eastAsia="hr-HR"/>
        </w:rPr>
        <w:tab/>
      </w:r>
      <w:r w:rsidRPr="00861188">
        <w:rPr>
          <w:b/>
          <w:noProof/>
          <w:szCs w:val="24"/>
          <w:lang w:val="hr-HR" w:eastAsia="hr-HR"/>
        </w:rPr>
        <w:t xml:space="preserve"> </w:t>
      </w:r>
      <w:r w:rsidRPr="00861188">
        <w:rPr>
          <w:b/>
          <w:noProof/>
          <w:szCs w:val="24"/>
          <w:lang w:val="hr-HR" w:eastAsia="hr-HR"/>
        </w:rPr>
        <w:tab/>
      </w:r>
      <w:r w:rsidRPr="00861188">
        <w:rPr>
          <w:b/>
          <w:noProof/>
          <w:szCs w:val="24"/>
          <w:lang w:val="hr-HR" w:eastAsia="hr-HR"/>
        </w:rPr>
        <w:tab/>
      </w:r>
      <w:r w:rsidRPr="00861188">
        <w:rPr>
          <w:b/>
          <w:noProof/>
          <w:szCs w:val="24"/>
          <w:lang w:val="hr-HR" w:eastAsia="hr-HR"/>
        </w:rPr>
        <w:tab/>
      </w:r>
      <w:r w:rsidRPr="00861188">
        <w:rPr>
          <w:b/>
          <w:noProof/>
          <w:szCs w:val="24"/>
          <w:lang w:val="hr-HR" w:eastAsia="hr-HR"/>
        </w:rPr>
        <w:tab/>
      </w:r>
      <w:r w:rsidRPr="00861188">
        <w:rPr>
          <w:b/>
          <w:noProof/>
          <w:szCs w:val="24"/>
          <w:lang w:val="hr-HR" w:eastAsia="hr-HR"/>
        </w:rPr>
        <w:tab/>
      </w:r>
      <w:r w:rsidRPr="00861188">
        <w:rPr>
          <w:b/>
          <w:noProof/>
          <w:szCs w:val="24"/>
          <w:lang w:val="hr-HR" w:eastAsia="hr-HR"/>
        </w:rPr>
        <w:tab/>
        <w:t xml:space="preserve">Gradonačelnica </w:t>
      </w:r>
      <w:r w:rsidRPr="00861188">
        <w:rPr>
          <w:b/>
          <w:noProof/>
          <w:szCs w:val="24"/>
          <w:lang w:val="hr-HR" w:eastAsia="hr-HR"/>
        </w:rPr>
        <w:tab/>
      </w:r>
    </w:p>
    <w:p w:rsidR="004C7DF5" w:rsidRPr="00861188" w:rsidRDefault="004C7DF5" w:rsidP="004C7DF5">
      <w:pPr>
        <w:spacing w:after="0" w:line="240" w:lineRule="auto"/>
        <w:rPr>
          <w:noProof/>
          <w:szCs w:val="24"/>
          <w:lang w:val="hr-HR" w:eastAsia="hr-HR"/>
        </w:rPr>
      </w:pPr>
    </w:p>
    <w:p w:rsidR="004C7DF5" w:rsidRPr="00861188" w:rsidRDefault="004C7DF5" w:rsidP="004C7DF5">
      <w:pPr>
        <w:spacing w:after="0" w:line="240" w:lineRule="auto"/>
        <w:rPr>
          <w:b/>
          <w:noProof/>
          <w:szCs w:val="24"/>
          <w:lang w:val="hr-HR" w:eastAsia="hr-HR"/>
        </w:rPr>
      </w:pPr>
      <w:r w:rsidRPr="00773098">
        <w:rPr>
          <w:noProof/>
          <w:sz w:val="22"/>
          <w:szCs w:val="22"/>
          <w:lang w:val="hr-HR" w:eastAsia="hr-HR"/>
        </w:rPr>
        <w:t>Vanda Sesar i</w:t>
      </w:r>
      <w:r w:rsidRPr="00773098">
        <w:rPr>
          <w:noProof/>
          <w:sz w:val="22"/>
          <w:szCs w:val="22"/>
          <w:lang w:val="hr-HR" w:eastAsia="hr-HR"/>
        </w:rPr>
        <w:tab/>
      </w:r>
      <w:r w:rsidRPr="00861188">
        <w:rPr>
          <w:noProof/>
          <w:szCs w:val="24"/>
          <w:lang w:val="hr-HR" w:eastAsia="hr-HR"/>
        </w:rPr>
        <w:tab/>
      </w:r>
      <w:r w:rsidRPr="00861188">
        <w:rPr>
          <w:b/>
          <w:noProof/>
          <w:szCs w:val="24"/>
          <w:lang w:val="hr-HR" w:eastAsia="hr-HR"/>
        </w:rPr>
        <w:tab/>
      </w:r>
      <w:r w:rsidRPr="00861188">
        <w:rPr>
          <w:b/>
          <w:noProof/>
          <w:szCs w:val="24"/>
          <w:lang w:val="hr-HR" w:eastAsia="hr-HR"/>
        </w:rPr>
        <w:tab/>
      </w:r>
      <w:r w:rsidRPr="00861188">
        <w:rPr>
          <w:b/>
          <w:noProof/>
          <w:szCs w:val="24"/>
          <w:lang w:val="hr-HR" w:eastAsia="hr-HR"/>
        </w:rPr>
        <w:tab/>
        <w:t>M.P.</w:t>
      </w:r>
    </w:p>
    <w:p w:rsidR="004C7DF5" w:rsidRPr="00861188" w:rsidRDefault="004C7DF5" w:rsidP="004C7DF5">
      <w:pPr>
        <w:spacing w:after="0" w:line="240" w:lineRule="auto"/>
        <w:rPr>
          <w:noProof/>
          <w:szCs w:val="24"/>
          <w:lang w:val="hr-HR" w:eastAsia="hr-HR"/>
        </w:rPr>
      </w:pPr>
      <w:r w:rsidRPr="00773098">
        <w:rPr>
          <w:noProof/>
          <w:sz w:val="22"/>
          <w:szCs w:val="22"/>
          <w:lang w:val="hr-HR" w:eastAsia="hr-HR"/>
        </w:rPr>
        <w:t>L</w:t>
      </w:r>
      <w:r>
        <w:rPr>
          <w:noProof/>
          <w:sz w:val="22"/>
          <w:szCs w:val="22"/>
          <w:lang w:val="hr-HR" w:eastAsia="hr-HR"/>
        </w:rPr>
        <w:t>oredana Balen</w:t>
      </w:r>
      <w:r>
        <w:rPr>
          <w:noProof/>
          <w:sz w:val="22"/>
          <w:szCs w:val="22"/>
          <w:lang w:val="hr-HR" w:eastAsia="hr-HR"/>
        </w:rPr>
        <w:tab/>
      </w:r>
      <w:r w:rsidRPr="00861188">
        <w:rPr>
          <w:noProof/>
          <w:szCs w:val="24"/>
          <w:lang w:val="hr-HR" w:eastAsia="hr-HR"/>
        </w:rPr>
        <w:tab/>
      </w:r>
      <w:r w:rsidRPr="00861188">
        <w:rPr>
          <w:noProof/>
          <w:szCs w:val="24"/>
          <w:lang w:val="hr-HR" w:eastAsia="hr-HR"/>
        </w:rPr>
        <w:tab/>
      </w:r>
      <w:r w:rsidRPr="00861188">
        <w:rPr>
          <w:noProof/>
          <w:szCs w:val="24"/>
          <w:lang w:val="hr-HR" w:eastAsia="hr-HR"/>
        </w:rPr>
        <w:tab/>
      </w:r>
      <w:r w:rsidRPr="00861188">
        <w:rPr>
          <w:noProof/>
          <w:szCs w:val="24"/>
          <w:lang w:val="hr-HR" w:eastAsia="hr-HR"/>
        </w:rPr>
        <w:tab/>
      </w:r>
      <w:r w:rsidRPr="00861188">
        <w:rPr>
          <w:noProof/>
          <w:szCs w:val="24"/>
          <w:lang w:val="hr-HR" w:eastAsia="hr-HR"/>
        </w:rPr>
        <w:tab/>
      </w:r>
      <w:r w:rsidRPr="00861188">
        <w:rPr>
          <w:noProof/>
          <w:szCs w:val="24"/>
          <w:lang w:val="hr-HR" w:eastAsia="hr-HR"/>
        </w:rPr>
        <w:tab/>
      </w:r>
      <w:r w:rsidRPr="00861188">
        <w:rPr>
          <w:noProof/>
          <w:szCs w:val="24"/>
          <w:lang w:val="hr-HR" w:eastAsia="hr-HR"/>
        </w:rPr>
        <w:tab/>
      </w:r>
      <w:r w:rsidRPr="00861188">
        <w:rPr>
          <w:noProof/>
          <w:szCs w:val="24"/>
          <w:lang w:val="hr-HR" w:eastAsia="hr-HR"/>
        </w:rPr>
        <w:tab/>
        <w:t xml:space="preserve">    </w:t>
      </w:r>
      <w:r w:rsidRPr="00861188">
        <w:rPr>
          <w:b/>
          <w:noProof/>
          <w:szCs w:val="24"/>
          <w:lang w:val="hr-HR" w:eastAsia="hr-HR"/>
        </w:rPr>
        <w:t>Iva Rinčić</w:t>
      </w:r>
    </w:p>
    <w:p w:rsidR="004C7DF5" w:rsidRDefault="004C7DF5" w:rsidP="004C7DF5">
      <w:pPr>
        <w:spacing w:line="240" w:lineRule="auto"/>
        <w:jc w:val="both"/>
      </w:pPr>
    </w:p>
    <w:p w:rsidR="004C7DF5" w:rsidRPr="004C4164" w:rsidRDefault="004C7DF5" w:rsidP="004C7DF5">
      <w:pPr>
        <w:jc w:val="both"/>
        <w:rPr>
          <w:lang w:val="hr-HR"/>
        </w:rPr>
      </w:pPr>
    </w:p>
    <w:p w:rsidR="00FF43F7" w:rsidRPr="001B572C" w:rsidRDefault="00FF43F7">
      <w:pPr>
        <w:rPr>
          <w:noProof/>
          <w:lang w:val="hr-HR"/>
        </w:rPr>
      </w:pPr>
    </w:p>
    <w:sectPr w:rsidR="00FF43F7" w:rsidRPr="001B572C">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3F7"/>
    <w:rsid w:val="00010F47"/>
    <w:rsid w:val="000243B5"/>
    <w:rsid w:val="0004165E"/>
    <w:rsid w:val="000733E2"/>
    <w:rsid w:val="00075C27"/>
    <w:rsid w:val="000853B6"/>
    <w:rsid w:val="00091794"/>
    <w:rsid w:val="00096006"/>
    <w:rsid w:val="000A5210"/>
    <w:rsid w:val="000B3FD9"/>
    <w:rsid w:val="000B5566"/>
    <w:rsid w:val="000D7310"/>
    <w:rsid w:val="00117A29"/>
    <w:rsid w:val="0012737D"/>
    <w:rsid w:val="00161E6D"/>
    <w:rsid w:val="001910D5"/>
    <w:rsid w:val="001914E5"/>
    <w:rsid w:val="00195291"/>
    <w:rsid w:val="001A5108"/>
    <w:rsid w:val="001B12C8"/>
    <w:rsid w:val="001B34ED"/>
    <w:rsid w:val="001B572C"/>
    <w:rsid w:val="001F12CF"/>
    <w:rsid w:val="001F7BBC"/>
    <w:rsid w:val="002200B6"/>
    <w:rsid w:val="00220E7C"/>
    <w:rsid w:val="00222A88"/>
    <w:rsid w:val="00226CE9"/>
    <w:rsid w:val="002401CA"/>
    <w:rsid w:val="0025451F"/>
    <w:rsid w:val="00263F75"/>
    <w:rsid w:val="002734B8"/>
    <w:rsid w:val="002739F4"/>
    <w:rsid w:val="002A2472"/>
    <w:rsid w:val="002B0C17"/>
    <w:rsid w:val="002B2754"/>
    <w:rsid w:val="002B4A35"/>
    <w:rsid w:val="002B4D99"/>
    <w:rsid w:val="002C038A"/>
    <w:rsid w:val="002C4563"/>
    <w:rsid w:val="002D1FCB"/>
    <w:rsid w:val="002D7273"/>
    <w:rsid w:val="002E3F1C"/>
    <w:rsid w:val="002E6A59"/>
    <w:rsid w:val="00307242"/>
    <w:rsid w:val="0031426A"/>
    <w:rsid w:val="00315035"/>
    <w:rsid w:val="00340247"/>
    <w:rsid w:val="00344B18"/>
    <w:rsid w:val="00377A24"/>
    <w:rsid w:val="003803A5"/>
    <w:rsid w:val="003A68B3"/>
    <w:rsid w:val="003B5981"/>
    <w:rsid w:val="003C2001"/>
    <w:rsid w:val="003E5295"/>
    <w:rsid w:val="00401A15"/>
    <w:rsid w:val="0041658D"/>
    <w:rsid w:val="00426ADC"/>
    <w:rsid w:val="004320E0"/>
    <w:rsid w:val="004421BE"/>
    <w:rsid w:val="0047362F"/>
    <w:rsid w:val="004817A7"/>
    <w:rsid w:val="004C7DF5"/>
    <w:rsid w:val="004D2E6D"/>
    <w:rsid w:val="004D5E95"/>
    <w:rsid w:val="004E2183"/>
    <w:rsid w:val="004E4859"/>
    <w:rsid w:val="00521079"/>
    <w:rsid w:val="00523F6E"/>
    <w:rsid w:val="00533C43"/>
    <w:rsid w:val="00542E07"/>
    <w:rsid w:val="00542EF0"/>
    <w:rsid w:val="00566428"/>
    <w:rsid w:val="00566D56"/>
    <w:rsid w:val="00573A24"/>
    <w:rsid w:val="005801CB"/>
    <w:rsid w:val="005B1F84"/>
    <w:rsid w:val="0060123C"/>
    <w:rsid w:val="00603157"/>
    <w:rsid w:val="00603B69"/>
    <w:rsid w:val="00605D06"/>
    <w:rsid w:val="00646E21"/>
    <w:rsid w:val="00651692"/>
    <w:rsid w:val="00651FE5"/>
    <w:rsid w:val="00680171"/>
    <w:rsid w:val="006C4834"/>
    <w:rsid w:val="006E3BE8"/>
    <w:rsid w:val="006E4F7A"/>
    <w:rsid w:val="006F2804"/>
    <w:rsid w:val="00716225"/>
    <w:rsid w:val="00762959"/>
    <w:rsid w:val="00763364"/>
    <w:rsid w:val="007662A6"/>
    <w:rsid w:val="00773694"/>
    <w:rsid w:val="00787F3B"/>
    <w:rsid w:val="0079245F"/>
    <w:rsid w:val="007A0C3B"/>
    <w:rsid w:val="007E350F"/>
    <w:rsid w:val="00830B1A"/>
    <w:rsid w:val="00831676"/>
    <w:rsid w:val="00834536"/>
    <w:rsid w:val="00852F99"/>
    <w:rsid w:val="00853510"/>
    <w:rsid w:val="008721FC"/>
    <w:rsid w:val="0087270B"/>
    <w:rsid w:val="008731CC"/>
    <w:rsid w:val="008A6161"/>
    <w:rsid w:val="008E5AD0"/>
    <w:rsid w:val="008F0801"/>
    <w:rsid w:val="008F6FF1"/>
    <w:rsid w:val="009253C2"/>
    <w:rsid w:val="009422F9"/>
    <w:rsid w:val="00942A87"/>
    <w:rsid w:val="0098253D"/>
    <w:rsid w:val="009A59E9"/>
    <w:rsid w:val="009B6E49"/>
    <w:rsid w:val="009C41D3"/>
    <w:rsid w:val="009E3870"/>
    <w:rsid w:val="009F278C"/>
    <w:rsid w:val="00A0286A"/>
    <w:rsid w:val="00A07DD4"/>
    <w:rsid w:val="00A07DE7"/>
    <w:rsid w:val="00A407C0"/>
    <w:rsid w:val="00A6726B"/>
    <w:rsid w:val="00A76A9F"/>
    <w:rsid w:val="00A8798D"/>
    <w:rsid w:val="00AA00E1"/>
    <w:rsid w:val="00AA5D24"/>
    <w:rsid w:val="00AA6D24"/>
    <w:rsid w:val="00AD498F"/>
    <w:rsid w:val="00AE5307"/>
    <w:rsid w:val="00AF212D"/>
    <w:rsid w:val="00B024E8"/>
    <w:rsid w:val="00B05C12"/>
    <w:rsid w:val="00B15B20"/>
    <w:rsid w:val="00B23CC4"/>
    <w:rsid w:val="00B52639"/>
    <w:rsid w:val="00B537CC"/>
    <w:rsid w:val="00B60194"/>
    <w:rsid w:val="00B67E34"/>
    <w:rsid w:val="00BA03A1"/>
    <w:rsid w:val="00BB03DF"/>
    <w:rsid w:val="00BB0F36"/>
    <w:rsid w:val="00BC15AB"/>
    <w:rsid w:val="00BD7A41"/>
    <w:rsid w:val="00C071F4"/>
    <w:rsid w:val="00C074C8"/>
    <w:rsid w:val="00C13E18"/>
    <w:rsid w:val="00C345B1"/>
    <w:rsid w:val="00C5254F"/>
    <w:rsid w:val="00C5736E"/>
    <w:rsid w:val="00C90DC3"/>
    <w:rsid w:val="00C93CB1"/>
    <w:rsid w:val="00CD7A88"/>
    <w:rsid w:val="00CE2B92"/>
    <w:rsid w:val="00D16CDF"/>
    <w:rsid w:val="00D359F1"/>
    <w:rsid w:val="00D43ECE"/>
    <w:rsid w:val="00D72098"/>
    <w:rsid w:val="00D97FAA"/>
    <w:rsid w:val="00DA4C08"/>
    <w:rsid w:val="00DA7F65"/>
    <w:rsid w:val="00DB005A"/>
    <w:rsid w:val="00DD3092"/>
    <w:rsid w:val="00DE414F"/>
    <w:rsid w:val="00E013E4"/>
    <w:rsid w:val="00E10535"/>
    <w:rsid w:val="00E4388E"/>
    <w:rsid w:val="00EA4559"/>
    <w:rsid w:val="00F110BC"/>
    <w:rsid w:val="00F437BA"/>
    <w:rsid w:val="00F87F9F"/>
    <w:rsid w:val="00FB7CF3"/>
    <w:rsid w:val="00FD0834"/>
    <w:rsid w:val="00FD0B89"/>
    <w:rsid w:val="00FD341F"/>
    <w:rsid w:val="00FE3ABA"/>
    <w:rsid w:val="00FE72F2"/>
    <w:rsid w:val="00FF4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4D269A-CE7A-46DB-B892-A78161751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45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45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016564">
      <w:bodyDiv w:val="1"/>
      <w:marLeft w:val="0"/>
      <w:marRight w:val="0"/>
      <w:marTop w:val="0"/>
      <w:marBottom w:val="0"/>
      <w:divBdr>
        <w:top w:val="none" w:sz="0" w:space="0" w:color="auto"/>
        <w:left w:val="none" w:sz="0" w:space="0" w:color="auto"/>
        <w:bottom w:val="none" w:sz="0" w:space="0" w:color="auto"/>
        <w:right w:val="none" w:sz="0" w:space="0" w:color="auto"/>
      </w:divBdr>
    </w:div>
    <w:div w:id="688288637">
      <w:bodyDiv w:val="1"/>
      <w:marLeft w:val="0"/>
      <w:marRight w:val="0"/>
      <w:marTop w:val="0"/>
      <w:marBottom w:val="0"/>
      <w:divBdr>
        <w:top w:val="none" w:sz="0" w:space="0" w:color="auto"/>
        <w:left w:val="none" w:sz="0" w:space="0" w:color="auto"/>
        <w:bottom w:val="none" w:sz="0" w:space="0" w:color="auto"/>
        <w:right w:val="none" w:sz="0" w:space="0" w:color="auto"/>
      </w:divBdr>
    </w:div>
    <w:div w:id="694766773">
      <w:bodyDiv w:val="1"/>
      <w:marLeft w:val="0"/>
      <w:marRight w:val="0"/>
      <w:marTop w:val="0"/>
      <w:marBottom w:val="0"/>
      <w:divBdr>
        <w:top w:val="none" w:sz="0" w:space="0" w:color="auto"/>
        <w:left w:val="none" w:sz="0" w:space="0" w:color="auto"/>
        <w:bottom w:val="none" w:sz="0" w:space="0" w:color="auto"/>
        <w:right w:val="none" w:sz="0" w:space="0" w:color="auto"/>
      </w:divBdr>
    </w:div>
    <w:div w:id="715131357">
      <w:bodyDiv w:val="1"/>
      <w:marLeft w:val="0"/>
      <w:marRight w:val="0"/>
      <w:marTop w:val="0"/>
      <w:marBottom w:val="0"/>
      <w:divBdr>
        <w:top w:val="none" w:sz="0" w:space="0" w:color="auto"/>
        <w:left w:val="none" w:sz="0" w:space="0" w:color="auto"/>
        <w:bottom w:val="none" w:sz="0" w:space="0" w:color="auto"/>
        <w:right w:val="none" w:sz="0" w:space="0" w:color="auto"/>
      </w:divBdr>
    </w:div>
    <w:div w:id="1301425835">
      <w:bodyDiv w:val="1"/>
      <w:marLeft w:val="0"/>
      <w:marRight w:val="0"/>
      <w:marTop w:val="0"/>
      <w:marBottom w:val="0"/>
      <w:divBdr>
        <w:top w:val="none" w:sz="0" w:space="0" w:color="auto"/>
        <w:left w:val="none" w:sz="0" w:space="0" w:color="auto"/>
        <w:bottom w:val="none" w:sz="0" w:space="0" w:color="auto"/>
        <w:right w:val="none" w:sz="0" w:space="0" w:color="auto"/>
      </w:divBdr>
    </w:div>
    <w:div w:id="1319727446">
      <w:bodyDiv w:val="1"/>
      <w:marLeft w:val="0"/>
      <w:marRight w:val="0"/>
      <w:marTop w:val="0"/>
      <w:marBottom w:val="0"/>
      <w:divBdr>
        <w:top w:val="none" w:sz="0" w:space="0" w:color="auto"/>
        <w:left w:val="none" w:sz="0" w:space="0" w:color="auto"/>
        <w:bottom w:val="none" w:sz="0" w:space="0" w:color="auto"/>
        <w:right w:val="none" w:sz="0" w:space="0" w:color="auto"/>
      </w:divBdr>
    </w:div>
    <w:div w:id="1377896182">
      <w:bodyDiv w:val="1"/>
      <w:marLeft w:val="0"/>
      <w:marRight w:val="0"/>
      <w:marTop w:val="0"/>
      <w:marBottom w:val="0"/>
      <w:divBdr>
        <w:top w:val="none" w:sz="0" w:space="0" w:color="auto"/>
        <w:left w:val="none" w:sz="0" w:space="0" w:color="auto"/>
        <w:bottom w:val="none" w:sz="0" w:space="0" w:color="auto"/>
        <w:right w:val="none" w:sz="0" w:space="0" w:color="auto"/>
      </w:divBdr>
    </w:div>
    <w:div w:id="1480725296">
      <w:bodyDiv w:val="1"/>
      <w:marLeft w:val="0"/>
      <w:marRight w:val="0"/>
      <w:marTop w:val="0"/>
      <w:marBottom w:val="0"/>
      <w:divBdr>
        <w:top w:val="none" w:sz="0" w:space="0" w:color="auto"/>
        <w:left w:val="none" w:sz="0" w:space="0" w:color="auto"/>
        <w:bottom w:val="none" w:sz="0" w:space="0" w:color="auto"/>
        <w:right w:val="none" w:sz="0" w:space="0" w:color="auto"/>
      </w:divBdr>
    </w:div>
    <w:div w:id="21255359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4817</Words>
  <Characters>27460</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Sesar Vanda</dc:creator>
  <cp:lastModifiedBy>Kukuljan Ljiljana</cp:lastModifiedBy>
  <cp:revision>2</cp:revision>
  <cp:lastPrinted>2026-02-26T11:53:00Z</cp:lastPrinted>
  <dcterms:created xsi:type="dcterms:W3CDTF">2026-02-26T14:11:00Z</dcterms:created>
  <dcterms:modified xsi:type="dcterms:W3CDTF">2026-02-26T14:11:00Z</dcterms:modified>
</cp:coreProperties>
</file>